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284"/>
        <w:gridCol w:w="142"/>
        <w:gridCol w:w="992"/>
        <w:gridCol w:w="283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</w:rPr>
              <w:t>1年度）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>
            <w:pPr>
              <w:spacing w:line="54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万和实验学校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259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252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研究拟定学校教育发展策略，贯彻和执行党和国家的教育方针、政策、法规。进行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学前</w:t>
            </w:r>
            <w:r>
              <w:rPr>
                <w:rFonts w:hint="eastAsia" w:ascii="楷体" w:hAnsi="楷体" w:eastAsia="楷体" w:cs="楷体"/>
              </w:rPr>
              <w:t>教育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及义务教育</w:t>
            </w:r>
            <w:r>
              <w:rPr>
                <w:rFonts w:hint="eastAsia" w:ascii="楷体" w:hAnsi="楷体" w:eastAsia="楷体" w:cs="楷体"/>
              </w:rPr>
              <w:t>教学工作</w:t>
            </w:r>
            <w:r>
              <w:rPr>
                <w:rFonts w:hint="eastAsia" w:ascii="楷体" w:hAnsi="楷体" w:eastAsia="楷体" w:cs="楷体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确保普及九年义务教育工作成果。</w:t>
            </w:r>
            <w:r>
              <w:rPr>
                <w:rFonts w:hint="eastAsia" w:ascii="楷体" w:hAnsi="楷体" w:eastAsia="楷体" w:cs="楷体"/>
              </w:rPr>
              <w:t>管理学校教育经费，执行财务管理制度，负责和指导学校教职工的思想政治工作等。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3659.7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 xml:space="preserve">   </w:t>
            </w:r>
          </w:p>
        </w:tc>
        <w:tc>
          <w:tcPr>
            <w:tcW w:w="28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>
            <w:pPr>
              <w:spacing w:line="560" w:lineRule="exac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3659.7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134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3556.3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103.4</w:t>
            </w:r>
          </w:p>
        </w:tc>
        <w:tc>
          <w:tcPr>
            <w:tcW w:w="28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3659.7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0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　</w:t>
            </w:r>
            <w:r>
              <w:rPr>
                <w:rFonts w:ascii="楷体" w:hAnsi="楷体" w:eastAsia="楷体" w:cs="楷体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、</w:t>
            </w:r>
            <w:r>
              <w:rPr>
                <w:rFonts w:ascii="楷体" w:hAnsi="楷体" w:eastAsia="楷体" w:cs="楷体"/>
                <w:szCs w:val="21"/>
              </w:rPr>
              <w:t xml:space="preserve">, 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F020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 202</w:t>
            </w:r>
            <w:r>
              <w:rPr>
                <w:rFonts w:hint="eastAsia" w:ascii="楷体" w:hAnsi="楷体" w:eastAsia="楷体" w:cs="楷体"/>
                <w:szCs w:val="21"/>
              </w:rPr>
              <w:t>2年2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21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贯彻和执行党和国家的教育方针、政策、法规。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学前</w:t>
            </w:r>
            <w:r>
              <w:rPr>
                <w:rFonts w:hint="eastAsia" w:ascii="楷体" w:hAnsi="楷体" w:eastAsia="楷体" w:cs="楷体"/>
              </w:rPr>
              <w:t>教育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义务教育</w:t>
            </w:r>
            <w:r>
              <w:rPr>
                <w:rFonts w:hint="eastAsia" w:ascii="楷体" w:hAnsi="楷体" w:eastAsia="楷体" w:cs="楷体"/>
              </w:rPr>
              <w:t>工作有序进行，成绩显著。教育教学管理工作多项获奖。严格执行财务管理制度，严控三公经费，学校教育经费管理规范，学校资产管理规范，使用率高。后勤管理工作也获得表彰。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、完善资产管理制度。加强提高资产的使用率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进一步完善财务管理制度。合理规范使用经费。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210" w:firstLineChars="100"/>
        <w:rPr>
          <w:szCs w:val="21"/>
        </w:rPr>
      </w:pPr>
      <w:r>
        <w:rPr>
          <w:rFonts w:hint="eastAsia" w:ascii="宋体" w:hAnsi="宋体"/>
          <w:szCs w:val="21"/>
        </w:rPr>
        <w:t>填报人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lang w:val="en-US" w:eastAsia="zh-CN"/>
        </w:rPr>
        <w:t>罗建勇</w:t>
      </w: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 xml:space="preserve">18692970669  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202</w:t>
      </w:r>
      <w:r>
        <w:rPr>
          <w:rFonts w:hint="eastAsia" w:ascii="宋体" w:hAnsi="宋体"/>
          <w:szCs w:val="21"/>
        </w:rPr>
        <w:t>2年</w:t>
      </w:r>
      <w:r>
        <w:rPr>
          <w:rFonts w:ascii="宋体" w:hAnsi="宋体"/>
          <w:szCs w:val="21"/>
        </w:rPr>
        <w:t xml:space="preserve"> 4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2</w:t>
      </w:r>
      <w:r>
        <w:rPr>
          <w:rFonts w:hint="eastAsia" w:ascii="宋体" w:hAnsi="宋体"/>
          <w:szCs w:val="21"/>
        </w:rPr>
        <w:t>1日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Times New Roman"/>
          <w:sz w:val="32"/>
          <w:szCs w:val="32"/>
        </w:rPr>
      </w:pPr>
    </w:p>
    <w:p>
      <w:pPr>
        <w:ind w:firstLine="420" w:firstLineChars="200"/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一、部门概况</w:t>
      </w:r>
    </w:p>
    <w:p>
      <w:pPr>
        <w:spacing w:line="360" w:lineRule="auto"/>
        <w:ind w:firstLine="560" w:firstLineChars="200"/>
        <w:rPr>
          <w:rFonts w:eastAsia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（一）部门基本情况</w:t>
      </w:r>
    </w:p>
    <w:p>
      <w:pPr>
        <w:snapToGrid w:val="0"/>
        <w:spacing w:line="360" w:lineRule="auto"/>
        <w:ind w:firstLine="560" w:firstLineChars="200"/>
        <w:rPr>
          <w:rFonts w:hint="default" w:ascii="??_GB2312" w:hAnsi="仿宋" w:eastAsia="宋体"/>
          <w:sz w:val="28"/>
          <w:szCs w:val="28"/>
          <w:lang w:val="en-US" w:eastAsia="zh-CN"/>
        </w:rPr>
      </w:pPr>
      <w:r>
        <w:rPr>
          <w:rFonts w:ascii="??_GB2312" w:eastAsia="Times New Roman"/>
          <w:sz w:val="28"/>
          <w:szCs w:val="28"/>
        </w:rPr>
        <w:t>单位基本情况</w:t>
      </w:r>
      <w:r>
        <w:rPr>
          <w:rFonts w:ascii="??_GB2312" w:eastAsia="Times New Roman"/>
          <w:sz w:val="28"/>
          <w:szCs w:val="28"/>
        </w:rPr>
        <w:br w:type="textWrapping"/>
      </w:r>
      <w:r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隆回县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万和实验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学校是一所隶属教育局管理的九年义务制学校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ascii="??_GB2312" w:eastAsia="Times New Roman"/>
          <w:sz w:val="28"/>
          <w:szCs w:val="28"/>
        </w:rPr>
        <w:t>编制人数为</w:t>
      </w:r>
      <w:r>
        <w:rPr>
          <w:rFonts w:hint="eastAsia" w:ascii="??_GB2312"/>
          <w:sz w:val="28"/>
          <w:szCs w:val="28"/>
          <w:lang w:val="en-US" w:eastAsia="zh-CN"/>
        </w:rPr>
        <w:t>259</w:t>
      </w:r>
      <w:r>
        <w:rPr>
          <w:rFonts w:ascii="??_GB2312" w:eastAsia="Times New Roman"/>
          <w:sz w:val="28"/>
          <w:szCs w:val="28"/>
        </w:rPr>
        <w:t>人，实际</w:t>
      </w:r>
      <w:r>
        <w:rPr>
          <w:rFonts w:hint="eastAsia" w:ascii="??_GB2312" w:eastAsiaTheme="minorEastAsia"/>
          <w:sz w:val="28"/>
          <w:szCs w:val="28"/>
        </w:rPr>
        <w:t>教职工</w:t>
      </w:r>
      <w:r>
        <w:rPr>
          <w:rFonts w:ascii="??_GB2312" w:eastAsia="Times New Roman"/>
          <w:sz w:val="28"/>
          <w:szCs w:val="28"/>
        </w:rPr>
        <w:t>人数</w:t>
      </w:r>
      <w:r>
        <w:rPr>
          <w:rFonts w:hint="eastAsia" w:ascii="??_GB2312"/>
          <w:sz w:val="28"/>
          <w:szCs w:val="28"/>
          <w:lang w:val="en-US" w:eastAsia="zh-CN"/>
        </w:rPr>
        <w:t>252</w:t>
      </w:r>
      <w:r>
        <w:rPr>
          <w:rFonts w:ascii="??_GB2312" w:eastAsia="Times New Roman"/>
          <w:sz w:val="28"/>
          <w:szCs w:val="28"/>
        </w:rPr>
        <w:t>人</w:t>
      </w:r>
      <w:r>
        <w:rPr>
          <w:rFonts w:hint="eastAsia" w:ascii="??_GB2312"/>
          <w:sz w:val="28"/>
          <w:szCs w:val="28"/>
          <w:lang w:eastAsia="zh-CN"/>
        </w:rPr>
        <w:t>，</w:t>
      </w:r>
      <w:r>
        <w:rPr>
          <w:rFonts w:hint="eastAsia" w:ascii="??_GB2312"/>
          <w:sz w:val="28"/>
          <w:szCs w:val="28"/>
          <w:lang w:val="en-US" w:eastAsia="zh-CN"/>
        </w:rPr>
        <w:t>小学教师135人，初中教师117人。</w:t>
      </w:r>
      <w:r>
        <w:rPr>
          <w:rFonts w:hint="eastAsia" w:ascii="??_GB2312" w:eastAsiaTheme="minorEastAsia"/>
          <w:sz w:val="28"/>
          <w:szCs w:val="28"/>
        </w:rPr>
        <w:t>退休教职工</w:t>
      </w:r>
      <w:r>
        <w:rPr>
          <w:rFonts w:hint="eastAsia" w:ascii="??_GB2312" w:eastAsiaTheme="minorEastAsia"/>
          <w:sz w:val="28"/>
          <w:szCs w:val="28"/>
          <w:lang w:val="en-US" w:eastAsia="zh-CN"/>
        </w:rPr>
        <w:t>14</w:t>
      </w:r>
      <w:r>
        <w:rPr>
          <w:rFonts w:ascii="??_GB2312" w:eastAsia="Times New Roman"/>
          <w:sz w:val="28"/>
          <w:szCs w:val="28"/>
        </w:rPr>
        <w:t>人，</w:t>
      </w:r>
      <w:r>
        <w:rPr>
          <w:rFonts w:hint="eastAsia" w:ascii="??_GB2312" w:eastAsiaTheme="minorEastAsia"/>
          <w:sz w:val="28"/>
          <w:szCs w:val="28"/>
        </w:rPr>
        <w:t>学生</w:t>
      </w:r>
      <w:r>
        <w:rPr>
          <w:rFonts w:hint="eastAsia" w:ascii="??_GB2312" w:eastAsiaTheme="minorEastAsia"/>
          <w:sz w:val="28"/>
          <w:szCs w:val="28"/>
          <w:lang w:val="en-US" w:eastAsia="zh-CN"/>
        </w:rPr>
        <w:t>总人数5565</w:t>
      </w:r>
      <w:r>
        <w:rPr>
          <w:rFonts w:ascii="??_GB2312" w:eastAsia="Times New Roman"/>
          <w:sz w:val="28"/>
          <w:szCs w:val="28"/>
        </w:rPr>
        <w:t>人</w:t>
      </w:r>
      <w:r>
        <w:rPr>
          <w:rFonts w:hint="eastAsia" w:ascii="??_GB2312"/>
          <w:sz w:val="28"/>
          <w:szCs w:val="28"/>
          <w:lang w:eastAsia="zh-CN"/>
        </w:rPr>
        <w:t>，</w:t>
      </w:r>
      <w:r>
        <w:rPr>
          <w:rFonts w:hint="eastAsia" w:ascii="??_GB2312"/>
          <w:sz w:val="28"/>
          <w:szCs w:val="28"/>
          <w:lang w:val="en-US" w:eastAsia="zh-CN"/>
        </w:rPr>
        <w:t>小学生人数为3431人，初中生人数为2134人。</w:t>
      </w:r>
    </w:p>
    <w:p>
      <w:pPr>
        <w:spacing w:line="360" w:lineRule="auto"/>
        <w:ind w:firstLine="560" w:firstLineChars="200"/>
        <w:rPr>
          <w:rFonts w:eastAsia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</w:t>
      </w:r>
      <w:r>
        <w:rPr>
          <w:rFonts w:eastAsia="Times New Roman"/>
          <w:sz w:val="28"/>
          <w:szCs w:val="28"/>
        </w:rPr>
        <w:t>202</w:t>
      </w:r>
      <w:r>
        <w:rPr>
          <w:rFonts w:hint="eastAsia" w:eastAsiaTheme="minorEastAsia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年的重点工作</w:t>
      </w:r>
    </w:p>
    <w:p>
      <w:pPr>
        <w:pStyle w:val="2"/>
        <w:spacing w:line="360" w:lineRule="auto"/>
        <w:ind w:firstLine="560"/>
        <w:rPr>
          <w:rFonts w:ascii="??_GB2312" w:eastAsia="Times New Roman"/>
          <w:sz w:val="28"/>
          <w:szCs w:val="28"/>
        </w:rPr>
      </w:pPr>
      <w:r>
        <w:rPr>
          <w:rFonts w:hint="eastAsia" w:ascii="??_GB2312"/>
          <w:sz w:val="28"/>
          <w:szCs w:val="28"/>
        </w:rPr>
        <w:t>研</w:t>
      </w:r>
      <w:r>
        <w:rPr>
          <w:rFonts w:hint="eastAsia" w:ascii="??_GB2312" w:eastAsia="Times New Roman"/>
          <w:sz w:val="28"/>
          <w:szCs w:val="28"/>
        </w:rPr>
        <w:t>究拟定学校教育发展策略，贯彻和执行党和国家的教育方针、政策、法规。管理和指导学校基础教育工作，确保</w:t>
      </w:r>
      <w:r>
        <w:rPr>
          <w:rFonts w:hint="eastAsia" w:ascii="??_GB2312" w:eastAsiaTheme="minorEastAsia"/>
          <w:sz w:val="28"/>
          <w:szCs w:val="28"/>
        </w:rPr>
        <w:t>各项</w:t>
      </w:r>
      <w:r>
        <w:rPr>
          <w:rFonts w:hint="eastAsia" w:ascii="??_GB2312" w:eastAsia="Times New Roman"/>
          <w:sz w:val="28"/>
          <w:szCs w:val="28"/>
        </w:rPr>
        <w:t>教育</w:t>
      </w:r>
      <w:r>
        <w:rPr>
          <w:rFonts w:hint="eastAsia" w:ascii="??_GB2312" w:eastAsiaTheme="minorEastAsia"/>
          <w:sz w:val="28"/>
          <w:szCs w:val="28"/>
        </w:rPr>
        <w:t>教学管理</w:t>
      </w:r>
      <w:r>
        <w:rPr>
          <w:rFonts w:hint="eastAsia" w:ascii="??_GB2312" w:eastAsia="Times New Roman"/>
          <w:sz w:val="28"/>
          <w:szCs w:val="28"/>
        </w:rPr>
        <w:t>工作</w:t>
      </w:r>
      <w:r>
        <w:rPr>
          <w:rFonts w:hint="eastAsia" w:ascii="??_GB2312" w:eastAsiaTheme="minorEastAsia"/>
          <w:sz w:val="28"/>
          <w:szCs w:val="28"/>
        </w:rPr>
        <w:t>在</w:t>
      </w:r>
      <w:r>
        <w:rPr>
          <w:rFonts w:hint="eastAsia" w:ascii="??_GB2312" w:eastAsiaTheme="minorEastAsia"/>
          <w:sz w:val="28"/>
          <w:szCs w:val="28"/>
          <w:lang w:val="en-US" w:eastAsia="zh-CN"/>
        </w:rPr>
        <w:t>隆回县</w:t>
      </w:r>
      <w:r>
        <w:rPr>
          <w:rFonts w:hint="eastAsia" w:ascii="??_GB2312" w:eastAsiaTheme="minorEastAsia"/>
          <w:sz w:val="28"/>
          <w:szCs w:val="28"/>
        </w:rPr>
        <w:t>处于领先</w:t>
      </w:r>
      <w:r>
        <w:rPr>
          <w:rFonts w:hint="eastAsia" w:ascii="??_GB2312" w:eastAsiaTheme="minorEastAsia"/>
          <w:sz w:val="28"/>
          <w:szCs w:val="28"/>
          <w:lang w:val="en-US" w:eastAsia="zh-CN"/>
        </w:rPr>
        <w:t>水平</w:t>
      </w:r>
      <w:r>
        <w:rPr>
          <w:rFonts w:hint="eastAsia" w:ascii="??_GB2312" w:eastAsiaTheme="minorEastAsia"/>
          <w:sz w:val="28"/>
          <w:szCs w:val="28"/>
        </w:rPr>
        <w:t>。加大投入，改善办学条件。严格管理</w:t>
      </w:r>
      <w:r>
        <w:rPr>
          <w:rFonts w:hint="eastAsia" w:ascii="??_GB2312" w:eastAsia="Times New Roman"/>
          <w:sz w:val="28"/>
          <w:szCs w:val="28"/>
        </w:rPr>
        <w:t>学校教育经费，</w:t>
      </w:r>
      <w:r>
        <w:rPr>
          <w:rFonts w:hint="eastAsia" w:ascii="??_GB2312" w:eastAsiaTheme="minorEastAsia"/>
          <w:sz w:val="28"/>
          <w:szCs w:val="28"/>
        </w:rPr>
        <w:t>一切支出遵守</w:t>
      </w:r>
      <w:r>
        <w:rPr>
          <w:rFonts w:hint="eastAsia" w:ascii="??_GB2312" w:eastAsia="Times New Roman"/>
          <w:sz w:val="28"/>
          <w:szCs w:val="28"/>
        </w:rPr>
        <w:t>财务管理制度</w:t>
      </w:r>
      <w:r>
        <w:rPr>
          <w:rFonts w:hint="eastAsia" w:ascii="??_GB2312" w:eastAsiaTheme="minorEastAsia"/>
          <w:sz w:val="28"/>
          <w:szCs w:val="28"/>
        </w:rPr>
        <w:t>。</w:t>
      </w:r>
      <w:r>
        <w:rPr>
          <w:rFonts w:hint="eastAsia" w:ascii="??_GB2312" w:eastAsia="Times New Roman"/>
          <w:sz w:val="28"/>
          <w:szCs w:val="28"/>
        </w:rPr>
        <w:t>负责和指导学校教职工的思想政治工作。</w:t>
      </w:r>
    </w:p>
    <w:p>
      <w:pPr>
        <w:spacing w:line="360" w:lineRule="auto"/>
        <w:ind w:firstLine="560" w:firstLineChars="200"/>
        <w:rPr>
          <w:rFonts w:ascii="??_GB2312" w:eastAsia="Times New Roman"/>
          <w:sz w:val="28"/>
          <w:szCs w:val="28"/>
        </w:rPr>
      </w:pPr>
      <w:r>
        <w:rPr>
          <w:rFonts w:hint="eastAsia" w:ascii="??_GB2312" w:eastAsia="Times New Roman"/>
          <w:sz w:val="28"/>
          <w:szCs w:val="28"/>
        </w:rPr>
        <w:t>（三）部门整体支出情况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??_GB2312" w:hAnsi="Times New Roman" w:eastAsia="Times New Roman" w:cs="Times New Roman"/>
          <w:kern w:val="2"/>
          <w:sz w:val="28"/>
          <w:szCs w:val="28"/>
        </w:rPr>
      </w:pPr>
      <w:r>
        <w:rPr>
          <w:rFonts w:ascii="??_GB2312" w:hAnsi="Times New Roman" w:eastAsia="Times New Roman" w:cs="Times New Roman"/>
          <w:kern w:val="2"/>
          <w:sz w:val="28"/>
          <w:szCs w:val="28"/>
        </w:rPr>
        <w:t>202</w:t>
      </w:r>
      <w:r>
        <w:rPr>
          <w:rFonts w:hint="eastAsia" w:ascii="??_GB2312" w:hAnsi="Times New Roman" w:cs="Times New Roman" w:eastAsiaTheme="minorEastAsia"/>
          <w:kern w:val="2"/>
          <w:sz w:val="28"/>
          <w:szCs w:val="28"/>
        </w:rPr>
        <w:t>1</w:t>
      </w:r>
      <w:r>
        <w:rPr>
          <w:rFonts w:hint="eastAsia" w:ascii="??_GB2312" w:hAnsi="Times New Roman" w:eastAsia="Times New Roman" w:cs="Times New Roman"/>
          <w:kern w:val="2"/>
          <w:sz w:val="28"/>
          <w:szCs w:val="28"/>
        </w:rPr>
        <w:t>年度决算支出为</w:t>
      </w:r>
      <w:r>
        <w:rPr>
          <w:rFonts w:hint="eastAsia" w:ascii="??_GB2312" w:hAnsi="Times New Roman" w:cs="Times New Roman"/>
          <w:kern w:val="2"/>
          <w:sz w:val="28"/>
          <w:szCs w:val="28"/>
          <w:lang w:val="en-US" w:eastAsia="zh-CN"/>
        </w:rPr>
        <w:t>3659.7</w:t>
      </w:r>
      <w:r>
        <w:rPr>
          <w:rFonts w:hint="eastAsia" w:ascii="??_GB2312" w:hAnsi="Times New Roman" w:eastAsia="Times New Roman" w:cs="Times New Roman"/>
          <w:kern w:val="2"/>
          <w:sz w:val="28"/>
          <w:szCs w:val="28"/>
        </w:rPr>
        <w:t>万元</w:t>
      </w:r>
      <w:r>
        <w:rPr>
          <w:rFonts w:ascii="??_GB2312" w:hAnsi="Times New Roman" w:eastAsia="Times New Roman" w:cs="Times New Roman"/>
          <w:kern w:val="2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??_GB2312" w:eastAsia="Times New Roman"/>
          <w:sz w:val="28"/>
          <w:szCs w:val="28"/>
        </w:rPr>
      </w:pPr>
      <w:r>
        <w:rPr>
          <w:rFonts w:hint="eastAsia" w:ascii="??_GB2312" w:eastAsia="Times New Roman"/>
          <w:sz w:val="28"/>
          <w:szCs w:val="28"/>
        </w:rPr>
        <w:t>二、部门整体支出管理及使用情况</w:t>
      </w:r>
    </w:p>
    <w:p>
      <w:pPr>
        <w:spacing w:line="360" w:lineRule="auto"/>
        <w:ind w:firstLine="560" w:firstLineChars="200"/>
        <w:rPr>
          <w:rFonts w:ascii="??_GB2312" w:eastAsia="Times New Roman"/>
          <w:sz w:val="28"/>
          <w:szCs w:val="28"/>
        </w:rPr>
      </w:pPr>
      <w:r>
        <w:rPr>
          <w:rFonts w:hint="eastAsia" w:ascii="??_GB2312" w:eastAsia="Times New Roman"/>
          <w:sz w:val="28"/>
          <w:szCs w:val="28"/>
        </w:rPr>
        <w:t>（一）基本支出情况</w:t>
      </w:r>
    </w:p>
    <w:p>
      <w:pPr>
        <w:pStyle w:val="2"/>
        <w:spacing w:line="360" w:lineRule="auto"/>
        <w:ind w:firstLine="560"/>
        <w:rPr>
          <w:rFonts w:ascii="??_GB2312" w:eastAsia="Times New Roman"/>
          <w:sz w:val="28"/>
          <w:szCs w:val="28"/>
        </w:rPr>
      </w:pPr>
      <w:r>
        <w:rPr>
          <w:rFonts w:hint="eastAsia" w:ascii="??_GB2312" w:eastAsia="Times New Roman"/>
          <w:sz w:val="28"/>
          <w:szCs w:val="28"/>
        </w:rPr>
        <w:t>202</w:t>
      </w:r>
      <w:r>
        <w:rPr>
          <w:rFonts w:hint="eastAsia" w:ascii="??_GB2312" w:eastAsiaTheme="minorEastAsia"/>
          <w:sz w:val="28"/>
          <w:szCs w:val="28"/>
        </w:rPr>
        <w:t>1</w:t>
      </w:r>
      <w:r>
        <w:rPr>
          <w:rFonts w:hint="eastAsia" w:ascii="??_GB2312" w:eastAsia="Times New Roman"/>
          <w:sz w:val="28"/>
          <w:szCs w:val="28"/>
        </w:rPr>
        <w:t>年度决算数为</w:t>
      </w:r>
      <w:r>
        <w:rPr>
          <w:rFonts w:hint="eastAsia" w:ascii="??_GB2312"/>
          <w:sz w:val="28"/>
          <w:szCs w:val="28"/>
          <w:lang w:val="en-US" w:eastAsia="zh-CN"/>
        </w:rPr>
        <w:t>3556.3</w:t>
      </w:r>
      <w:r>
        <w:rPr>
          <w:rFonts w:hint="eastAsia" w:ascii="??_GB2312" w:eastAsia="Times New Roman"/>
          <w:sz w:val="28"/>
          <w:szCs w:val="28"/>
        </w:rPr>
        <w:t>万元，是为保障单位机构正常运转、完成日常工作任务而发生的各项支出，主要包括工资福利支出、商品和服务支出，对个人和家庭的补助支出、资本性支出和其他资本性支出。</w:t>
      </w:r>
    </w:p>
    <w:p>
      <w:pPr>
        <w:spacing w:line="360" w:lineRule="auto"/>
        <w:ind w:firstLine="560" w:firstLineChars="200"/>
        <w:rPr>
          <w:rFonts w:ascii="??_GB2312" w:eastAsia="Times New Roman"/>
          <w:sz w:val="28"/>
          <w:szCs w:val="28"/>
        </w:rPr>
      </w:pPr>
      <w:r>
        <w:rPr>
          <w:rFonts w:hint="eastAsia" w:ascii="??_GB2312" w:eastAsia="Times New Roman"/>
          <w:sz w:val="28"/>
          <w:szCs w:val="28"/>
        </w:rPr>
        <w:t>（二）项目支出情况</w:t>
      </w:r>
    </w:p>
    <w:p>
      <w:pPr>
        <w:pStyle w:val="2"/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cs="宋体"/>
          <w:sz w:val="28"/>
          <w:szCs w:val="28"/>
        </w:rPr>
        <w:t>021年年度决算数为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103.4</w:t>
      </w:r>
      <w:r>
        <w:rPr>
          <w:rFonts w:hint="eastAsia" w:ascii="宋体" w:hAnsi="宋体" w:cs="宋体"/>
          <w:sz w:val="28"/>
          <w:szCs w:val="28"/>
        </w:rPr>
        <w:t>万元，是指单位为完成选定行政工作或事业发展目标而发生的支出，包括有关事业发展专项、专项业务费、基本建设支出等。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</w:rPr>
        <w:t>三公</w:t>
      </w:r>
      <w:r>
        <w:rPr>
          <w:rFonts w:eastAsia="Times New Roman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t>经费情况</w:t>
      </w: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202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>1</w:t>
      </w:r>
      <w:r>
        <w:rPr>
          <w:rFonts w:hint="eastAsia" w:ascii="宋体" w:hAnsi="宋体"/>
          <w:kern w:val="2"/>
          <w:sz w:val="28"/>
          <w:szCs w:val="28"/>
        </w:rPr>
        <w:t>年我单位</w:t>
      </w:r>
      <w:r>
        <w:rPr>
          <w:rFonts w:ascii="Times New Roman" w:hAnsi="Times New Roman" w:cs="Times New Roman"/>
          <w:kern w:val="2"/>
          <w:sz w:val="28"/>
          <w:szCs w:val="28"/>
        </w:rPr>
        <w:t>“</w:t>
      </w:r>
      <w:r>
        <w:rPr>
          <w:rFonts w:hint="eastAsia" w:ascii="宋体" w:hAnsi="宋体"/>
          <w:kern w:val="2"/>
          <w:sz w:val="28"/>
          <w:szCs w:val="28"/>
        </w:rPr>
        <w:t>三公</w:t>
      </w:r>
      <w:r>
        <w:rPr>
          <w:rFonts w:ascii="Times New Roman" w:hAnsi="Times New Roman" w:cs="Times New Roman"/>
          <w:kern w:val="2"/>
          <w:sz w:val="28"/>
          <w:szCs w:val="28"/>
        </w:rPr>
        <w:t>”</w:t>
      </w:r>
      <w:r>
        <w:rPr>
          <w:rFonts w:hint="eastAsia" w:ascii="宋体" w:hAnsi="宋体"/>
          <w:kern w:val="2"/>
          <w:sz w:val="28"/>
          <w:szCs w:val="28"/>
        </w:rPr>
        <w:t>经费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kern w:val="2"/>
          <w:sz w:val="28"/>
          <w:szCs w:val="28"/>
        </w:rPr>
        <w:t>万元</w:t>
      </w: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hint="eastAsia" w:ascii="宋体" w:hAnsi="宋体"/>
          <w:kern w:val="2"/>
          <w:sz w:val="28"/>
          <w:szCs w:val="28"/>
        </w:rPr>
        <w:t>、因公出国</w:t>
      </w:r>
      <w:r>
        <w:rPr>
          <w:rFonts w:ascii="Times New Roman" w:hAnsi="Times New Roman" w:cs="Times New Roman"/>
          <w:kern w:val="2"/>
          <w:sz w:val="28"/>
          <w:szCs w:val="28"/>
        </w:rPr>
        <w:t>(</w:t>
      </w:r>
      <w:r>
        <w:rPr>
          <w:rFonts w:hint="eastAsia" w:ascii="宋体" w:hAnsi="宋体"/>
          <w:kern w:val="2"/>
          <w:sz w:val="28"/>
          <w:szCs w:val="28"/>
        </w:rPr>
        <w:t>境</w:t>
      </w:r>
      <w:r>
        <w:rPr>
          <w:rFonts w:ascii="Times New Roman" w:hAnsi="Times New Roman" w:cs="Times New Roman"/>
          <w:kern w:val="2"/>
          <w:sz w:val="28"/>
          <w:szCs w:val="28"/>
        </w:rPr>
        <w:t>)</w:t>
      </w:r>
      <w:r>
        <w:rPr>
          <w:rFonts w:hint="eastAsia" w:ascii="宋体" w:hAnsi="宋体"/>
          <w:kern w:val="2"/>
          <w:sz w:val="28"/>
          <w:szCs w:val="28"/>
        </w:rPr>
        <w:t>费</w:t>
      </w:r>
      <w:r>
        <w:rPr>
          <w:rFonts w:ascii="Times New Roman" w:hAnsi="Times New Roman" w:cs="Times New Roman"/>
          <w:kern w:val="2"/>
          <w:sz w:val="28"/>
          <w:szCs w:val="28"/>
        </w:rPr>
        <w:t>0</w:t>
      </w:r>
      <w:r>
        <w:rPr>
          <w:rFonts w:hint="eastAsia" w:ascii="宋体" w:hAnsi="宋体"/>
          <w:kern w:val="2"/>
          <w:sz w:val="28"/>
          <w:szCs w:val="28"/>
        </w:rPr>
        <w:t>元</w:t>
      </w: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hint="eastAsia" w:ascii="宋体" w:hAnsi="宋体"/>
          <w:kern w:val="2"/>
          <w:sz w:val="28"/>
          <w:szCs w:val="28"/>
        </w:rPr>
        <w:t>、公务接待费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kern w:val="2"/>
          <w:sz w:val="28"/>
          <w:szCs w:val="28"/>
        </w:rPr>
        <w:t>万元</w:t>
      </w: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>
        <w:rPr>
          <w:rFonts w:hint="eastAsia" w:ascii="宋体" w:hAnsi="宋体"/>
          <w:kern w:val="2"/>
          <w:sz w:val="28"/>
          <w:szCs w:val="28"/>
        </w:rPr>
        <w:t>、公务用车费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>0</w:t>
      </w:r>
      <w:r>
        <w:rPr>
          <w:rFonts w:hint="eastAsia" w:ascii="宋体" w:hAnsi="宋体"/>
          <w:kern w:val="2"/>
          <w:sz w:val="28"/>
          <w:szCs w:val="28"/>
        </w:rPr>
        <w:t>万元（公务用车运行维护费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>0</w:t>
      </w:r>
      <w:r>
        <w:rPr>
          <w:rFonts w:hint="eastAsia" w:ascii="宋体" w:hAnsi="宋体"/>
          <w:kern w:val="2"/>
          <w:sz w:val="28"/>
          <w:szCs w:val="28"/>
        </w:rPr>
        <w:t>万元，公务用车购置费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0 </w:t>
      </w:r>
      <w:r>
        <w:rPr>
          <w:rFonts w:hint="eastAsia" w:ascii="宋体" w:hAnsi="宋体"/>
          <w:kern w:val="2"/>
          <w:sz w:val="28"/>
          <w:szCs w:val="28"/>
        </w:rPr>
        <w:t>元）。</w:t>
      </w:r>
    </w:p>
    <w:p>
      <w:pPr>
        <w:pStyle w:val="6"/>
        <w:widowControl/>
        <w:spacing w:before="0" w:beforeAutospacing="0" w:after="0" w:afterAutospacing="0" w:line="360" w:lineRule="auto"/>
        <w:ind w:firstLine="560" w:firstLineChars="2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三、部门整体支出绩效情况</w:t>
      </w: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宋体" w:hAnsi="宋体"/>
          <w:kern w:val="2"/>
          <w:sz w:val="28"/>
          <w:szCs w:val="28"/>
        </w:rPr>
        <w:t>财务管理制度建设情况：资金拨付严格按程序申报、审批，合理合规使用资金，确保财政资金安全。</w:t>
      </w: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资产管理：及时按照要求报送资产情况报表，确保各项资产核算准确、帐实相符、管理到位。</w:t>
      </w: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预决算公开：及时在县人民政府门户网站上进行了预决算公开。</w:t>
      </w: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认真履行职责，及时报送财政供养信息、存量资金等有关资料及报表。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存在的问题</w:t>
      </w:r>
    </w:p>
    <w:p>
      <w:pPr>
        <w:pStyle w:val="2"/>
        <w:spacing w:line="360" w:lineRule="auto"/>
        <w:ind w:firstLine="0" w:firstLineChars="0"/>
        <w:rPr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1、预算编制工作有待细化。预算编制不够明确和细化，预算编制的合理性需要提高，预算执行力度还要进一步加强。</w:t>
      </w: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2、公用经费的支出数大于预算数，预算不足。</w:t>
      </w: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3、由于高级教师比例高，绩效工资严重不足。</w:t>
      </w: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五、改进措施和有关建议</w:t>
      </w:r>
    </w:p>
    <w:p>
      <w:pPr>
        <w:pStyle w:val="2"/>
        <w:spacing w:line="360" w:lineRule="auto"/>
        <w:ind w:firstLine="560"/>
        <w:rPr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4、希望财政管理部门能落实好单位的人头经费及公用经费。</w:t>
      </w: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5、加强对财务人员和财务主管领导的业务培训。</w:t>
      </w:r>
    </w:p>
    <w:p>
      <w:pPr>
        <w:pStyle w:val="6"/>
        <w:widowControl/>
        <w:spacing w:before="0" w:beforeAutospacing="0" w:after="0" w:afterAutospacing="0" w:line="360" w:lineRule="auto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60" w:lineRule="auto"/>
        <w:ind w:firstLine="5320" w:firstLineChars="19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隆回县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万和实验</w:t>
      </w:r>
      <w:r>
        <w:rPr>
          <w:rFonts w:hint="eastAsia" w:ascii="宋体" w:hAnsi="宋体"/>
          <w:kern w:val="2"/>
          <w:sz w:val="28"/>
          <w:szCs w:val="28"/>
        </w:rPr>
        <w:t>学</w:t>
      </w:r>
    </w:p>
    <w:p>
      <w:pPr>
        <w:pStyle w:val="6"/>
        <w:widowControl/>
        <w:spacing w:before="0" w:beforeAutospacing="0" w:after="0" w:afterAutospacing="0" w:line="360" w:lineRule="auto"/>
        <w:ind w:firstLine="840" w:firstLineChars="3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 xml:space="preserve">                             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kern w:val="2"/>
          <w:sz w:val="28"/>
          <w:szCs w:val="28"/>
        </w:rPr>
        <w:t xml:space="preserve"> 2022年4月2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kern w:val="2"/>
          <w:sz w:val="28"/>
          <w:szCs w:val="28"/>
        </w:rPr>
        <w:t>日</w:t>
      </w:r>
    </w:p>
    <w:p>
      <w:pPr>
        <w:spacing w:line="360" w:lineRule="auto"/>
        <w:rPr>
          <w:rFonts w:eastAsia="Times New Roman"/>
          <w:sz w:val="28"/>
          <w:szCs w:val="28"/>
        </w:rPr>
      </w:pPr>
    </w:p>
    <w:p>
      <w:pPr>
        <w:spacing w:line="360" w:lineRule="auto"/>
        <w:rPr>
          <w:rFonts w:ascii="黑体" w:hAnsi="宋体" w:eastAsia="黑体" w:cs="宋体"/>
          <w:kern w:val="0"/>
          <w:sz w:val="28"/>
          <w:szCs w:val="28"/>
        </w:rPr>
      </w:pPr>
    </w:p>
    <w:p>
      <w:pPr>
        <w:spacing w:line="360" w:lineRule="auto"/>
        <w:rPr>
          <w:rFonts w:ascii="黑体" w:hAnsi="宋体" w:eastAsia="黑体" w:cs="宋体"/>
          <w:kern w:val="0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cs="宋体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rStyle w:val="9"/>
        <w:sz w:val="28"/>
        <w:szCs w:val="28"/>
      </w:rPr>
      <w:fldChar w:fldCharType="end"/>
    </w:r>
    <w:r>
      <w:rPr>
        <w:rStyle w:val="9"/>
        <w:rFonts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4367"/>
    <w:multiLevelType w:val="singleLevel"/>
    <w:tmpl w:val="2D224367"/>
    <w:lvl w:ilvl="0" w:tentative="0">
      <w:start w:val="3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1">
    <w:nsid w:val="4CCB32E1"/>
    <w:multiLevelType w:val="singleLevel"/>
    <w:tmpl w:val="4CCB32E1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67AA23B"/>
    <w:multiLevelType w:val="singleLevel"/>
    <w:tmpl w:val="667AA23B"/>
    <w:lvl w:ilvl="0" w:tentative="0">
      <w:start w:val="4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B711489"/>
    <w:rsid w:val="000701CB"/>
    <w:rsid w:val="00077594"/>
    <w:rsid w:val="000912A3"/>
    <w:rsid w:val="000B10DA"/>
    <w:rsid w:val="0012193B"/>
    <w:rsid w:val="0015635C"/>
    <w:rsid w:val="00262A5C"/>
    <w:rsid w:val="00384B29"/>
    <w:rsid w:val="00427446"/>
    <w:rsid w:val="004C0F39"/>
    <w:rsid w:val="005A4B18"/>
    <w:rsid w:val="006260FD"/>
    <w:rsid w:val="006628C0"/>
    <w:rsid w:val="00692C03"/>
    <w:rsid w:val="007448E1"/>
    <w:rsid w:val="007A7C25"/>
    <w:rsid w:val="007C5BAC"/>
    <w:rsid w:val="00817A16"/>
    <w:rsid w:val="008527AC"/>
    <w:rsid w:val="00855918"/>
    <w:rsid w:val="008907AE"/>
    <w:rsid w:val="008A77FE"/>
    <w:rsid w:val="00936396"/>
    <w:rsid w:val="00986A6B"/>
    <w:rsid w:val="009E1C4A"/>
    <w:rsid w:val="00A851A2"/>
    <w:rsid w:val="00C66565"/>
    <w:rsid w:val="00DE4896"/>
    <w:rsid w:val="00E3765E"/>
    <w:rsid w:val="00EE0892"/>
    <w:rsid w:val="00FA316B"/>
    <w:rsid w:val="00FC5789"/>
    <w:rsid w:val="01E346C9"/>
    <w:rsid w:val="063B7BBC"/>
    <w:rsid w:val="0ADB1CC3"/>
    <w:rsid w:val="0B6F7554"/>
    <w:rsid w:val="131C1B84"/>
    <w:rsid w:val="21E52B0B"/>
    <w:rsid w:val="25FE719F"/>
    <w:rsid w:val="272B1537"/>
    <w:rsid w:val="29E505BF"/>
    <w:rsid w:val="2B3E21B1"/>
    <w:rsid w:val="2D0F06C3"/>
    <w:rsid w:val="2EC46AF1"/>
    <w:rsid w:val="30774CA1"/>
    <w:rsid w:val="34BD7906"/>
    <w:rsid w:val="354148B8"/>
    <w:rsid w:val="3875498D"/>
    <w:rsid w:val="39422550"/>
    <w:rsid w:val="3A5F5447"/>
    <w:rsid w:val="3D897E2D"/>
    <w:rsid w:val="3DBD1AC1"/>
    <w:rsid w:val="40F06408"/>
    <w:rsid w:val="424367F6"/>
    <w:rsid w:val="45627073"/>
    <w:rsid w:val="4AE840D8"/>
    <w:rsid w:val="4BF73D3E"/>
    <w:rsid w:val="4E3A2676"/>
    <w:rsid w:val="51B92DAD"/>
    <w:rsid w:val="52D63DBD"/>
    <w:rsid w:val="55F04CDA"/>
    <w:rsid w:val="56851C86"/>
    <w:rsid w:val="5AE405B3"/>
    <w:rsid w:val="5C2F1E13"/>
    <w:rsid w:val="5E2274AA"/>
    <w:rsid w:val="5F7C7F28"/>
    <w:rsid w:val="62841720"/>
    <w:rsid w:val="6E045463"/>
    <w:rsid w:val="71071766"/>
    <w:rsid w:val="7A417D5F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99"/>
    <w:pPr>
      <w:ind w:firstLine="420"/>
    </w:pPr>
  </w:style>
  <w:style w:type="paragraph" w:styleId="3">
    <w:name w:val="Body Text Indent"/>
    <w:basedOn w:val="1"/>
    <w:link w:val="10"/>
    <w:qFormat/>
    <w:uiPriority w:val="99"/>
    <w:pPr>
      <w:ind w:firstLine="640" w:firstLineChars="200"/>
    </w:pPr>
    <w:rPr>
      <w:sz w:val="32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正文文本缩进 Char"/>
    <w:basedOn w:val="8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1">
    <w:name w:val="正文首行缩进 2 Char"/>
    <w:basedOn w:val="10"/>
    <w:link w:val="2"/>
    <w:semiHidden/>
    <w:qFormat/>
    <w:locked/>
    <w:uiPriority w:val="99"/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380</Words>
  <Characters>2166</Characters>
  <Lines>18</Lines>
  <Paragraphs>5</Paragraphs>
  <TotalTime>54</TotalTime>
  <ScaleCrop>false</ScaleCrop>
  <LinksUpToDate>false</LinksUpToDate>
  <CharactersWithSpaces>2541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2021-04-21T08:51:00Z</dcterms:created>
  <dc:creator>曦微。</dc:creator>
  <cp:lastModifiedBy>Aa§^00^§源</cp:lastModifiedBy>
  <dcterms:modified xsi:type="dcterms:W3CDTF">2022-04-22T01:55:09Z</dcterms:modified>
  <dc:title>附件3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24B3F085F6D24B09B851298C07F6B5F9</vt:lpwstr>
  </property>
</Properties>
</file>