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5"/>
        <w:tblW w:w="9189"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412"/>
        <w:gridCol w:w="1025"/>
        <w:gridCol w:w="50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189" w:type="dxa"/>
            <w:gridSpan w:val="11"/>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lang w:val="en-US" w:eastAsia="zh-CN"/>
              </w:rPr>
              <w:t>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036"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473" w:type="dxa"/>
            <w:gridSpan w:val="8"/>
            <w:noWrap w:val="0"/>
            <w:vAlign w:val="center"/>
          </w:tcPr>
          <w:p>
            <w:pPr>
              <w:spacing w:line="540" w:lineRule="exact"/>
              <w:jc w:val="center"/>
              <w:rPr>
                <w:rFonts w:ascii="楷体" w:hAnsi="楷体" w:eastAsia="楷体" w:cs="楷体"/>
                <w:szCs w:val="21"/>
              </w:rPr>
            </w:pPr>
            <w:r>
              <w:rPr>
                <w:rFonts w:hint="eastAsia" w:ascii="楷体" w:hAnsi="楷体" w:eastAsia="楷体" w:cs="楷体"/>
                <w:sz w:val="32"/>
                <w:szCs w:val="32"/>
              </w:rPr>
              <w:t>隆回县文化旅游广电体育局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46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楷体" w:hAnsi="楷体" w:eastAsia="楷体" w:cs="楷体"/>
                <w:szCs w:val="21"/>
              </w:rPr>
            </w:pPr>
            <w:r>
              <w:rPr>
                <w:rFonts w:hint="eastAsia" w:ascii="楷体" w:hAnsi="楷体" w:eastAsia="楷体" w:cs="楷体"/>
                <w:szCs w:val="21"/>
                <w:lang w:val="en-US" w:eastAsia="zh-CN"/>
              </w:rPr>
              <w:t>81</w:t>
            </w:r>
          </w:p>
        </w:tc>
        <w:tc>
          <w:tcPr>
            <w:tcW w:w="15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firstLine="105" w:firstLineChars="50"/>
              <w:jc w:val="center"/>
              <w:textAlignment w:val="auto"/>
              <w:rPr>
                <w:rFonts w:ascii="楷体" w:hAnsi="楷体" w:eastAsia="楷体" w:cs="楷体"/>
                <w:szCs w:val="21"/>
              </w:rPr>
            </w:pPr>
            <w:r>
              <w:rPr>
                <w:rFonts w:hint="eastAsia" w:ascii="楷体" w:hAnsi="楷体" w:eastAsia="楷体" w:cs="楷体"/>
                <w:szCs w:val="21"/>
              </w:rPr>
              <w:t>实有人数</w:t>
            </w:r>
          </w:p>
        </w:tc>
        <w:tc>
          <w:tcPr>
            <w:tcW w:w="29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lang w:val="en-US" w:eastAsia="zh-CN"/>
              </w:rPr>
            </w:pPr>
            <w:r>
              <w:rPr>
                <w:rFonts w:hint="eastAsia"/>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3009"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473"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楷体"/>
                <w:szCs w:val="21"/>
              </w:rPr>
            </w:pPr>
            <w:r>
              <w:rPr>
                <w:rFonts w:hint="eastAsia" w:ascii="楷体" w:hAnsi="楷体" w:eastAsia="楷体" w:cs="楷体"/>
                <w:szCs w:val="21"/>
                <w:lang w:val="en-US" w:eastAsia="zh-CN"/>
              </w:rPr>
              <w:t>1、执行党和国家有关文化旅游广电体育局工作的路线、方针、政策和法律、法规、规章并开展相关工作等。2、</w:t>
            </w:r>
            <w:r>
              <w:rPr>
                <w:rFonts w:hint="eastAsia" w:ascii="楷体" w:hAnsi="楷体" w:eastAsia="楷体" w:cs="楷体"/>
                <w:szCs w:val="21"/>
              </w:rPr>
              <w:t>推进全县文化旅游广电体育局领域的公共文化服务，统筹安排各项事业经费；规划、指导或实施公共文化产品生产、公共文化重大工程、重大活动、重点文化设施建设和基层文化设施建设。</w:t>
            </w:r>
            <w:r>
              <w:rPr>
                <w:rFonts w:hint="eastAsia" w:ascii="楷体" w:hAnsi="楷体" w:eastAsia="楷体" w:cs="楷体"/>
                <w:szCs w:val="21"/>
                <w:lang w:val="en-US" w:eastAsia="zh-CN"/>
              </w:rPr>
              <w:t>3、</w:t>
            </w:r>
            <w:r>
              <w:rPr>
                <w:rFonts w:hint="eastAsia" w:ascii="楷体" w:hAnsi="楷体" w:eastAsia="楷体" w:cs="楷体"/>
                <w:szCs w:val="21"/>
              </w:rPr>
              <w:t>推进全县文化和旅游行业信用体系建设，依法规范文化和旅游市场。负责对全县文化艺术经营活动进行行业监管;负责对从事演艺活动的民办机构进行监管;负责对网吧等上网服务营业场所实行经营许可证管理;负责对网络游戏服务进行监管。</w:t>
            </w:r>
            <w:r>
              <w:rPr>
                <w:rFonts w:hint="eastAsia" w:ascii="楷体" w:hAnsi="楷体" w:eastAsia="楷体" w:cs="楷体"/>
                <w:szCs w:val="21"/>
                <w:lang w:val="en-US" w:eastAsia="zh-CN"/>
              </w:rPr>
              <w:t>4、</w:t>
            </w:r>
            <w:r>
              <w:rPr>
                <w:rFonts w:hint="eastAsia" w:ascii="楷体" w:hAnsi="楷体" w:eastAsia="楷体" w:cs="楷体"/>
                <w:szCs w:val="21"/>
              </w:rPr>
              <w:t>管理全县文物、博物馆事业，指导开展文物的保护、管理、利用和执法工作。</w:t>
            </w:r>
            <w:r>
              <w:rPr>
                <w:rFonts w:hint="eastAsia" w:ascii="楷体" w:hAnsi="楷体" w:eastAsia="楷体" w:cs="楷体"/>
                <w:szCs w:val="21"/>
                <w:lang w:val="en-US" w:eastAsia="zh-CN"/>
              </w:rPr>
              <w:t>5、管理、指导全县社会艺术教育和文化艺术行业职业教及相关人才建设和教育培训工作，联系、指导文化旅游广电体育局领域行业协会（社会团体）工作。6、</w:t>
            </w:r>
            <w:r>
              <w:rPr>
                <w:rFonts w:hint="default" w:ascii="楷体" w:hAnsi="楷体" w:eastAsia="楷体" w:cs="楷体"/>
                <w:szCs w:val="21"/>
                <w:lang w:val="en-US" w:eastAsia="zh-CN"/>
              </w:rPr>
              <w:t>承办县委、县政府交办的其它</w:t>
            </w:r>
            <w:r>
              <w:rPr>
                <w:rFonts w:hint="eastAsia" w:ascii="楷体" w:hAnsi="楷体" w:eastAsia="楷体" w:cs="楷体"/>
                <w:szCs w:val="21"/>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72"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仿宋" w:cs="楷体"/>
                <w:szCs w:val="21"/>
                <w:lang w:val="en-US" w:eastAsia="zh-CN"/>
              </w:rPr>
            </w:pPr>
            <w:r>
              <w:rPr>
                <w:rFonts w:hint="eastAsia" w:ascii="楷体" w:hAnsi="楷体" w:eastAsia="楷体" w:cs="楷体"/>
                <w:szCs w:val="21"/>
                <w:lang w:val="en-US" w:eastAsia="zh-CN"/>
              </w:rPr>
              <w:t>3386</w:t>
            </w:r>
          </w:p>
        </w:tc>
        <w:tc>
          <w:tcPr>
            <w:tcW w:w="1404"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25" w:type="dxa"/>
            <w:noWrap w:val="0"/>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16</w:t>
            </w:r>
          </w:p>
        </w:tc>
        <w:tc>
          <w:tcPr>
            <w:tcW w:w="500"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00" w:type="dxa"/>
            <w:vMerge w:val="restart"/>
            <w:noWrap w:val="0"/>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55"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404"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25" w:type="dxa"/>
            <w:noWrap w:val="0"/>
            <w:vAlign w:val="top"/>
          </w:tcPr>
          <w:p>
            <w:pPr>
              <w:spacing w:line="560" w:lineRule="exact"/>
              <w:jc w:val="left"/>
              <w:rPr>
                <w:rFonts w:ascii="楷体" w:hAnsi="楷体" w:eastAsia="楷体" w:cs="楷体"/>
                <w:szCs w:val="21"/>
              </w:rPr>
            </w:pPr>
          </w:p>
        </w:tc>
        <w:tc>
          <w:tcPr>
            <w:tcW w:w="500" w:type="dxa"/>
            <w:vMerge w:val="continue"/>
            <w:noWrap w:val="0"/>
            <w:vAlign w:val="center"/>
          </w:tcPr>
          <w:p>
            <w:pPr>
              <w:spacing w:line="560" w:lineRule="exact"/>
              <w:jc w:val="center"/>
              <w:rPr>
                <w:rFonts w:ascii="楷体" w:hAnsi="楷体" w:eastAsia="楷体" w:cs="楷体"/>
                <w:szCs w:val="21"/>
              </w:rPr>
            </w:pPr>
          </w:p>
        </w:tc>
        <w:tc>
          <w:tcPr>
            <w:tcW w:w="1000" w:type="dxa"/>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440"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rPr>
              <w:t>1</w:t>
            </w:r>
            <w:r>
              <w:rPr>
                <w:rFonts w:hint="eastAsia" w:ascii="楷体" w:hAnsi="楷体" w:eastAsia="楷体" w:cs="楷体"/>
                <w:szCs w:val="21"/>
                <w:lang w:val="en-US" w:eastAsia="zh-CN"/>
              </w:rPr>
              <w:t>364</w:t>
            </w:r>
          </w:p>
        </w:tc>
        <w:tc>
          <w:tcPr>
            <w:tcW w:w="1404" w:type="dxa"/>
            <w:gridSpan w:val="2"/>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1025"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2022</w:t>
            </w:r>
          </w:p>
        </w:tc>
        <w:tc>
          <w:tcPr>
            <w:tcW w:w="500"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1000"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481"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10.2</w:t>
            </w:r>
          </w:p>
        </w:tc>
        <w:tc>
          <w:tcPr>
            <w:tcW w:w="1404" w:type="dxa"/>
            <w:gridSpan w:val="2"/>
            <w:vMerge w:val="continue"/>
            <w:noWrap w:val="0"/>
            <w:vAlign w:val="top"/>
          </w:tcPr>
          <w:p>
            <w:pPr>
              <w:jc w:val="center"/>
              <w:rPr>
                <w:rFonts w:ascii="楷体" w:hAnsi="楷体" w:eastAsia="楷体" w:cs="楷体"/>
                <w:szCs w:val="21"/>
              </w:rPr>
            </w:pPr>
          </w:p>
        </w:tc>
        <w:tc>
          <w:tcPr>
            <w:tcW w:w="1025" w:type="dxa"/>
            <w:vMerge w:val="continue"/>
            <w:noWrap w:val="0"/>
            <w:vAlign w:val="top"/>
          </w:tcPr>
          <w:p>
            <w:pPr>
              <w:jc w:val="center"/>
              <w:rPr>
                <w:rFonts w:ascii="楷体" w:hAnsi="楷体" w:eastAsia="楷体" w:cs="楷体"/>
                <w:szCs w:val="21"/>
              </w:rPr>
            </w:pPr>
          </w:p>
        </w:tc>
        <w:tc>
          <w:tcPr>
            <w:tcW w:w="500" w:type="dxa"/>
            <w:vMerge w:val="continue"/>
            <w:noWrap w:val="0"/>
            <w:vAlign w:val="center"/>
          </w:tcPr>
          <w:p>
            <w:pPr>
              <w:jc w:val="center"/>
              <w:rPr>
                <w:rFonts w:ascii="楷体" w:hAnsi="楷体" w:eastAsia="楷体" w:cs="楷体"/>
                <w:szCs w:val="21"/>
              </w:rPr>
            </w:pPr>
          </w:p>
        </w:tc>
        <w:tc>
          <w:tcPr>
            <w:tcW w:w="1000" w:type="dxa"/>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871"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473" w:type="dxa"/>
            <w:gridSpan w:val="8"/>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342"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473" w:type="dxa"/>
            <w:gridSpan w:val="8"/>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12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473" w:type="dxa"/>
            <w:gridSpan w:val="8"/>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814"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473" w:type="dxa"/>
            <w:gridSpan w:val="8"/>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78</w:t>
            </w:r>
            <w:r>
              <w:rPr>
                <w:rFonts w:hint="eastAsia" w:ascii="楷体" w:hAnsi="楷体" w:eastAsia="楷体" w:cs="楷体"/>
                <w:szCs w:val="21"/>
              </w:rPr>
              <w:t>万元，实际采购金额</w:t>
            </w:r>
            <w:r>
              <w:rPr>
                <w:rFonts w:hint="eastAsia" w:ascii="楷体" w:hAnsi="楷体" w:eastAsia="楷体" w:cs="楷体"/>
                <w:szCs w:val="21"/>
                <w:lang w:val="en-US" w:eastAsia="zh-CN"/>
              </w:rPr>
              <w:t>78</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64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473" w:type="dxa"/>
            <w:gridSpan w:val="8"/>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hint="eastAsia" w:ascii="楷体" w:hAnsi="楷体" w:eastAsia="楷体" w:cs="楷体"/>
                <w:szCs w:val="21"/>
                <w:lang w:val="en-US" w:eastAsia="zh-CN"/>
              </w:rPr>
              <w:t>51.21</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hint="eastAsia" w:ascii="楷体" w:hAnsi="楷体" w:eastAsia="楷体" w:cs="楷体"/>
                <w:szCs w:val="21"/>
                <w:lang w:val="en-US" w:eastAsia="zh-CN"/>
              </w:rPr>
              <w:t>664.6</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hint="eastAsia" w:ascii="楷体" w:hAnsi="楷体" w:eastAsia="楷体" w:cs="楷体"/>
                <w:szCs w:val="21"/>
                <w:lang w:val="en-US" w:eastAsia="zh-CN"/>
              </w:rPr>
              <w:t>4</w:t>
            </w:r>
            <w:r>
              <w:rPr>
                <w:rFonts w:hint="eastAsia" w:ascii="楷体" w:hAnsi="楷体" w:eastAsia="楷体" w:cs="楷体"/>
                <w:szCs w:val="21"/>
              </w:rPr>
              <w:t>月</w:t>
            </w:r>
            <w:r>
              <w:rPr>
                <w:rFonts w:hint="eastAsia" w:ascii="楷体" w:hAnsi="楷体" w:eastAsia="楷体" w:cs="楷体"/>
                <w:szCs w:val="21"/>
                <w:lang w:val="en-US" w:eastAsia="zh-CN"/>
              </w:rPr>
              <w:t>25</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473" w:type="dxa"/>
            <w:gridSpan w:val="8"/>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473" w:type="dxa"/>
            <w:gridSpan w:val="8"/>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28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473" w:type="dxa"/>
            <w:gridSpan w:val="8"/>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61"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473" w:type="dxa"/>
            <w:gridSpan w:val="8"/>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2766"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641" w:type="dxa"/>
            <w:gridSpan w:val="9"/>
            <w:noWrap w:val="0"/>
            <w:vAlign w:val="center"/>
          </w:tcPr>
          <w:p>
            <w:pPr>
              <w:ind w:firstLine="110" w:firstLineChars="50"/>
              <w:rPr>
                <w:rFonts w:ascii="楷体" w:hAnsi="楷体" w:eastAsia="楷体" w:cs="楷体"/>
                <w:szCs w:val="21"/>
              </w:rPr>
            </w:pPr>
            <w:r>
              <w:rPr>
                <w:rFonts w:hint="eastAsia" w:ascii="楷体" w:hAnsi="楷体" w:eastAsia="楷体" w:cs="楷体"/>
                <w:sz w:val="22"/>
                <w:szCs w:val="22"/>
              </w:rPr>
              <w:t>202</w:t>
            </w:r>
            <w:r>
              <w:rPr>
                <w:rFonts w:hint="eastAsia" w:ascii="楷体" w:hAnsi="楷体" w:eastAsia="楷体" w:cs="楷体"/>
                <w:sz w:val="22"/>
                <w:szCs w:val="22"/>
                <w:lang w:val="en-US" w:eastAsia="zh-CN"/>
              </w:rPr>
              <w:t>1</w:t>
            </w:r>
            <w:r>
              <w:rPr>
                <w:rFonts w:hint="eastAsia" w:ascii="楷体" w:hAnsi="楷体" w:eastAsia="楷体" w:cs="楷体"/>
                <w:sz w:val="22"/>
                <w:szCs w:val="22"/>
              </w:rPr>
              <w:t>年本单位整体绩效目标完成情况良好,取得良好的经济效益和社会效益。</w:t>
            </w:r>
            <w:r>
              <w:rPr>
                <w:rFonts w:hint="eastAsia" w:ascii="楷体" w:hAnsi="楷体" w:eastAsia="楷体" w:cs="楷体"/>
                <w:sz w:val="22"/>
                <w:szCs w:val="22"/>
                <w:lang w:val="en-US" w:eastAsia="zh-CN"/>
              </w:rPr>
              <w:t>1、</w:t>
            </w:r>
            <w:r>
              <w:rPr>
                <w:rFonts w:hint="eastAsia" w:ascii="楷体" w:hAnsi="楷体" w:eastAsia="楷体" w:cs="楷体"/>
                <w:sz w:val="22"/>
                <w:szCs w:val="22"/>
              </w:rPr>
              <w:t>促进</w:t>
            </w:r>
            <w:r>
              <w:rPr>
                <w:rFonts w:hint="eastAsia" w:ascii="楷体" w:hAnsi="楷体" w:eastAsia="楷体" w:cs="楷体"/>
                <w:sz w:val="22"/>
                <w:szCs w:val="22"/>
                <w:lang w:val="en-US" w:eastAsia="zh-CN"/>
              </w:rPr>
              <w:t>92个</w:t>
            </w:r>
            <w:r>
              <w:rPr>
                <w:rFonts w:hint="eastAsia" w:ascii="楷体" w:hAnsi="楷体" w:eastAsia="楷体" w:cs="楷体"/>
                <w:sz w:val="22"/>
                <w:szCs w:val="22"/>
              </w:rPr>
              <w:t>村级综合文化服务中心“七个一”建设提质</w:t>
            </w:r>
            <w:r>
              <w:rPr>
                <w:rFonts w:hint="eastAsia" w:ascii="楷体" w:hAnsi="楷体" w:eastAsia="楷体" w:cs="楷体"/>
                <w:sz w:val="22"/>
                <w:szCs w:val="22"/>
                <w:lang w:eastAsia="zh-CN"/>
              </w:rPr>
              <w:t>；</w:t>
            </w:r>
            <w:r>
              <w:rPr>
                <w:rFonts w:hint="eastAsia" w:ascii="楷体" w:hAnsi="楷体" w:eastAsia="楷体" w:cs="楷体"/>
                <w:sz w:val="22"/>
                <w:szCs w:val="22"/>
                <w:lang w:val="en-US" w:eastAsia="zh-CN"/>
              </w:rPr>
              <w:t>2、完成隆回县文旅云平台建设，积极推进群众性数字化公共文化服务和公共体育服务体系发展；3、文化旅游深度融合，完成等级旅游景区创建和旅游营销推介工作；4、文旅项目有力推进，完成四个省级旅游资金申报项目，申报三个省级研学旅游示范基地；5、大力加强革命文物保护工作，收回两处革命文物产权；组织了第11批省级文物保护单位申报，完成四处（含6个点）革命文物为省保的申报工作6、组织开展丰富多彩的群众文体活动</w:t>
            </w:r>
            <w:r>
              <w:rPr>
                <w:rFonts w:ascii="仿宋_GB2312" w:eastAsia="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225"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641" w:type="dxa"/>
            <w:gridSpan w:val="9"/>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534"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641" w:type="dxa"/>
            <w:gridSpan w:val="9"/>
            <w:noWrap w:val="0"/>
            <w:vAlign w:val="center"/>
          </w:tcPr>
          <w:p>
            <w:pPr>
              <w:numPr>
                <w:ilvl w:val="0"/>
                <w:numId w:val="0"/>
              </w:numPr>
              <w:rPr>
                <w:rFonts w:hint="default" w:ascii="楷体" w:hAnsi="楷体" w:eastAsia="楷体" w:cs="楷体"/>
                <w:szCs w:val="21"/>
                <w:lang w:val="en-US" w:eastAsia="zh-CN"/>
              </w:rPr>
            </w:pPr>
            <w:r>
              <w:rPr>
                <w:rFonts w:hint="eastAsia" w:ascii="楷体" w:hAnsi="楷体" w:eastAsia="楷体" w:cs="楷体"/>
                <w:szCs w:val="21"/>
              </w:rPr>
              <w:t>1、继续细化预算编制工作，认真做好预算的编制，严格按照《预算法》及相关制度要求做好预算执行工作。</w:t>
            </w:r>
          </w:p>
          <w:p>
            <w:pPr>
              <w:rPr>
                <w:rFonts w:ascii="楷体" w:hAnsi="楷体" w:eastAsia="楷体" w:cs="楷体"/>
                <w:szCs w:val="21"/>
              </w:rPr>
            </w:pPr>
            <w:r>
              <w:rPr>
                <w:rFonts w:hint="eastAsia" w:ascii="楷体" w:hAnsi="楷体" w:eastAsia="楷体" w:cs="楷体"/>
                <w:szCs w:val="21"/>
              </w:rPr>
              <w:t>2、加强财务管理，</w:t>
            </w:r>
            <w:r>
              <w:rPr>
                <w:rFonts w:hint="eastAsia" w:ascii="楷体" w:hAnsi="楷体" w:eastAsia="楷体" w:cs="楷体"/>
                <w:szCs w:val="21"/>
                <w:lang w:val="en-US" w:eastAsia="zh-CN"/>
              </w:rPr>
              <w:t>加强对财务人员的业务培训，</w:t>
            </w:r>
            <w:r>
              <w:rPr>
                <w:rFonts w:hint="eastAsia" w:ascii="楷体" w:hAnsi="楷体" w:eastAsia="楷体" w:cs="楷体"/>
                <w:szCs w:val="21"/>
              </w:rPr>
              <w:t>严格财务审核。</w:t>
            </w:r>
          </w:p>
          <w:p>
            <w:pPr>
              <w:rPr>
                <w:rFonts w:hint="eastAsia" w:ascii="楷体" w:hAnsi="楷体" w:eastAsia="楷体" w:cs="楷体"/>
                <w:szCs w:val="21"/>
                <w:lang w:val="en-US" w:eastAsia="zh-CN"/>
              </w:rPr>
            </w:pPr>
            <w:r>
              <w:rPr>
                <w:rFonts w:hint="eastAsia" w:ascii="楷体" w:hAnsi="楷体" w:eastAsia="楷体" w:cs="楷体"/>
                <w:szCs w:val="21"/>
              </w:rPr>
              <w:t>3、</w:t>
            </w:r>
            <w:r>
              <w:rPr>
                <w:rFonts w:hint="eastAsia" w:ascii="楷体" w:hAnsi="楷体" w:eastAsia="楷体" w:cs="楷体"/>
                <w:szCs w:val="21"/>
                <w:lang w:val="en-US" w:eastAsia="zh-CN"/>
              </w:rPr>
              <w:t>国有资产使用管理规范性有待进一步加强。</w:t>
            </w:r>
          </w:p>
          <w:p>
            <w:pPr>
              <w:rPr>
                <w:rFonts w:ascii="楷体" w:hAnsi="楷体" w:eastAsia="楷体" w:cs="楷体"/>
                <w:szCs w:val="21"/>
              </w:rPr>
            </w:pPr>
            <w:r>
              <w:rPr>
                <w:rFonts w:hint="eastAsia" w:ascii="楷体" w:hAnsi="楷体" w:eastAsia="楷体" w:cs="楷体"/>
                <w:szCs w:val="21"/>
                <w:lang w:val="en-US" w:eastAsia="zh-CN"/>
              </w:rPr>
              <w:t>4、</w:t>
            </w:r>
            <w:r>
              <w:rPr>
                <w:rFonts w:hint="eastAsia" w:ascii="楷体" w:hAnsi="楷体" w:eastAsia="楷体" w:cs="楷体"/>
                <w:szCs w:val="21"/>
              </w:rPr>
              <w:t>严控“三公”支出。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974" w:hRule="atLeast"/>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641" w:type="dxa"/>
            <w:gridSpan w:val="9"/>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hint="eastAsia" w:ascii="宋体" w:hAnsi="宋体"/>
          <w:szCs w:val="21"/>
          <w:lang w:eastAsia="zh-CN"/>
        </w:rPr>
        <w:t>张桂容</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13087395198</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2022年</w:t>
      </w:r>
      <w:r>
        <w:rPr>
          <w:rFonts w:ascii="宋体" w:hAnsi="宋体"/>
          <w:szCs w:val="21"/>
        </w:rPr>
        <w:t xml:space="preserve"> </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600" w:lineRule="exact"/>
        <w:jc w:val="center"/>
        <w:rPr>
          <w:rFonts w:hint="eastAsia" w:ascii="方正小标宋简体" w:eastAsia="方正小标宋简体"/>
          <w:bCs/>
          <w:kern w:val="0"/>
          <w:sz w:val="36"/>
          <w:szCs w:val="36"/>
        </w:rPr>
      </w:pPr>
    </w:p>
    <w:p>
      <w:pPr>
        <w:pStyle w:val="2"/>
        <w:rPr>
          <w:rFonts w:hint="eastAsia"/>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部门整体支出绩效自评报告</w:t>
      </w:r>
    </w:p>
    <w:p>
      <w:pPr>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（一）部门基本情况</w:t>
      </w:r>
    </w:p>
    <w:p>
      <w:pPr>
        <w:pStyle w:val="2"/>
        <w:keepNext w:val="0"/>
        <w:keepLines w:val="0"/>
        <w:pageBreakBefore w:val="0"/>
        <w:kinsoku/>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文化旅游广电体育局编制人数</w:t>
      </w:r>
      <w:r>
        <w:rPr>
          <w:rFonts w:hint="eastAsia" w:ascii="仿宋" w:hAnsi="仿宋" w:eastAsia="仿宋" w:cs="仿宋"/>
          <w:sz w:val="32"/>
          <w:szCs w:val="32"/>
          <w:lang w:val="en-US" w:eastAsia="zh-CN"/>
        </w:rPr>
        <w:t>81</w:t>
      </w:r>
      <w:r>
        <w:rPr>
          <w:rFonts w:hint="eastAsia" w:ascii="仿宋" w:hAnsi="仿宋" w:eastAsia="仿宋" w:cs="仿宋"/>
          <w:sz w:val="32"/>
          <w:szCs w:val="32"/>
        </w:rPr>
        <w:t>人，实际人数</w:t>
      </w:r>
      <w:r>
        <w:rPr>
          <w:rFonts w:hint="eastAsia" w:ascii="仿宋" w:hAnsi="仿宋" w:eastAsia="仿宋" w:cs="仿宋"/>
          <w:sz w:val="32"/>
          <w:szCs w:val="32"/>
          <w:lang w:val="en-US" w:eastAsia="zh-CN"/>
        </w:rPr>
        <w:t>198</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126</w:t>
      </w:r>
      <w:r>
        <w:rPr>
          <w:rFonts w:hint="eastAsia" w:ascii="仿宋" w:hAnsi="仿宋" w:eastAsia="仿宋" w:cs="仿宋"/>
          <w:sz w:val="32"/>
          <w:szCs w:val="32"/>
        </w:rPr>
        <w:t>人，离退休</w:t>
      </w:r>
      <w:r>
        <w:rPr>
          <w:rFonts w:hint="eastAsia" w:ascii="仿宋" w:hAnsi="仿宋" w:eastAsia="仿宋" w:cs="仿宋"/>
          <w:sz w:val="32"/>
          <w:szCs w:val="32"/>
          <w:lang w:val="en-US" w:eastAsia="zh-CN"/>
        </w:rPr>
        <w:t>72</w:t>
      </w:r>
      <w:r>
        <w:rPr>
          <w:rFonts w:hint="eastAsia" w:ascii="仿宋" w:hAnsi="仿宋" w:eastAsia="仿宋" w:cs="仿宋"/>
          <w:sz w:val="32"/>
          <w:szCs w:val="32"/>
        </w:rPr>
        <w:t>人），遗属补助人数</w:t>
      </w:r>
      <w:r>
        <w:rPr>
          <w:rFonts w:hint="eastAsia" w:ascii="仿宋" w:hAnsi="仿宋" w:eastAsia="仿宋" w:cs="仿宋"/>
          <w:sz w:val="32"/>
          <w:szCs w:val="32"/>
          <w:lang w:val="en-US" w:eastAsia="zh-CN"/>
        </w:rPr>
        <w:t>4</w:t>
      </w:r>
      <w:r>
        <w:rPr>
          <w:rFonts w:hint="eastAsia" w:ascii="仿宋" w:hAnsi="仿宋" w:eastAsia="仿宋" w:cs="仿宋"/>
          <w:sz w:val="32"/>
          <w:szCs w:val="32"/>
        </w:rPr>
        <w:t>人，小车实际</w:t>
      </w:r>
      <w:r>
        <w:rPr>
          <w:rFonts w:hint="eastAsia" w:ascii="仿宋" w:hAnsi="仿宋" w:eastAsia="仿宋" w:cs="仿宋"/>
          <w:sz w:val="32"/>
          <w:szCs w:val="32"/>
          <w:lang w:val="en-US" w:eastAsia="zh-CN"/>
        </w:rPr>
        <w:t>1</w:t>
      </w:r>
      <w:r>
        <w:rPr>
          <w:rFonts w:hint="eastAsia" w:ascii="仿宋" w:hAnsi="仿宋" w:eastAsia="仿宋" w:cs="仿宋"/>
          <w:sz w:val="32"/>
          <w:szCs w:val="32"/>
        </w:rPr>
        <w:t>台，房屋面积19712平方米。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年的重点工作</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val="0"/>
          <w:sz w:val="32"/>
          <w:szCs w:val="32"/>
          <w:lang w:val="en-US" w:eastAsia="zh-CN"/>
        </w:rPr>
        <w:t>1、公共文化服务有新进展。</w:t>
      </w:r>
      <w:r>
        <w:rPr>
          <w:rFonts w:hint="eastAsia" w:ascii="仿宋" w:hAnsi="仿宋" w:eastAsia="仿宋" w:cs="仿宋"/>
          <w:sz w:val="32"/>
          <w:szCs w:val="32"/>
        </w:rPr>
        <w:t>通过奖励补助办法促进村级综合文化服务中心“七个一”建设提质村92个。完成隆回县文旅云平台建设，积极推进群众性数字化公共文化服务。积极推进公共体育服务体系发展，3月份“乡村振兴、体育助推”暨湖南省足协在隆回县开展现场考察会。6月23-30日组织了庆祝建党100周年暨2021年隆回县全民健身广场舞大赛。组织六都寨镇和乐团参加了全市“百团百角唱百年”文艺院团竞演。组织业余剧团开展了“公共文化进村入户·戏曲进乡村”暨“百场演出唱百年”活动；组织合唱队伍认真排练参加邵阳市“欢乐潇湘颂歌向党”庆祝中国共产党成立100周年合唱比赛</w:t>
      </w:r>
      <w:r>
        <w:rPr>
          <w:rFonts w:hint="eastAsia" w:ascii="仿宋" w:hAnsi="仿宋" w:eastAsia="仿宋" w:cs="仿宋"/>
          <w:sz w:val="32"/>
          <w:szCs w:val="32"/>
          <w:lang w:eastAsia="zh-CN"/>
        </w:rPr>
        <w:t>，并荣获</w:t>
      </w:r>
      <w:r>
        <w:rPr>
          <w:rFonts w:hint="eastAsia" w:ascii="仿宋" w:hAnsi="仿宋" w:eastAsia="仿宋" w:cs="仿宋"/>
          <w:sz w:val="32"/>
          <w:szCs w:val="32"/>
        </w:rPr>
        <w:t>特等奖。</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lang w:val="en-US" w:eastAsia="zh-CN"/>
        </w:rPr>
        <w:t>2</w:t>
      </w:r>
      <w:r>
        <w:rPr>
          <w:rFonts w:hint="eastAsia" w:ascii="仿宋" w:hAnsi="仿宋" w:eastAsia="仿宋" w:cs="仿宋"/>
          <w:b/>
          <w:sz w:val="32"/>
          <w:szCs w:val="32"/>
        </w:rPr>
        <w:t>、文化旅游深度融合。</w:t>
      </w:r>
      <w:r>
        <w:rPr>
          <w:rFonts w:hint="eastAsia" w:ascii="仿宋" w:hAnsi="仿宋" w:eastAsia="仿宋" w:cs="仿宋"/>
          <w:b/>
          <w:color w:val="000000"/>
          <w:sz w:val="32"/>
          <w:szCs w:val="32"/>
        </w:rPr>
        <w:t>一是</w:t>
      </w:r>
      <w:r>
        <w:rPr>
          <w:rFonts w:hint="eastAsia" w:ascii="仿宋" w:hAnsi="仿宋" w:eastAsia="仿宋" w:cs="仿宋"/>
          <w:color w:val="000000"/>
          <w:sz w:val="32"/>
          <w:szCs w:val="32"/>
        </w:rPr>
        <w:t>湘窖酒藏成功创建成国家3A级旅游景区。启动了花瑶景区创国家级旅游度假区、5A景区，向家村创4A景区工作。</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完成九龙山片区旅游资源普查；申报“云上花瑶·魅力非遗”三日游旅游线路；配合省市完成了全国60家旅行社在隆回的旅游踩线工作；完成“魏源故里.云上花瑶”旅游产品在百度上的宣传工作。</w:t>
      </w:r>
    </w:p>
    <w:p>
      <w:pPr>
        <w:spacing w:line="560" w:lineRule="exact"/>
        <w:ind w:firstLine="643" w:firstLineChars="200"/>
        <w:rPr>
          <w:rFonts w:hint="eastAsia" w:ascii="仿宋" w:hAnsi="仿宋" w:eastAsia="仿宋" w:cs="仿宋"/>
          <w:color w:val="3C3C3D"/>
          <w:sz w:val="32"/>
          <w:szCs w:val="32"/>
        </w:rPr>
      </w:pPr>
      <w:r>
        <w:rPr>
          <w:rFonts w:hint="eastAsia" w:ascii="仿宋" w:hAnsi="仿宋" w:eastAsia="仿宋" w:cs="仿宋"/>
          <w:b/>
          <w:bCs w:val="0"/>
          <w:sz w:val="32"/>
          <w:szCs w:val="32"/>
          <w:lang w:val="en-US" w:eastAsia="zh-CN"/>
        </w:rPr>
        <w:t>3、广电工作平稳有序。</w:t>
      </w:r>
      <w:r>
        <w:rPr>
          <w:rFonts w:hint="eastAsia" w:ascii="仿宋" w:hAnsi="仿宋" w:eastAsia="仿宋" w:cs="仿宋"/>
          <w:b/>
          <w:color w:val="3C3C3D"/>
          <w:sz w:val="32"/>
          <w:szCs w:val="32"/>
        </w:rPr>
        <w:t>一是全面完成建党100周年安全播出工作。</w:t>
      </w:r>
      <w:r>
        <w:rPr>
          <w:rFonts w:hint="eastAsia" w:ascii="仿宋" w:hAnsi="仿宋" w:eastAsia="仿宋" w:cs="仿宋"/>
          <w:color w:val="3C3C3D"/>
          <w:sz w:val="32"/>
          <w:szCs w:val="32"/>
        </w:rPr>
        <w:t>中共隆回县委宣传部和隆回县文化旅游广电体育局联合印发《关于做好迎接中国共产党成立100周年广播电视和网络视听安全播出保障工作实施方案》，成立了建党100周年庆祝活动广播电视安全播出传输工作领导小组。各广播电视台站、有线网络和视听IPTV等传输机构严格执行各项管理规定</w:t>
      </w:r>
      <w:r>
        <w:rPr>
          <w:rFonts w:hint="eastAsia" w:ascii="仿宋" w:hAnsi="仿宋" w:eastAsia="仿宋" w:cs="仿宋"/>
          <w:color w:val="3C3C3D"/>
          <w:sz w:val="32"/>
          <w:szCs w:val="32"/>
          <w:lang w:eastAsia="zh-CN"/>
        </w:rPr>
        <w:t>，</w:t>
      </w:r>
      <w:r>
        <w:rPr>
          <w:rFonts w:hint="eastAsia" w:ascii="仿宋" w:hAnsi="仿宋" w:eastAsia="仿宋" w:cs="仿宋"/>
          <w:color w:val="3C3C3D"/>
          <w:sz w:val="32"/>
          <w:szCs w:val="32"/>
        </w:rPr>
        <w:t>确保中国共产党成立100周年重大庆祝系列活动安全播出保障工作万无一失。</w:t>
      </w:r>
      <w:r>
        <w:rPr>
          <w:rFonts w:hint="eastAsia" w:ascii="仿宋" w:hAnsi="仿宋" w:eastAsia="仿宋" w:cs="仿宋"/>
          <w:b/>
          <w:color w:val="3C3C3D"/>
          <w:sz w:val="32"/>
          <w:szCs w:val="32"/>
        </w:rPr>
        <w:t>二是全面做好“村村响”设备维修工作。</w:t>
      </w:r>
      <w:r>
        <w:rPr>
          <w:rFonts w:hint="eastAsia" w:ascii="仿宋" w:hAnsi="仿宋" w:eastAsia="仿宋" w:cs="仿宋"/>
          <w:color w:val="3C3C3D"/>
          <w:sz w:val="32"/>
          <w:szCs w:val="32"/>
        </w:rPr>
        <w:t>组织局广电股和县农村广播指导服务中心在3月初至7月底对我县的农村广播“村村响”系统进行了大维护维修工作，对25个乡镇（街道）、572个村、居委会的“村村响”设备存在的故障进行了全方位的维护维修，共处理故障1503处，终端移动位置换杆147套，更换终端322个，更换主机16台，更换发射机19台，更换中筒53个，更换天线525根。</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val="0"/>
          <w:sz w:val="32"/>
          <w:szCs w:val="32"/>
          <w:lang w:val="en-US" w:eastAsia="zh-CN"/>
        </w:rPr>
        <w:t>4、文化市场走向健康文明。</w:t>
      </w:r>
      <w:r>
        <w:rPr>
          <w:rFonts w:hint="eastAsia" w:ascii="仿宋" w:hAnsi="仿宋" w:eastAsia="仿宋" w:cs="仿宋"/>
          <w:bCs/>
          <w:sz w:val="32"/>
          <w:szCs w:val="32"/>
          <w:lang w:val="en-US" w:eastAsia="zh-CN"/>
        </w:rPr>
        <w:t>2021年</w:t>
      </w:r>
      <w:r>
        <w:rPr>
          <w:rFonts w:hint="eastAsia" w:ascii="仿宋" w:hAnsi="仿宋" w:eastAsia="仿宋" w:cs="仿宋"/>
          <w:sz w:val="32"/>
          <w:szCs w:val="32"/>
        </w:rPr>
        <w:t>1-9月，立案查处网吧 12例、电竞酒店4例、 KTV5例、游戏厅3例、出版物市场8例、艺术考级2例、旅行社 2例 、游泳馆 5例,共罚款21.5万元，下发《责令改正通知书》20份，共出动执法人员580人次，执法车辆80车次，检查文化市场经营场所129家次，立案查处违规经营行为6起。</w:t>
      </w:r>
    </w:p>
    <w:p>
      <w:pPr>
        <w:spacing w:line="560" w:lineRule="exact"/>
        <w:ind w:firstLine="643" w:firstLineChars="200"/>
        <w:rPr>
          <w:rFonts w:hint="eastAsia" w:ascii="仿宋" w:hAnsi="仿宋" w:eastAsia="仿宋" w:cs="仿宋"/>
          <w:bCs/>
          <w:sz w:val="32"/>
          <w:szCs w:val="32"/>
          <w:lang w:eastAsia="zh-CN"/>
        </w:rPr>
      </w:pPr>
      <w:r>
        <w:rPr>
          <w:rFonts w:hint="eastAsia" w:ascii="仿宋" w:hAnsi="仿宋" w:eastAsia="仿宋" w:cs="仿宋"/>
          <w:b/>
          <w:bCs w:val="0"/>
          <w:sz w:val="32"/>
          <w:szCs w:val="32"/>
          <w:lang w:val="en-US" w:eastAsia="zh-CN"/>
        </w:rPr>
        <w:t>5</w:t>
      </w:r>
      <w:r>
        <w:rPr>
          <w:rFonts w:hint="eastAsia" w:ascii="仿宋" w:hAnsi="仿宋" w:eastAsia="仿宋" w:cs="仿宋"/>
          <w:b/>
          <w:bCs w:val="0"/>
          <w:sz w:val="32"/>
          <w:szCs w:val="32"/>
        </w:rPr>
        <w:t>、文化遗产狠抓保护利用。</w:t>
      </w:r>
      <w:r>
        <w:rPr>
          <w:rFonts w:hint="eastAsia" w:ascii="仿宋" w:hAnsi="仿宋" w:eastAsia="仿宋" w:cs="仿宋"/>
          <w:bCs/>
          <w:sz w:val="32"/>
          <w:szCs w:val="32"/>
        </w:rPr>
        <w:t>以建党百年为契机，大力加强革命文物保护工作，特别是红色文物保护利用工作。收回两处革命文物产权，完成红二军团鸭田战斗指挥所与邹汉勋故居产权回购。对袁吉六墓、红二军团鸭田战斗指挥所、邹汉勋故居、魏源故居、天门寺实施了保护修缮工程</w:t>
      </w:r>
      <w:r>
        <w:rPr>
          <w:rFonts w:hint="eastAsia" w:ascii="仿宋" w:hAnsi="仿宋" w:eastAsia="仿宋" w:cs="仿宋"/>
          <w:bCs/>
          <w:sz w:val="32"/>
          <w:szCs w:val="32"/>
          <w:lang w:eastAsia="zh-CN"/>
        </w:rPr>
        <w:t>。</w:t>
      </w:r>
      <w:r>
        <w:rPr>
          <w:rFonts w:hint="eastAsia" w:ascii="仿宋" w:hAnsi="仿宋" w:eastAsia="仿宋" w:cs="仿宋"/>
          <w:bCs/>
          <w:sz w:val="32"/>
          <w:szCs w:val="32"/>
        </w:rPr>
        <w:t>开展第六批县级文物保护单位申报工作，公布了县保19处，重点加强了对全县范围内的红色文物保护；组织了第11批省级文物保护单位申报，完成四处（含6个点）革命文物为省保的申报工</w:t>
      </w:r>
      <w:r>
        <w:rPr>
          <w:rFonts w:hint="eastAsia" w:ascii="仿宋" w:hAnsi="仿宋" w:eastAsia="仿宋" w:cs="仿宋"/>
          <w:bCs/>
          <w:sz w:val="32"/>
          <w:szCs w:val="32"/>
          <w:lang w:eastAsia="zh-CN"/>
        </w:rPr>
        <w:t>作。</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、文旅项目有力推进。</w:t>
      </w:r>
      <w:r>
        <w:rPr>
          <w:rFonts w:hint="eastAsia" w:ascii="仿宋" w:hAnsi="仿宋" w:eastAsia="仿宋" w:cs="仿宋"/>
          <w:bCs/>
          <w:sz w:val="32"/>
          <w:szCs w:val="32"/>
        </w:rPr>
        <w:t>完成四个省级旅游资金申报项目</w:t>
      </w:r>
      <w:r>
        <w:rPr>
          <w:rFonts w:hint="eastAsia" w:ascii="仿宋" w:hAnsi="仿宋" w:eastAsia="仿宋" w:cs="仿宋"/>
          <w:bCs/>
          <w:sz w:val="32"/>
          <w:szCs w:val="32"/>
          <w:lang w:eastAsia="zh-CN"/>
        </w:rPr>
        <w:t>；</w:t>
      </w:r>
      <w:r>
        <w:rPr>
          <w:rFonts w:hint="eastAsia" w:ascii="仿宋" w:hAnsi="仿宋" w:eastAsia="仿宋" w:cs="仿宋"/>
          <w:bCs/>
          <w:sz w:val="32"/>
          <w:szCs w:val="32"/>
        </w:rPr>
        <w:t>8月申报三个省级研学旅游示范基地。</w:t>
      </w:r>
      <w:r>
        <w:rPr>
          <w:rStyle w:val="7"/>
          <w:rFonts w:hint="eastAsia" w:ascii="仿宋" w:hAnsi="仿宋" w:eastAsia="仿宋" w:cs="仿宋"/>
          <w:sz w:val="32"/>
          <w:szCs w:val="32"/>
        </w:rPr>
        <w:t>滩头木板年画传习馆</w:t>
      </w:r>
      <w:r>
        <w:rPr>
          <w:rFonts w:hint="eastAsia" w:ascii="仿宋" w:hAnsi="仿宋" w:eastAsia="仿宋" w:cs="仿宋"/>
          <w:sz w:val="32"/>
          <w:szCs w:val="32"/>
        </w:rPr>
        <w:t>二楼布展装修工程完成财评和预算、招投标工作，目前工程正在布展施工中；年画馆附属工程、水塔设计完成。</w:t>
      </w:r>
      <w:r>
        <w:rPr>
          <w:rStyle w:val="7"/>
          <w:rFonts w:hint="eastAsia" w:ascii="仿宋" w:hAnsi="仿宋" w:eastAsia="仿宋" w:cs="仿宋"/>
          <w:sz w:val="32"/>
          <w:szCs w:val="32"/>
        </w:rPr>
        <w:t>邹汉勋故居一期工程与袁吉六墓修缮工程正式启动。完成县城沿江健身步道建设，由赧水南路、赧水北路、紫霞园大桥、资江二桥组成环线，全长11.342公里。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（三）部门整体支出情况</w:t>
      </w:r>
    </w:p>
    <w:p>
      <w:pPr>
        <w:pStyle w:val="2"/>
        <w:keepNext w:val="0"/>
        <w:keepLines w:val="0"/>
        <w:pageBreakBefore w:val="0"/>
        <w:kinsoku/>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本单位202</w:t>
      </w:r>
      <w:r>
        <w:rPr>
          <w:rFonts w:hint="eastAsia" w:ascii="仿宋" w:hAnsi="仿宋" w:eastAsia="仿宋" w:cs="仿宋"/>
          <w:sz w:val="32"/>
          <w:szCs w:val="32"/>
          <w:lang w:val="en-US" w:eastAsia="zh-CN"/>
        </w:rPr>
        <w:t>1</w:t>
      </w:r>
      <w:r>
        <w:rPr>
          <w:rFonts w:hint="eastAsia" w:ascii="仿宋" w:hAnsi="仿宋" w:eastAsia="仿宋" w:cs="仿宋"/>
          <w:sz w:val="32"/>
          <w:szCs w:val="32"/>
        </w:rPr>
        <w:t>年决算支出为</w:t>
      </w:r>
      <w:r>
        <w:rPr>
          <w:rFonts w:hint="eastAsia" w:ascii="仿宋" w:hAnsi="仿宋" w:eastAsia="仿宋" w:cs="仿宋"/>
          <w:sz w:val="32"/>
          <w:szCs w:val="32"/>
          <w:lang w:val="en-US" w:eastAsia="zh-CN"/>
        </w:rPr>
        <w:t>3386</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（一）基本支出情况</w:t>
      </w:r>
    </w:p>
    <w:p>
      <w:pPr>
        <w:pStyle w:val="2"/>
        <w:keepNext w:val="0"/>
        <w:keepLines w:val="0"/>
        <w:pageBreakBefore w:val="0"/>
        <w:kinsoku/>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2021年基本支出部门决算数为</w:t>
      </w:r>
      <w:r>
        <w:rPr>
          <w:rFonts w:hint="eastAsia" w:ascii="仿宋" w:hAnsi="仿宋" w:eastAsia="仿宋" w:cs="仿宋"/>
          <w:sz w:val="32"/>
          <w:szCs w:val="32"/>
          <w:lang w:val="en-US" w:eastAsia="zh-CN"/>
        </w:rPr>
        <w:t>1364</w:t>
      </w:r>
      <w:r>
        <w:rPr>
          <w:rFonts w:hint="eastAsia" w:ascii="仿宋" w:hAnsi="仿宋" w:eastAsia="仿宋" w:cs="仿宋"/>
          <w:kern w:val="2"/>
          <w:sz w:val="32"/>
          <w:szCs w:val="32"/>
          <w:lang w:val="en-US" w:eastAsia="zh-CN" w:bidi="ar-SA"/>
        </w:rPr>
        <w:t>万元，是指为保障单位机构正常运转、完成日常工作任务而发生的各项支出，包括用于在职人员基本工资、津贴补贴、</w:t>
      </w:r>
      <w:r>
        <w:rPr>
          <w:rFonts w:hint="eastAsia" w:ascii="仿宋" w:hAnsi="仿宋" w:eastAsia="仿宋" w:cs="仿宋"/>
          <w:sz w:val="32"/>
          <w:szCs w:val="32"/>
        </w:rPr>
        <w:t>退休人员生活补助</w:t>
      </w:r>
      <w:r>
        <w:rPr>
          <w:rFonts w:hint="eastAsia" w:ascii="仿宋" w:hAnsi="仿宋" w:eastAsia="仿宋" w:cs="仿宋"/>
          <w:kern w:val="2"/>
          <w:sz w:val="32"/>
          <w:szCs w:val="32"/>
          <w:lang w:val="en-US" w:eastAsia="zh-CN" w:bidi="ar-SA"/>
        </w:rPr>
        <w:t>等人员经费以及办公费、印刷费、水电费及办公设备购置等日常公用经费。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项目支出情况</w:t>
      </w:r>
    </w:p>
    <w:p>
      <w:pPr>
        <w:pStyle w:val="2"/>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2021年项目支出部门决算数为</w:t>
      </w:r>
      <w:r>
        <w:rPr>
          <w:rFonts w:hint="eastAsia" w:ascii="仿宋" w:hAnsi="仿宋" w:eastAsia="仿宋" w:cs="仿宋"/>
          <w:sz w:val="32"/>
          <w:szCs w:val="32"/>
          <w:lang w:val="en-US" w:eastAsia="zh-CN"/>
        </w:rPr>
        <w:t>2022</w:t>
      </w:r>
      <w:bookmarkStart w:id="0" w:name="_GoBack"/>
      <w:bookmarkEnd w:id="0"/>
      <w:r>
        <w:rPr>
          <w:rFonts w:hint="eastAsia" w:ascii="仿宋" w:hAnsi="仿宋" w:eastAsia="仿宋" w:cs="仿宋"/>
          <w:kern w:val="2"/>
          <w:sz w:val="32"/>
          <w:szCs w:val="32"/>
          <w:lang w:val="en-US" w:eastAsia="zh-CN" w:bidi="ar-SA"/>
        </w:rPr>
        <w:t>万元，是指单位为完成选定行政工作或事业发展目标而发生的支出，包括有关事业发展专项、专项业务费、基本建设支出等。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年我单位“三公”经费 </w:t>
      </w:r>
      <w:r>
        <w:rPr>
          <w:rFonts w:hint="eastAsia" w:ascii="仿宋" w:hAnsi="仿宋" w:eastAsia="仿宋" w:cs="仿宋"/>
          <w:sz w:val="32"/>
          <w:szCs w:val="32"/>
          <w:lang w:val="en-US" w:eastAsia="zh-CN"/>
        </w:rPr>
        <w:t>12.6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1、因公出国(境)费0元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2、公务接待费</w:t>
      </w:r>
      <w:r>
        <w:rPr>
          <w:rFonts w:hint="eastAsia" w:ascii="仿宋" w:hAnsi="仿宋" w:eastAsia="仿宋" w:cs="仿宋"/>
          <w:sz w:val="32"/>
          <w:szCs w:val="32"/>
          <w:lang w:val="en-US" w:eastAsia="zh-CN"/>
        </w:rPr>
        <w:t>11.1</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3、公务用车购置及运行维护费</w:t>
      </w:r>
      <w:r>
        <w:rPr>
          <w:rFonts w:hint="eastAsia" w:ascii="仿宋" w:hAnsi="仿宋" w:eastAsia="仿宋" w:cs="仿宋"/>
          <w:sz w:val="32"/>
          <w:szCs w:val="32"/>
          <w:lang w:val="en-US" w:eastAsia="zh-CN"/>
        </w:rPr>
        <w:t>1.5</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1.5</w:t>
      </w:r>
      <w:r>
        <w:rPr>
          <w:rFonts w:hint="eastAsia" w:ascii="仿宋" w:hAnsi="仿宋" w:eastAsia="仿宋" w:cs="仿宋"/>
          <w:sz w:val="32"/>
          <w:szCs w:val="32"/>
        </w:rPr>
        <w:t>万元，公务用车购置费 0 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三、部门整体支出绩效情况</w: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年本单位整体绩效目标完成情况良好,取得良好的经济效益和社会效益</w:t>
      </w:r>
      <w:r>
        <w:rPr>
          <w:rFonts w:hint="eastAsia" w:ascii="仿宋" w:hAnsi="仿宋" w:eastAsia="仿宋" w:cs="仿宋"/>
          <w:sz w:val="32"/>
          <w:szCs w:val="32"/>
          <w:lang w:eastAsia="zh-CN"/>
        </w:rPr>
        <w:t>，</w:t>
      </w:r>
      <w:r>
        <w:rPr>
          <w:rFonts w:hint="eastAsia" w:ascii="仿宋" w:hAnsi="仿宋" w:eastAsia="仿宋" w:cs="仿宋"/>
          <w:sz w:val="32"/>
          <w:szCs w:val="32"/>
        </w:rPr>
        <w:t>较好的完成了年度工作目标。通过加强预算收支管理，不断建立健全内部管理制度，梳理内部管理流程，整体支出管理水平得到提升。专项资金项目实行“专户管理、逐项审批、集中支付、专款专用”的管理方法，管理制度健全且得到了有效执行，对县文化事业建设起到了积极的推动作用。在</w:t>
      </w:r>
      <w:r>
        <w:rPr>
          <w:rFonts w:hint="eastAsia" w:ascii="仿宋" w:hAnsi="仿宋" w:eastAsia="仿宋" w:cs="仿宋"/>
          <w:sz w:val="32"/>
          <w:szCs w:val="32"/>
          <w:lang w:eastAsia="zh-CN"/>
        </w:rPr>
        <w:t>各个项目的</w:t>
      </w:r>
      <w:r>
        <w:rPr>
          <w:rFonts w:hint="eastAsia" w:ascii="仿宋" w:hAnsi="仿宋" w:eastAsia="仿宋" w:cs="仿宋"/>
          <w:sz w:val="32"/>
          <w:szCs w:val="32"/>
        </w:rPr>
        <w:t>具体实践中，</w:t>
      </w:r>
      <w:r>
        <w:rPr>
          <w:rFonts w:hint="eastAsia" w:ascii="仿宋" w:hAnsi="仿宋" w:eastAsia="仿宋" w:cs="仿宋"/>
          <w:sz w:val="32"/>
          <w:szCs w:val="32"/>
          <w:lang w:eastAsia="zh-CN"/>
        </w:rPr>
        <w:t>我</w:t>
      </w:r>
      <w:r>
        <w:rPr>
          <w:rFonts w:hint="eastAsia" w:ascii="仿宋" w:hAnsi="仿宋" w:eastAsia="仿宋" w:cs="仿宋"/>
          <w:sz w:val="32"/>
          <w:szCs w:val="32"/>
        </w:rPr>
        <w:t>局通过思路创新、组织创新、载体创新、方式创新、手段创新等</w:t>
      </w:r>
      <w:r>
        <w:rPr>
          <w:rFonts w:hint="eastAsia" w:ascii="仿宋" w:hAnsi="仿宋" w:eastAsia="仿宋" w:cs="仿宋"/>
          <w:sz w:val="32"/>
          <w:szCs w:val="32"/>
          <w:lang w:eastAsia="zh-CN"/>
        </w:rPr>
        <w:t>工作方法</w:t>
      </w:r>
      <w:r>
        <w:rPr>
          <w:rFonts w:hint="eastAsia" w:ascii="仿宋" w:hAnsi="仿宋" w:eastAsia="仿宋" w:cs="仿宋"/>
          <w:sz w:val="32"/>
          <w:szCs w:val="32"/>
        </w:rPr>
        <w:t>，切实做到“少花钱多办事，花小钱办大事”</w:t>
      </w:r>
      <w:r>
        <w:rPr>
          <w:rFonts w:hint="eastAsia" w:ascii="仿宋" w:hAnsi="仿宋" w:eastAsia="仿宋" w:cs="仿宋"/>
          <w:sz w:val="32"/>
          <w:szCs w:val="32"/>
          <w:lang w:eastAsia="zh-CN"/>
        </w:rPr>
        <w:t>，</w:t>
      </w:r>
      <w:r>
        <w:rPr>
          <w:rFonts w:hint="eastAsia" w:ascii="仿宋" w:hAnsi="仿宋" w:eastAsia="仿宋" w:cs="仿宋"/>
          <w:sz w:val="32"/>
          <w:szCs w:val="32"/>
        </w:rPr>
        <w:t>丰富了广大人民群众的生活，满足了广大人民群众的精神文化需求，提高了群众文化素养，起到了文化惠民，共享快乐的目的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存在的问题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1、预算编制有待细化。预算编制不够明确和细化，预算编制的合理性需要提高，预算执行力度还要进一步加强。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2、财务管理有待创新。财务管理水平和逐年上升的财务要求不匹配，相对落后。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公用经费的支出数大于预算数。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2、加强财务管理，严格财务审核。加强单位财务管理，在费用报账支付时，按照预算规定的费用项目和用途进行资金使用审核、列报支付、财务核算，杜绝超支现象的发生。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、加强对财务人员和财务主管领导的业务培训。</w:t>
      </w:r>
      <w:r>
        <w:rPr>
          <w:rFonts w:hint="eastAsia" w:ascii="仿宋" w:hAnsi="仿宋" w:eastAsia="仿宋" w:cs="仿宋"/>
          <w:sz w:val="32"/>
          <w:szCs w:val="32"/>
          <w:lang w:eastAsia="zh-CN"/>
        </w:rPr>
        <w:t>提高业务能力和水平，提高财务人员待遇，实行财务人员专岗专职，杜绝财务人员身兼数职情况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专项资金严格实行“专户管理，逐项审批，集中支付，专款专用”。在专项资金使用过程中，强化资金预算管理，优化资金预算支出结构，突出支出重点，加强资金拨付后的监管，提高预算执行效率。</w:t>
      </w:r>
    </w:p>
    <w:p>
      <w:pPr>
        <w:pStyle w:val="2"/>
        <w:rPr>
          <w:rFonts w:hint="eastAsia"/>
        </w:rPr>
      </w:pPr>
    </w:p>
    <w:p>
      <w:pPr>
        <w:pStyle w:val="4"/>
        <w:widowControl/>
        <w:spacing w:before="0" w:beforeAutospacing="0" w:after="0" w:afterAutospacing="0" w:line="360" w:lineRule="auto"/>
        <w:ind w:firstLine="840" w:firstLineChars="300"/>
        <w:jc w:val="both"/>
        <w:rPr>
          <w:rFonts w:ascii="宋体" w:hAnsi="宋体"/>
          <w:kern w:val="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eastAsia="zh-CN"/>
        </w:rPr>
        <w:t>隆回县</w:t>
      </w:r>
      <w:r>
        <w:rPr>
          <w:rFonts w:hint="eastAsia" w:ascii="仿宋" w:hAnsi="仿宋" w:eastAsia="仿宋" w:cs="仿宋"/>
          <w:sz w:val="32"/>
          <w:szCs w:val="32"/>
        </w:rPr>
        <w:t>文化旅游广电体育局</w:t>
      </w:r>
    </w:p>
    <w:p>
      <w:pPr>
        <w:pStyle w:val="2"/>
        <w:keepNext w:val="0"/>
        <w:keepLines w:val="0"/>
        <w:pageBreakBefore w:val="0"/>
        <w:kinsoku/>
        <w:wordWrap w:val="0"/>
        <w:overflowPunct/>
        <w:topLinePunct w:val="0"/>
        <w:autoSpaceDE/>
        <w:autoSpaceDN/>
        <w:bidi w:val="0"/>
        <w:adjustRightInd/>
        <w:snapToGrid/>
        <w:spacing w:line="540" w:lineRule="exact"/>
        <w:jc w:val="right"/>
        <w:textAlignment w:val="auto"/>
        <w:rPr>
          <w:rFonts w:hint="default" w:eastAsia="仿宋"/>
          <w:lang w:val="en-US" w:eastAsia="zh-CN"/>
        </w:rPr>
      </w:pPr>
      <w:r>
        <w:rPr>
          <w:rFonts w:hint="eastAsia" w:ascii="仿宋" w:hAnsi="仿宋" w:eastAsia="仿宋" w:cs="仿宋"/>
          <w:sz w:val="32"/>
          <w:szCs w:val="32"/>
          <w:lang w:val="en-US" w:eastAsia="zh-CN"/>
        </w:rPr>
        <w:t xml:space="preserve">2022年4月25日   </w:t>
      </w: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49630"/>
    <w:multiLevelType w:val="singleLevel"/>
    <w:tmpl w:val="7DD496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A562A"/>
    <w:rsid w:val="001F69F4"/>
    <w:rsid w:val="040275CD"/>
    <w:rsid w:val="0A1A519B"/>
    <w:rsid w:val="10B94F92"/>
    <w:rsid w:val="1D76772D"/>
    <w:rsid w:val="23A74735"/>
    <w:rsid w:val="255F687B"/>
    <w:rsid w:val="33B4077E"/>
    <w:rsid w:val="344F0E26"/>
    <w:rsid w:val="380E05DC"/>
    <w:rsid w:val="3B0C284E"/>
    <w:rsid w:val="3F5A562A"/>
    <w:rsid w:val="41A701AA"/>
    <w:rsid w:val="47B415CF"/>
    <w:rsid w:val="47D96041"/>
    <w:rsid w:val="4BFA03D7"/>
    <w:rsid w:val="5FF83C90"/>
    <w:rsid w:val="69121B55"/>
    <w:rsid w:val="72152611"/>
    <w:rsid w:val="7C2E320C"/>
    <w:rsid w:val="7F21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4">
    <w:name w:val="Normal (Web)"/>
    <w:basedOn w:val="1"/>
    <w:qFormat/>
    <w:uiPriority w:val="99"/>
    <w:pPr>
      <w:spacing w:before="100" w:beforeAutospacing="1" w:after="100" w:afterAutospacing="1"/>
      <w:jc w:val="left"/>
    </w:pPr>
    <w:rPr>
      <w:rFonts w:ascii="Calibri" w:hAnsi="Calibri" w:cs="宋体"/>
      <w:kern w:val="0"/>
      <w:sz w:val="24"/>
    </w:r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3936</Words>
  <Characters>4113</Characters>
  <Lines>0</Lines>
  <Paragraphs>0</Paragraphs>
  <TotalTime>4</TotalTime>
  <ScaleCrop>false</ScaleCrop>
  <LinksUpToDate>false</LinksUpToDate>
  <CharactersWithSpaces>4234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2021-04-26T01:26:00Z</dcterms:created>
  <dc:creator>(*☻Anne-☻*)</dc:creator>
  <cp:lastModifiedBy>(*☻Anne-☻*)</cp:lastModifiedBy>
  <dcterms:modified xsi:type="dcterms:W3CDTF">2022-04-25T03:36:21Z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231DA73F75244A9AAAB57251A73B91C8</vt:lpwstr>
  </property>
  <property fmtid="{D5CDD505-2E9C-101B-9397-08002B2CF9AE}" pid="4" name="commondata">
    <vt:lpwstr>eyJoZGlkIjoiMWJkZmRiMDAyZWRiZWQ3MTc5ZWNmZTU3MjcxYTFkNjcifQ==</vt:lpwstr>
  </property>
</Properties>
</file>