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eastAsia="黑体"/>
          <w:kern w:val="0"/>
          <w:sz w:val="32"/>
          <w:szCs w:val="32"/>
        </w:rPr>
      </w:pPr>
      <w:bookmarkStart w:id="1" w:name="_GoBack"/>
      <w:bookmarkEnd w:id="1"/>
    </w:p>
    <w:p>
      <w:pPr>
        <w:widowControl/>
        <w:tabs>
          <w:tab w:val="left" w:pos="2203"/>
          <w:tab w:val="left" w:pos="4145"/>
          <w:tab w:val="left" w:pos="5718"/>
          <w:tab w:val="left" w:pos="6938"/>
          <w:tab w:val="left" w:pos="8139"/>
        </w:tabs>
        <w:spacing w:line="640" w:lineRule="exact"/>
        <w:ind w:left="93"/>
        <w:jc w:val="center"/>
        <w:rPr>
          <w:rFonts w:eastAsia="方正小标宋_GBK"/>
          <w:bCs/>
          <w:kern w:val="0"/>
          <w:sz w:val="36"/>
          <w:szCs w:val="36"/>
        </w:rPr>
      </w:pPr>
      <w:r>
        <w:rPr>
          <w:rFonts w:hint="eastAsia" w:eastAsia="方正小标宋_GBK"/>
          <w:bCs/>
          <w:kern w:val="0"/>
          <w:sz w:val="36"/>
          <w:szCs w:val="36"/>
        </w:rPr>
        <w:t>隆回县2023</w:t>
      </w:r>
      <w:r>
        <w:rPr>
          <w:rFonts w:eastAsia="方正小标宋_GBK"/>
          <w:bCs/>
          <w:kern w:val="0"/>
          <w:sz w:val="36"/>
          <w:szCs w:val="36"/>
        </w:rPr>
        <w:t>年部门整体支出绩效目标表</w:t>
      </w:r>
    </w:p>
    <w:p>
      <w:pPr>
        <w:widowControl/>
        <w:tabs>
          <w:tab w:val="left" w:pos="2593"/>
        </w:tabs>
        <w:jc w:val="left"/>
        <w:rPr>
          <w:rFonts w:hint="eastAsia" w:ascii="仿宋_GB2312" w:eastAsia="仿宋_GB2312"/>
          <w:kern w:val="0"/>
          <w:szCs w:val="21"/>
        </w:rPr>
      </w:pPr>
      <w:r>
        <w:rPr>
          <w:rFonts w:hint="eastAsia" w:ascii="仿宋_GB2312" w:eastAsia="仿宋_GB2312"/>
          <w:kern w:val="0"/>
          <w:szCs w:val="21"/>
        </w:rPr>
        <w:t>填报单位（盖章）：</w:t>
      </w:r>
      <w:r>
        <w:rPr>
          <w:rFonts w:hint="eastAsia" w:ascii="仿宋_GB2312" w:eastAsia="仿宋_GB2312"/>
          <w:kern w:val="0"/>
          <w:szCs w:val="21"/>
          <w:lang w:eastAsia="zh-CN"/>
        </w:rPr>
        <w:t>中共隆回县委办公室</w:t>
      </w:r>
      <w:r>
        <w:rPr>
          <w:rFonts w:hint="eastAsia" w:ascii="仿宋_GB2312" w:eastAsia="仿宋_GB2312"/>
          <w:kern w:val="0"/>
          <w:szCs w:val="21"/>
        </w:rPr>
        <w:tab/>
      </w:r>
      <w:r>
        <w:rPr>
          <w:rFonts w:hint="eastAsia" w:ascii="仿宋_GB2312" w:eastAsia="仿宋_GB2312"/>
          <w:kern w:val="0"/>
          <w:szCs w:val="21"/>
        </w:rPr>
        <w:t xml:space="preserve">     填表日期</w:t>
      </w:r>
      <w:r>
        <w:rPr>
          <w:rFonts w:hint="eastAsia" w:ascii="仿宋_GB2312" w:eastAsia="仿宋_GB2312"/>
          <w:kern w:val="0"/>
          <w:szCs w:val="21"/>
          <w:lang w:eastAsia="zh-CN"/>
        </w:rPr>
        <w:t>：</w:t>
      </w:r>
      <w:r>
        <w:rPr>
          <w:rFonts w:hint="eastAsia" w:ascii="仿宋_GB2312" w:eastAsia="仿宋_GB2312"/>
          <w:kern w:val="0"/>
          <w:szCs w:val="21"/>
          <w:lang w:val="en-US" w:eastAsia="zh-CN"/>
        </w:rPr>
        <w:t>2023</w:t>
      </w:r>
      <w:r>
        <w:rPr>
          <w:rFonts w:hint="eastAsia" w:ascii="仿宋_GB2312" w:eastAsia="仿宋_GB2312"/>
          <w:kern w:val="0"/>
          <w:szCs w:val="21"/>
        </w:rPr>
        <w:t>年</w:t>
      </w:r>
      <w:r>
        <w:rPr>
          <w:rFonts w:hint="eastAsia" w:ascii="仿宋_GB2312" w:eastAsia="仿宋_GB2312"/>
          <w:kern w:val="0"/>
          <w:szCs w:val="21"/>
          <w:lang w:val="en-US" w:eastAsia="zh-CN"/>
        </w:rPr>
        <w:t>3</w:t>
      </w:r>
      <w:r>
        <w:rPr>
          <w:rFonts w:hint="eastAsia" w:ascii="仿宋_GB2312" w:eastAsia="仿宋_GB2312"/>
          <w:kern w:val="0"/>
          <w:szCs w:val="21"/>
        </w:rPr>
        <w:t>月</w:t>
      </w:r>
      <w:r>
        <w:rPr>
          <w:rFonts w:hint="eastAsia" w:ascii="仿宋_GB2312" w:eastAsia="仿宋_GB2312"/>
          <w:kern w:val="0"/>
          <w:szCs w:val="21"/>
          <w:lang w:val="en-US" w:eastAsia="zh-CN"/>
        </w:rPr>
        <w:t>20</w:t>
      </w:r>
      <w:r>
        <w:rPr>
          <w:rFonts w:hint="eastAsia" w:ascii="仿宋_GB2312" w:eastAsia="仿宋_GB2312"/>
          <w:kern w:val="0"/>
          <w:szCs w:val="21"/>
        </w:rPr>
        <w:t>日</w:t>
      </w:r>
    </w:p>
    <w:p>
      <w:pPr>
        <w:widowControl/>
        <w:tabs>
          <w:tab w:val="left" w:pos="2593"/>
        </w:tabs>
        <w:jc w:val="left"/>
        <w:rPr>
          <w:rFonts w:ascii="仿宋_GB2312" w:eastAsia="仿宋_GB2312"/>
          <w:kern w:val="0"/>
          <w:szCs w:val="21"/>
        </w:rPr>
      </w:pPr>
      <w:r>
        <w:rPr>
          <w:rFonts w:hint="eastAsia" w:ascii="仿宋_GB2312" w:eastAsia="仿宋_GB2312"/>
          <w:kern w:val="0"/>
          <w:szCs w:val="21"/>
        </w:rPr>
        <w:t>填表人及联系电话：</w:t>
      </w:r>
      <w:r>
        <w:rPr>
          <w:rFonts w:hint="eastAsia" w:ascii="仿宋_GB2312" w:eastAsia="仿宋_GB2312"/>
          <w:kern w:val="0"/>
          <w:szCs w:val="21"/>
          <w:lang w:eastAsia="zh-CN"/>
        </w:rPr>
        <w:t>马昌永</w:t>
      </w:r>
      <w:r>
        <w:rPr>
          <w:rFonts w:hint="eastAsia" w:ascii="仿宋_GB2312" w:eastAsia="仿宋_GB2312"/>
          <w:kern w:val="0"/>
          <w:szCs w:val="21"/>
          <w:lang w:val="en-US" w:eastAsia="zh-CN"/>
        </w:rPr>
        <w:t>15673926061</w:t>
      </w:r>
      <w:r>
        <w:rPr>
          <w:rFonts w:hint="eastAsia" w:ascii="仿宋_GB2312" w:eastAsia="仿宋_GB2312"/>
          <w:kern w:val="0"/>
          <w:szCs w:val="21"/>
        </w:rPr>
        <w:t xml:space="preserve">          单位负责人签字：              </w:t>
      </w:r>
    </w:p>
    <w:tbl>
      <w:tblPr>
        <w:tblStyle w:val="4"/>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171"/>
        <w:gridCol w:w="1885"/>
        <w:gridCol w:w="366"/>
        <w:gridCol w:w="609"/>
        <w:gridCol w:w="1133"/>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0" w:type="dxa"/>
            <w:noWrap/>
            <w:vAlign w:val="center"/>
          </w:tcPr>
          <w:p>
            <w:pPr>
              <w:widowControl/>
              <w:jc w:val="center"/>
              <w:rPr>
                <w:rFonts w:ascii="仿宋_GB2312" w:eastAsia="仿宋_GB2312"/>
                <w:kern w:val="0"/>
                <w:szCs w:val="21"/>
              </w:rPr>
            </w:pPr>
            <w:r>
              <w:rPr>
                <w:rFonts w:hint="eastAsia" w:ascii="仿宋_GB2312" w:eastAsia="仿宋_GB2312"/>
                <w:kern w:val="0"/>
                <w:szCs w:val="21"/>
              </w:rPr>
              <w:t>部门名称</w:t>
            </w:r>
          </w:p>
        </w:tc>
        <w:tc>
          <w:tcPr>
            <w:tcW w:w="7859" w:type="dxa"/>
            <w:gridSpan w:val="6"/>
            <w:noWrap/>
            <w:vAlign w:val="center"/>
          </w:tcPr>
          <w:p>
            <w:pPr>
              <w:widowControl/>
              <w:jc w:val="center"/>
              <w:rPr>
                <w:rFonts w:ascii="仿宋_GB2312" w:eastAsia="仿宋_GB2312"/>
                <w:kern w:val="0"/>
                <w:szCs w:val="21"/>
              </w:rPr>
            </w:pPr>
            <w:r>
              <w:rPr>
                <w:rFonts w:hint="eastAsia" w:ascii="仿宋_GB2312" w:eastAsia="仿宋_GB2312"/>
                <w:kern w:val="0"/>
                <w:szCs w:val="21"/>
                <w:lang w:eastAsia="zh-CN"/>
              </w:rPr>
              <w:t>中共隆回县委办公室</w:t>
            </w:r>
            <w:r>
              <w:rPr>
                <w:rFonts w:hint="eastAsia" w:ascii="仿宋_GB2312"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80" w:type="dxa"/>
            <w:vMerge w:val="restart"/>
            <w:noWrap/>
            <w:vAlign w:val="center"/>
          </w:tcPr>
          <w:p>
            <w:pPr>
              <w:widowControl/>
              <w:jc w:val="center"/>
              <w:rPr>
                <w:rFonts w:hint="eastAsia" w:ascii="仿宋_GB2312" w:eastAsia="仿宋_GB2312"/>
                <w:kern w:val="0"/>
                <w:szCs w:val="21"/>
                <w:lang w:eastAsia="zh-CN"/>
              </w:rPr>
            </w:pPr>
            <w:r>
              <w:rPr>
                <w:rFonts w:hint="eastAsia" w:ascii="仿宋_GB2312" w:eastAsia="仿宋_GB2312"/>
                <w:kern w:val="0"/>
                <w:szCs w:val="21"/>
              </w:rPr>
              <w:t>年度预算申请</w:t>
            </w:r>
          </w:p>
          <w:p>
            <w:pPr>
              <w:widowControl/>
              <w:jc w:val="center"/>
              <w:rPr>
                <w:rFonts w:ascii="仿宋_GB2312" w:eastAsia="仿宋_GB2312"/>
                <w:kern w:val="0"/>
                <w:szCs w:val="21"/>
              </w:rPr>
            </w:pPr>
            <w:r>
              <w:rPr>
                <w:rFonts w:hint="eastAsia" w:ascii="仿宋_GB2312" w:eastAsia="仿宋_GB2312"/>
                <w:kern w:val="0"/>
                <w:szCs w:val="21"/>
              </w:rPr>
              <w:t>（万元）</w:t>
            </w:r>
          </w:p>
        </w:tc>
        <w:tc>
          <w:tcPr>
            <w:tcW w:w="7859" w:type="dxa"/>
            <w:gridSpan w:val="6"/>
            <w:noWrap/>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资金总额：</w:t>
            </w:r>
            <w:r>
              <w:rPr>
                <w:rFonts w:hint="eastAsia" w:ascii="仿宋_GB2312" w:eastAsia="仿宋_GB2312"/>
                <w:kern w:val="0"/>
                <w:szCs w:val="21"/>
                <w:lang w:val="en-US" w:eastAsia="zh-CN"/>
              </w:rPr>
              <w:t>1492.25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80" w:type="dxa"/>
            <w:vMerge w:val="continue"/>
            <w:noWrap/>
            <w:vAlign w:val="center"/>
          </w:tcPr>
          <w:p>
            <w:pPr>
              <w:widowControl/>
              <w:jc w:val="left"/>
              <w:rPr>
                <w:rFonts w:ascii="仿宋_GB2312" w:eastAsia="仿宋_GB2312"/>
                <w:kern w:val="0"/>
                <w:szCs w:val="21"/>
              </w:rPr>
            </w:pPr>
          </w:p>
        </w:tc>
        <w:tc>
          <w:tcPr>
            <w:tcW w:w="4031" w:type="dxa"/>
            <w:gridSpan w:val="4"/>
            <w:noWrap/>
            <w:vAlign w:val="center"/>
          </w:tcPr>
          <w:p>
            <w:pPr>
              <w:widowControl/>
              <w:jc w:val="left"/>
              <w:rPr>
                <w:rFonts w:ascii="仿宋_GB2312" w:eastAsia="仿宋_GB2312"/>
                <w:kern w:val="0"/>
                <w:szCs w:val="21"/>
              </w:rPr>
            </w:pPr>
            <w:r>
              <w:rPr>
                <w:rFonts w:hint="eastAsia" w:ascii="仿宋_GB2312" w:eastAsia="仿宋_GB2312"/>
                <w:kern w:val="0"/>
                <w:szCs w:val="21"/>
              </w:rPr>
              <w:t>按收入性质分：</w:t>
            </w:r>
          </w:p>
        </w:tc>
        <w:tc>
          <w:tcPr>
            <w:tcW w:w="3828" w:type="dxa"/>
            <w:gridSpan w:val="2"/>
            <w:noWrap/>
            <w:vAlign w:val="center"/>
          </w:tcPr>
          <w:p>
            <w:pPr>
              <w:widowControl/>
              <w:jc w:val="left"/>
              <w:rPr>
                <w:rFonts w:ascii="仿宋_GB2312" w:eastAsia="仿宋_GB2312"/>
                <w:kern w:val="0"/>
                <w:szCs w:val="21"/>
              </w:rPr>
            </w:pPr>
            <w:r>
              <w:rPr>
                <w:rFonts w:hint="eastAsia" w:ascii="仿宋_GB2312" w:eastAsia="仿宋_GB2312"/>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80" w:type="dxa"/>
            <w:vMerge w:val="continue"/>
            <w:noWrap/>
            <w:vAlign w:val="center"/>
          </w:tcPr>
          <w:p>
            <w:pPr>
              <w:widowControl/>
              <w:jc w:val="left"/>
              <w:rPr>
                <w:rFonts w:ascii="仿宋_GB2312" w:eastAsia="仿宋_GB2312"/>
                <w:kern w:val="0"/>
                <w:szCs w:val="21"/>
              </w:rPr>
            </w:pPr>
          </w:p>
        </w:tc>
        <w:tc>
          <w:tcPr>
            <w:tcW w:w="4031" w:type="dxa"/>
            <w:gridSpan w:val="4"/>
            <w:noWrap/>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其中：  一般公共预算：</w:t>
            </w:r>
            <w:r>
              <w:rPr>
                <w:rFonts w:hint="eastAsia" w:ascii="仿宋_GB2312" w:eastAsia="仿宋_GB2312"/>
                <w:kern w:val="0"/>
                <w:szCs w:val="21"/>
                <w:lang w:val="en-US" w:eastAsia="zh-CN"/>
              </w:rPr>
              <w:t>1492.25</w:t>
            </w:r>
          </w:p>
        </w:tc>
        <w:tc>
          <w:tcPr>
            <w:tcW w:w="3828" w:type="dxa"/>
            <w:gridSpan w:val="2"/>
            <w:noWrap/>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其中： 基本支出：</w:t>
            </w:r>
            <w:r>
              <w:rPr>
                <w:rFonts w:hint="eastAsia" w:ascii="仿宋_GB2312" w:eastAsia="仿宋_GB2312"/>
                <w:kern w:val="0"/>
                <w:szCs w:val="21"/>
                <w:lang w:val="en-US" w:eastAsia="zh-CN"/>
              </w:rPr>
              <w:t>863.19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80" w:type="dxa"/>
            <w:vMerge w:val="continue"/>
            <w:noWrap/>
            <w:vAlign w:val="center"/>
          </w:tcPr>
          <w:p>
            <w:pPr>
              <w:widowControl/>
              <w:jc w:val="left"/>
              <w:rPr>
                <w:rFonts w:ascii="仿宋_GB2312" w:eastAsia="仿宋_GB2312"/>
                <w:kern w:val="0"/>
                <w:szCs w:val="21"/>
              </w:rPr>
            </w:pPr>
          </w:p>
        </w:tc>
        <w:tc>
          <w:tcPr>
            <w:tcW w:w="4031" w:type="dxa"/>
            <w:gridSpan w:val="4"/>
            <w:noWrap/>
            <w:vAlign w:val="center"/>
          </w:tcPr>
          <w:p>
            <w:pPr>
              <w:widowControl/>
              <w:jc w:val="left"/>
              <w:rPr>
                <w:rFonts w:ascii="仿宋_GB2312" w:eastAsia="仿宋_GB2312"/>
                <w:kern w:val="0"/>
                <w:szCs w:val="21"/>
              </w:rPr>
            </w:pPr>
            <w:r>
              <w:rPr>
                <w:rFonts w:hint="eastAsia" w:ascii="仿宋_GB2312" w:eastAsia="仿宋_GB2312"/>
                <w:kern w:val="0"/>
                <w:szCs w:val="21"/>
              </w:rPr>
              <w:t xml:space="preserve">       政府性基金拨款：</w:t>
            </w:r>
          </w:p>
        </w:tc>
        <w:tc>
          <w:tcPr>
            <w:tcW w:w="3828" w:type="dxa"/>
            <w:gridSpan w:val="2"/>
            <w:noWrap/>
            <w:vAlign w:val="center"/>
          </w:tcPr>
          <w:p>
            <w:pPr>
              <w:widowControl/>
              <w:jc w:val="left"/>
              <w:rPr>
                <w:rFonts w:hint="default" w:ascii="仿宋_GB2312" w:eastAsia="仿宋_GB2312"/>
                <w:kern w:val="0"/>
                <w:szCs w:val="21"/>
                <w:lang w:val="en-US" w:eastAsia="zh-CN"/>
              </w:rPr>
            </w:pPr>
            <w:r>
              <w:rPr>
                <w:rFonts w:hint="eastAsia" w:ascii="仿宋_GB2312" w:eastAsia="仿宋_GB2312"/>
                <w:kern w:val="0"/>
                <w:szCs w:val="21"/>
              </w:rPr>
              <w:t xml:space="preserve">       项目支出：</w:t>
            </w:r>
            <w:r>
              <w:rPr>
                <w:rFonts w:hint="eastAsia" w:ascii="仿宋_GB2312" w:eastAsia="仿宋_GB2312"/>
                <w:kern w:val="0"/>
                <w:szCs w:val="21"/>
                <w:lang w:val="en-US" w:eastAsia="zh-CN"/>
              </w:rPr>
              <w:t>629.06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80" w:type="dxa"/>
            <w:vMerge w:val="continue"/>
            <w:noWrap/>
            <w:vAlign w:val="center"/>
          </w:tcPr>
          <w:p>
            <w:pPr>
              <w:widowControl/>
              <w:jc w:val="left"/>
              <w:rPr>
                <w:rFonts w:ascii="仿宋_GB2312" w:eastAsia="仿宋_GB2312"/>
                <w:kern w:val="0"/>
                <w:szCs w:val="21"/>
              </w:rPr>
            </w:pPr>
          </w:p>
        </w:tc>
        <w:tc>
          <w:tcPr>
            <w:tcW w:w="4031" w:type="dxa"/>
            <w:gridSpan w:val="4"/>
            <w:noWrap/>
            <w:vAlign w:val="center"/>
          </w:tcPr>
          <w:p>
            <w:pPr>
              <w:widowControl/>
              <w:jc w:val="left"/>
              <w:rPr>
                <w:rFonts w:ascii="仿宋_GB2312" w:eastAsia="仿宋_GB2312"/>
                <w:kern w:val="0"/>
                <w:szCs w:val="21"/>
              </w:rPr>
            </w:pPr>
            <w:r>
              <w:rPr>
                <w:rFonts w:hint="eastAsia" w:ascii="仿宋_GB2312" w:eastAsia="仿宋_GB2312"/>
                <w:kern w:val="0"/>
                <w:szCs w:val="21"/>
              </w:rPr>
              <w:t>纳入专户管理的非税收入拨款：</w:t>
            </w:r>
          </w:p>
        </w:tc>
        <w:tc>
          <w:tcPr>
            <w:tcW w:w="3828" w:type="dxa"/>
            <w:gridSpan w:val="2"/>
            <w:noWrap/>
            <w:vAlign w:val="center"/>
          </w:tcPr>
          <w:p>
            <w:pPr>
              <w:widowControl/>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80" w:type="dxa"/>
            <w:vMerge w:val="continue"/>
            <w:noWrap/>
            <w:vAlign w:val="center"/>
          </w:tcPr>
          <w:p>
            <w:pPr>
              <w:widowControl/>
              <w:jc w:val="left"/>
              <w:rPr>
                <w:rFonts w:ascii="仿宋_GB2312" w:eastAsia="仿宋_GB2312"/>
                <w:kern w:val="0"/>
                <w:szCs w:val="21"/>
              </w:rPr>
            </w:pPr>
          </w:p>
        </w:tc>
        <w:tc>
          <w:tcPr>
            <w:tcW w:w="4031" w:type="dxa"/>
            <w:gridSpan w:val="4"/>
            <w:noWrap/>
            <w:vAlign w:val="center"/>
          </w:tcPr>
          <w:p>
            <w:pPr>
              <w:widowControl/>
              <w:jc w:val="left"/>
              <w:rPr>
                <w:rFonts w:ascii="仿宋_GB2312" w:eastAsia="仿宋_GB2312"/>
                <w:kern w:val="0"/>
                <w:szCs w:val="21"/>
              </w:rPr>
            </w:pPr>
            <w:r>
              <w:rPr>
                <w:rFonts w:hint="eastAsia" w:ascii="仿宋_GB2312" w:eastAsia="仿宋_GB2312"/>
                <w:kern w:val="0"/>
                <w:szCs w:val="21"/>
              </w:rPr>
              <w:t xml:space="preserve">             其他资金：</w:t>
            </w:r>
          </w:p>
        </w:tc>
        <w:tc>
          <w:tcPr>
            <w:tcW w:w="3828" w:type="dxa"/>
            <w:gridSpan w:val="2"/>
            <w:noWrap/>
            <w:vAlign w:val="center"/>
          </w:tcPr>
          <w:p>
            <w:pPr>
              <w:widowControl/>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4" w:hRule="atLeast"/>
          <w:jc w:val="center"/>
        </w:trPr>
        <w:tc>
          <w:tcPr>
            <w:tcW w:w="680" w:type="dxa"/>
            <w:noWrap/>
            <w:vAlign w:val="center"/>
          </w:tcPr>
          <w:p>
            <w:pPr>
              <w:widowControl/>
              <w:jc w:val="center"/>
              <w:rPr>
                <w:rFonts w:ascii="仿宋_GB2312" w:eastAsia="仿宋_GB2312"/>
                <w:kern w:val="0"/>
                <w:szCs w:val="21"/>
              </w:rPr>
            </w:pPr>
            <w:r>
              <w:rPr>
                <w:rFonts w:hint="eastAsia" w:ascii="仿宋_GB2312" w:eastAsia="仿宋_GB2312"/>
                <w:kern w:val="0"/>
                <w:szCs w:val="21"/>
              </w:rPr>
              <w:t>部门职能</w:t>
            </w:r>
          </w:p>
          <w:p>
            <w:pPr>
              <w:widowControl/>
              <w:jc w:val="center"/>
              <w:rPr>
                <w:rFonts w:ascii="仿宋_GB2312" w:eastAsia="仿宋_GB2312"/>
                <w:kern w:val="0"/>
                <w:szCs w:val="21"/>
              </w:rPr>
            </w:pPr>
            <w:r>
              <w:rPr>
                <w:rFonts w:hint="eastAsia" w:ascii="仿宋_GB2312" w:eastAsia="仿宋_GB2312"/>
                <w:kern w:val="0"/>
                <w:szCs w:val="21"/>
              </w:rPr>
              <w:t>职责概述</w:t>
            </w:r>
          </w:p>
        </w:tc>
        <w:tc>
          <w:tcPr>
            <w:tcW w:w="7859" w:type="dxa"/>
            <w:gridSpan w:val="6"/>
            <w:noWrap/>
            <w:vAlign w:val="center"/>
          </w:tcPr>
          <w:p>
            <w:pPr>
              <w:widowControl/>
              <w:jc w:val="left"/>
              <w:rPr>
                <w:rFonts w:hint="eastAsia" w:ascii="仿宋" w:hAnsi="仿宋" w:eastAsia="仿宋" w:cs="仿宋"/>
                <w:sz w:val="24"/>
                <w:szCs w:val="24"/>
              </w:rPr>
            </w:pPr>
            <w:bookmarkStart w:id="0" w:name="OLE_LINK1"/>
            <w:r>
              <w:rPr>
                <w:rFonts w:hint="eastAsia" w:ascii="仿宋" w:hAnsi="仿宋" w:eastAsia="仿宋" w:cs="仿宋"/>
                <w:sz w:val="24"/>
                <w:szCs w:val="24"/>
              </w:rPr>
              <w:t>1.编制县委领导的公务活动月计划；2.负责县委会议的准备和组织协调；3.围绕县委工作部署，对涉及全县经济建设、改革开放、社会稳定、党的自身建设等全局性的重大问题进行调查研究，为县委科学决策提供建议、预案和依据；4.负责文书处理工作；5.负责档案管理和开发利用工作；6.负责重大方针政策、重要工作部署和领导同志的重要批示的贯彻落实情况的督查检查工作；6.组织办理政协委员有关提案；7.及时准确全面地向县委及上级党组织报送信息；8.负责党政系统的密码通讯和管理工作；9.负责全县保密工作的规划指导和监管工作；10.负责党办系统自动化建设的规划与指导；11.负责市以上领导的接待服务工作；12.负责县委大院的治保卫生等后勤保障工作；13.负责中共中央国务院对台方针政策的贯彻落实；14.负责县小康及深化改革工作；15.归口管理县档案馆和县史志办，协同县政府办管理信访工作。</w:t>
            </w:r>
          </w:p>
          <w:bookmarkEnd w:id="0"/>
          <w:p>
            <w:pPr>
              <w:pStyle w:val="2"/>
              <w:ind w:firstLine="640"/>
              <w:rPr>
                <w:rFonts w:ascii="仿宋_GB2312" w:eastAsia="仿宋_GB2312"/>
                <w:kern w:val="0"/>
                <w:szCs w:val="21"/>
              </w:rPr>
            </w:pPr>
          </w:p>
          <w:p>
            <w:pPr>
              <w:pStyle w:val="2"/>
              <w:ind w:firstLine="640"/>
              <w:rPr>
                <w:rFonts w:ascii="仿宋_GB2312" w:eastAsia="仿宋_GB2312"/>
                <w:kern w:val="0"/>
                <w:szCs w:val="21"/>
              </w:rPr>
            </w:pPr>
          </w:p>
          <w:p>
            <w:pPr>
              <w:pStyle w:val="2"/>
              <w:ind w:firstLine="640"/>
              <w:rPr>
                <w:rFonts w:ascii="仿宋_GB2312" w:eastAsia="仿宋_GB2312"/>
                <w:kern w:val="0"/>
                <w:szCs w:val="21"/>
              </w:rPr>
            </w:pPr>
          </w:p>
          <w:p>
            <w:pPr>
              <w:pStyle w:val="2"/>
              <w:ind w:firstLine="640"/>
              <w:rPr>
                <w:rFonts w:ascii="仿宋_GB2312" w:eastAsia="仿宋_GB2312"/>
                <w:kern w:val="0"/>
                <w:szCs w:val="21"/>
              </w:rPr>
            </w:pPr>
          </w:p>
          <w:p>
            <w:pPr>
              <w:pStyle w:val="2"/>
              <w:ind w:firstLine="640"/>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7" w:hRule="atLeast"/>
          <w:jc w:val="center"/>
        </w:trPr>
        <w:tc>
          <w:tcPr>
            <w:tcW w:w="680" w:type="dxa"/>
            <w:noWrap/>
            <w:vAlign w:val="center"/>
          </w:tcPr>
          <w:p>
            <w:pPr>
              <w:widowControl/>
              <w:jc w:val="center"/>
              <w:rPr>
                <w:rFonts w:ascii="仿宋_GB2312" w:eastAsia="仿宋_GB2312"/>
                <w:kern w:val="0"/>
                <w:szCs w:val="21"/>
              </w:rPr>
            </w:pPr>
            <w:r>
              <w:rPr>
                <w:rFonts w:hint="eastAsia" w:ascii="仿宋_GB2312" w:eastAsia="仿宋_GB2312"/>
                <w:kern w:val="0"/>
                <w:szCs w:val="21"/>
              </w:rPr>
              <w:t>整体绩效目标</w:t>
            </w:r>
          </w:p>
        </w:tc>
        <w:tc>
          <w:tcPr>
            <w:tcW w:w="7859" w:type="dxa"/>
            <w:gridSpan w:val="6"/>
            <w:noWrap/>
            <w:vAlign w:val="center"/>
          </w:tcPr>
          <w:p>
            <w:pPr>
              <w:widowControl/>
              <w:jc w:val="left"/>
            </w:pPr>
          </w:p>
          <w:p>
            <w:pPr>
              <w:spacing w:line="600" w:lineRule="exact"/>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一、及时准确全面地向县委及上级党组织报送信息；二、重大方针重要工作的督查检查，并反馈；三、编制县委领导的公务活动月计划，文稿的起草校核印发，会议的组织协调；</w:t>
            </w:r>
            <w:r>
              <w:rPr>
                <w:rFonts w:hint="eastAsia" w:ascii="仿宋" w:hAnsi="仿宋" w:eastAsia="仿宋" w:cs="仿宋"/>
                <w:kern w:val="0"/>
                <w:sz w:val="21"/>
                <w:szCs w:val="21"/>
                <w:lang w:eastAsia="zh-CN"/>
              </w:rPr>
              <w:t>四</w:t>
            </w:r>
            <w:r>
              <w:rPr>
                <w:rFonts w:hint="eastAsia" w:ascii="仿宋" w:hAnsi="仿宋" w:eastAsia="仿宋" w:cs="仿宋"/>
                <w:b w:val="0"/>
                <w:bCs w:val="0"/>
                <w:color w:val="000000"/>
                <w:sz w:val="21"/>
                <w:szCs w:val="21"/>
                <w:lang w:val="en-US" w:eastAsia="zh-CN"/>
              </w:rPr>
              <w:t>、</w:t>
            </w:r>
            <w:r>
              <w:rPr>
                <w:rFonts w:hint="eastAsia" w:ascii="仿宋" w:hAnsi="仿宋" w:eastAsia="仿宋" w:cs="仿宋"/>
                <w:b w:val="0"/>
                <w:bCs w:val="0"/>
                <w:color w:val="000000"/>
                <w:sz w:val="21"/>
                <w:szCs w:val="21"/>
              </w:rPr>
              <w:t>负责中共中央、国务院、省委、省政府、市委、市政府及县委、县政府重大方针政策、重要工作部署和领导同志重要指批示、批件的贯彻落实情况的督查检查工作，组织办理政协委员有关提案。</w:t>
            </w:r>
            <w:r>
              <w:rPr>
                <w:rFonts w:hint="eastAsia" w:ascii="仿宋" w:hAnsi="仿宋" w:eastAsia="仿宋" w:cs="仿宋"/>
                <w:b w:val="0"/>
                <w:bCs w:val="0"/>
                <w:color w:val="000000"/>
                <w:sz w:val="21"/>
                <w:szCs w:val="21"/>
                <w:lang w:eastAsia="zh-CN"/>
              </w:rPr>
              <w:t>五</w:t>
            </w:r>
            <w:r>
              <w:rPr>
                <w:rFonts w:hint="eastAsia" w:ascii="仿宋" w:hAnsi="仿宋" w:eastAsia="仿宋" w:cs="仿宋"/>
                <w:b w:val="0"/>
                <w:bCs w:val="0"/>
                <w:color w:val="000000"/>
                <w:sz w:val="21"/>
                <w:szCs w:val="21"/>
                <w:lang w:val="en-US" w:eastAsia="zh-CN"/>
              </w:rPr>
              <w:t>、</w:t>
            </w:r>
            <w:r>
              <w:rPr>
                <w:rFonts w:hint="eastAsia" w:ascii="仿宋" w:hAnsi="仿宋" w:eastAsia="仿宋" w:cs="仿宋"/>
                <w:b w:val="0"/>
                <w:bCs w:val="0"/>
                <w:color w:val="000000"/>
                <w:sz w:val="21"/>
                <w:szCs w:val="21"/>
              </w:rPr>
              <w:t>及时、准确、全面地向县委及上级党组织报送信息，反映有关动态。</w:t>
            </w:r>
            <w:r>
              <w:rPr>
                <w:rFonts w:hint="eastAsia" w:ascii="仿宋" w:hAnsi="仿宋" w:eastAsia="仿宋" w:cs="仿宋"/>
                <w:b w:val="0"/>
                <w:bCs w:val="0"/>
                <w:color w:val="000000"/>
                <w:sz w:val="21"/>
                <w:szCs w:val="21"/>
                <w:lang w:eastAsia="zh-CN"/>
              </w:rPr>
              <w:t>六</w:t>
            </w:r>
            <w:r>
              <w:rPr>
                <w:rFonts w:hint="eastAsia" w:ascii="仿宋" w:hAnsi="仿宋" w:eastAsia="仿宋" w:cs="仿宋"/>
                <w:b w:val="0"/>
                <w:bCs w:val="0"/>
                <w:color w:val="000000"/>
                <w:sz w:val="21"/>
                <w:szCs w:val="21"/>
                <w:lang w:val="en-US" w:eastAsia="zh-CN"/>
              </w:rPr>
              <w:t>、</w:t>
            </w:r>
            <w:r>
              <w:rPr>
                <w:rFonts w:hint="eastAsia" w:ascii="仿宋" w:hAnsi="仿宋" w:eastAsia="仿宋" w:cs="仿宋"/>
                <w:b w:val="0"/>
                <w:bCs w:val="0"/>
                <w:color w:val="000000"/>
                <w:sz w:val="21"/>
                <w:szCs w:val="21"/>
              </w:rPr>
              <w:t>负责全县党政系统密码通讯和管理工作，负责全县保密工作规划、宣传教育、指挥协调、监督管理和失泄密事件的查处工作。</w:t>
            </w:r>
            <w:r>
              <w:rPr>
                <w:rFonts w:hint="eastAsia" w:ascii="仿宋" w:hAnsi="仿宋" w:eastAsia="仿宋" w:cs="仿宋"/>
                <w:b w:val="0"/>
                <w:bCs w:val="0"/>
                <w:color w:val="000000"/>
                <w:sz w:val="21"/>
                <w:szCs w:val="21"/>
                <w:lang w:eastAsia="zh-CN"/>
              </w:rPr>
              <w:t>七</w:t>
            </w:r>
            <w:r>
              <w:rPr>
                <w:rFonts w:hint="eastAsia" w:ascii="仿宋" w:hAnsi="仿宋" w:eastAsia="仿宋" w:cs="仿宋"/>
                <w:b w:val="0"/>
                <w:bCs w:val="0"/>
                <w:color w:val="000000"/>
                <w:sz w:val="21"/>
                <w:szCs w:val="21"/>
                <w:lang w:val="en-US" w:eastAsia="zh-CN"/>
              </w:rPr>
              <w:t>、</w:t>
            </w:r>
            <w:r>
              <w:rPr>
                <w:rFonts w:hint="eastAsia" w:ascii="仿宋" w:hAnsi="仿宋" w:eastAsia="仿宋" w:cs="仿宋"/>
                <w:b w:val="0"/>
                <w:bCs w:val="0"/>
                <w:color w:val="000000"/>
                <w:sz w:val="21"/>
                <w:szCs w:val="21"/>
              </w:rPr>
              <w:t>负责全县党委办公室系统自动化建设的规划及业务指导。</w:t>
            </w:r>
            <w:r>
              <w:rPr>
                <w:rFonts w:hint="eastAsia" w:ascii="仿宋" w:hAnsi="仿宋" w:eastAsia="仿宋" w:cs="仿宋"/>
                <w:b w:val="0"/>
                <w:bCs w:val="0"/>
                <w:color w:val="000000"/>
                <w:sz w:val="21"/>
                <w:szCs w:val="21"/>
                <w:lang w:eastAsia="zh-CN"/>
              </w:rPr>
              <w:t>八</w:t>
            </w:r>
            <w:r>
              <w:rPr>
                <w:rFonts w:hint="eastAsia" w:ascii="仿宋" w:hAnsi="仿宋" w:eastAsia="仿宋" w:cs="仿宋"/>
                <w:b w:val="0"/>
                <w:bCs w:val="0"/>
                <w:color w:val="000000"/>
                <w:sz w:val="21"/>
                <w:szCs w:val="21"/>
                <w:lang w:val="en-US" w:eastAsia="zh-CN"/>
              </w:rPr>
              <w:t>、</w:t>
            </w:r>
            <w:r>
              <w:rPr>
                <w:rFonts w:hint="eastAsia" w:ascii="仿宋" w:hAnsi="仿宋" w:eastAsia="仿宋" w:cs="仿宋"/>
                <w:b w:val="0"/>
                <w:bCs w:val="0"/>
                <w:color w:val="000000"/>
                <w:sz w:val="21"/>
                <w:szCs w:val="21"/>
              </w:rPr>
              <w:t>做好市以上党政领导来隆回视察工作的接待服务工作。</w:t>
            </w:r>
            <w:r>
              <w:rPr>
                <w:rFonts w:hint="eastAsia" w:ascii="仿宋" w:hAnsi="仿宋" w:eastAsia="仿宋" w:cs="仿宋"/>
                <w:b w:val="0"/>
                <w:bCs w:val="0"/>
                <w:color w:val="000000"/>
                <w:sz w:val="21"/>
                <w:szCs w:val="21"/>
                <w:lang w:eastAsia="zh-CN"/>
              </w:rPr>
              <w:t>九</w:t>
            </w:r>
            <w:r>
              <w:rPr>
                <w:rFonts w:hint="eastAsia" w:ascii="仿宋" w:hAnsi="仿宋" w:eastAsia="仿宋" w:cs="仿宋"/>
                <w:b w:val="0"/>
                <w:bCs w:val="0"/>
                <w:color w:val="000000"/>
                <w:sz w:val="21"/>
                <w:szCs w:val="21"/>
                <w:lang w:val="en-US" w:eastAsia="zh-CN"/>
              </w:rPr>
              <w:t>、</w:t>
            </w:r>
            <w:r>
              <w:rPr>
                <w:rFonts w:hint="eastAsia" w:ascii="仿宋" w:hAnsi="仿宋" w:eastAsia="仿宋" w:cs="仿宋"/>
                <w:b w:val="0"/>
                <w:bCs w:val="0"/>
                <w:color w:val="000000"/>
                <w:sz w:val="21"/>
                <w:szCs w:val="21"/>
              </w:rPr>
              <w:t>负责县委大院安全保卫、综合治理工作，负责县委大院房地产（县人大、县政协办公楼除外）、基建、后勤保障、环境卫生管理和车辆服务工作。</w:t>
            </w:r>
            <w:r>
              <w:rPr>
                <w:rFonts w:hint="eastAsia" w:ascii="仿宋" w:hAnsi="仿宋" w:eastAsia="仿宋" w:cs="仿宋"/>
                <w:b w:val="0"/>
                <w:bCs w:val="0"/>
                <w:color w:val="000000"/>
                <w:sz w:val="21"/>
                <w:szCs w:val="21"/>
                <w:lang w:eastAsia="zh-CN"/>
              </w:rPr>
              <w:t>十</w:t>
            </w:r>
            <w:r>
              <w:rPr>
                <w:rFonts w:hint="eastAsia" w:ascii="仿宋" w:hAnsi="仿宋" w:eastAsia="仿宋" w:cs="仿宋"/>
                <w:b w:val="0"/>
                <w:bCs w:val="0"/>
                <w:color w:val="000000"/>
                <w:sz w:val="21"/>
                <w:szCs w:val="21"/>
                <w:lang w:val="en-US" w:eastAsia="zh-CN"/>
              </w:rPr>
              <w:t>、</w:t>
            </w:r>
            <w:r>
              <w:rPr>
                <w:rFonts w:hint="eastAsia" w:ascii="仿宋" w:hAnsi="仿宋" w:eastAsia="仿宋" w:cs="仿宋"/>
                <w:b w:val="0"/>
                <w:bCs w:val="0"/>
                <w:color w:val="000000"/>
                <w:sz w:val="21"/>
                <w:szCs w:val="21"/>
              </w:rPr>
              <w:t>负责县委办公室及归口单位工部职工、离退休老同志的教育、管理、服务和思想政治工作。</w:t>
            </w:r>
            <w:r>
              <w:rPr>
                <w:rFonts w:hint="eastAsia" w:ascii="仿宋" w:hAnsi="仿宋" w:eastAsia="仿宋" w:cs="仿宋"/>
                <w:b w:val="0"/>
                <w:bCs w:val="0"/>
                <w:color w:val="000000"/>
                <w:sz w:val="21"/>
                <w:szCs w:val="21"/>
                <w:lang w:eastAsia="zh-CN"/>
              </w:rPr>
              <w:t>十一</w:t>
            </w:r>
            <w:r>
              <w:rPr>
                <w:rFonts w:hint="eastAsia" w:ascii="仿宋" w:hAnsi="仿宋" w:eastAsia="仿宋" w:cs="仿宋"/>
                <w:kern w:val="0"/>
                <w:sz w:val="21"/>
                <w:szCs w:val="21"/>
              </w:rPr>
              <w:t>、全面完成本办其他各项工作。</w:t>
            </w:r>
          </w:p>
          <w:p>
            <w:pPr>
              <w:pStyle w:val="2"/>
              <w:ind w:firstLine="0" w:firstLineChars="0"/>
              <w:rPr>
                <w:rFonts w:ascii="仿宋_GB2312" w:eastAsia="仿宋_GB2312"/>
                <w:kern w:val="0"/>
                <w:szCs w:val="21"/>
              </w:rPr>
            </w:pPr>
          </w:p>
          <w:p>
            <w:pPr>
              <w:pStyle w:val="2"/>
              <w:ind w:firstLine="0" w:firstLineChars="0"/>
              <w:rPr>
                <w:rFonts w:ascii="仿宋_GB2312" w:eastAsia="仿宋_GB2312"/>
                <w:kern w:val="0"/>
                <w:szCs w:val="21"/>
              </w:rPr>
            </w:pPr>
          </w:p>
          <w:p>
            <w:pPr>
              <w:pStyle w:val="2"/>
              <w:ind w:firstLine="0" w:firstLineChars="0"/>
              <w:rPr>
                <w:rFonts w:ascii="仿宋_GB2312" w:eastAsia="仿宋_GB2312"/>
                <w:kern w:val="0"/>
                <w:szCs w:val="21"/>
              </w:rPr>
            </w:pPr>
          </w:p>
          <w:p>
            <w:pPr>
              <w:pStyle w:val="2"/>
              <w:ind w:firstLine="0" w:firstLineChars="0"/>
              <w:rPr>
                <w:rFonts w:ascii="仿宋_GB2312" w:eastAsia="仿宋_GB2312"/>
                <w:kern w:val="0"/>
                <w:szCs w:val="21"/>
              </w:rPr>
            </w:pPr>
          </w:p>
          <w:p>
            <w:pPr>
              <w:pStyle w:val="2"/>
              <w:ind w:firstLine="0" w:firstLineChars="0"/>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80" w:type="dxa"/>
            <w:vMerge w:val="restart"/>
            <w:noWrap/>
            <w:vAlign w:val="center"/>
          </w:tcPr>
          <w:p>
            <w:pPr>
              <w:widowControl/>
              <w:jc w:val="center"/>
              <w:rPr>
                <w:rFonts w:hint="eastAsia" w:ascii="仿宋_GB2312" w:eastAsia="仿宋_GB2312"/>
                <w:kern w:val="0"/>
                <w:szCs w:val="21"/>
                <w:lang w:eastAsia="zh-CN"/>
              </w:rPr>
            </w:pPr>
            <w:r>
              <w:rPr>
                <w:rFonts w:hint="eastAsia" w:ascii="仿宋_GB2312" w:eastAsia="仿宋_GB2312"/>
                <w:kern w:val="0"/>
                <w:szCs w:val="21"/>
                <w:lang w:eastAsia="zh-CN"/>
              </w:rPr>
              <w:t>部门整体支出年度绩效指标</w:t>
            </w:r>
          </w:p>
        </w:tc>
        <w:tc>
          <w:tcPr>
            <w:tcW w:w="1171" w:type="dxa"/>
            <w:noWrap/>
            <w:vAlign w:val="center"/>
          </w:tcPr>
          <w:p>
            <w:pPr>
              <w:widowControl/>
              <w:jc w:val="center"/>
              <w:rPr>
                <w:rFonts w:ascii="仿宋_GB2312" w:eastAsia="仿宋_GB2312"/>
                <w:kern w:val="0"/>
                <w:szCs w:val="21"/>
              </w:rPr>
            </w:pPr>
            <w:r>
              <w:rPr>
                <w:rFonts w:hint="eastAsia" w:ascii="仿宋_GB2312" w:eastAsia="仿宋_GB2312"/>
                <w:kern w:val="0"/>
                <w:szCs w:val="21"/>
                <w:lang w:eastAsia="zh-CN"/>
              </w:rPr>
              <w:t>一级</w:t>
            </w:r>
            <w:r>
              <w:rPr>
                <w:rFonts w:hint="eastAsia" w:ascii="仿宋_GB2312" w:eastAsia="仿宋_GB2312"/>
                <w:kern w:val="0"/>
                <w:szCs w:val="21"/>
              </w:rPr>
              <w:t>指标</w:t>
            </w:r>
          </w:p>
        </w:tc>
        <w:tc>
          <w:tcPr>
            <w:tcW w:w="1885" w:type="dxa"/>
            <w:noWrap/>
            <w:vAlign w:val="center"/>
          </w:tcPr>
          <w:p>
            <w:pPr>
              <w:widowControl/>
              <w:jc w:val="center"/>
              <w:rPr>
                <w:rFonts w:ascii="仿宋_GB2312" w:eastAsia="仿宋_GB2312"/>
                <w:kern w:val="0"/>
                <w:szCs w:val="21"/>
              </w:rPr>
            </w:pPr>
            <w:r>
              <w:rPr>
                <w:rFonts w:hint="eastAsia" w:ascii="仿宋_GB2312" w:eastAsia="仿宋_GB2312"/>
                <w:kern w:val="0"/>
                <w:szCs w:val="21"/>
              </w:rPr>
              <w:t>二级指标</w:t>
            </w:r>
          </w:p>
        </w:tc>
        <w:tc>
          <w:tcPr>
            <w:tcW w:w="2108" w:type="dxa"/>
            <w:gridSpan w:val="3"/>
            <w:noWrap/>
            <w:vAlign w:val="center"/>
          </w:tcPr>
          <w:p>
            <w:pPr>
              <w:widowControl/>
              <w:jc w:val="center"/>
              <w:rPr>
                <w:rFonts w:ascii="仿宋_GB2312" w:eastAsia="仿宋_GB2312"/>
                <w:kern w:val="0"/>
                <w:szCs w:val="21"/>
              </w:rPr>
            </w:pPr>
            <w:r>
              <w:rPr>
                <w:rFonts w:hint="eastAsia" w:ascii="仿宋_GB2312" w:eastAsia="仿宋_GB2312"/>
                <w:kern w:val="0"/>
                <w:szCs w:val="21"/>
              </w:rPr>
              <w:t>三级指标</w:t>
            </w:r>
          </w:p>
        </w:tc>
        <w:tc>
          <w:tcPr>
            <w:tcW w:w="2695" w:type="dxa"/>
            <w:noWrap/>
            <w:vAlign w:val="center"/>
          </w:tcPr>
          <w:p>
            <w:pPr>
              <w:widowControl/>
              <w:jc w:val="center"/>
              <w:rPr>
                <w:rFonts w:ascii="仿宋_GB2312" w:eastAsia="仿宋_GB2312"/>
                <w:kern w:val="0"/>
                <w:szCs w:val="21"/>
              </w:rPr>
            </w:pPr>
            <w:r>
              <w:rPr>
                <w:rFonts w:hint="eastAsia" w:ascii="仿宋_GB2312" w:eastAsia="仿宋_GB2312"/>
                <w:kern w:val="0"/>
                <w:szCs w:val="21"/>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80" w:type="dxa"/>
            <w:vMerge w:val="continue"/>
            <w:noWrap/>
            <w:vAlign w:val="center"/>
          </w:tcPr>
          <w:p>
            <w:pPr>
              <w:widowControl/>
              <w:jc w:val="center"/>
              <w:rPr>
                <w:rFonts w:ascii="仿宋_GB2312" w:eastAsia="仿宋_GB2312"/>
                <w:kern w:val="0"/>
                <w:szCs w:val="21"/>
              </w:rPr>
            </w:pPr>
          </w:p>
        </w:tc>
        <w:tc>
          <w:tcPr>
            <w:tcW w:w="1171" w:type="dxa"/>
            <w:vMerge w:val="restart"/>
            <w:noWrap/>
            <w:vAlign w:val="center"/>
          </w:tcPr>
          <w:p>
            <w:pPr>
              <w:widowControl/>
              <w:jc w:val="center"/>
              <w:rPr>
                <w:rFonts w:ascii="仿宋_GB2312" w:eastAsia="仿宋_GB2312"/>
                <w:kern w:val="0"/>
                <w:szCs w:val="21"/>
              </w:rPr>
            </w:pPr>
            <w:r>
              <w:rPr>
                <w:rFonts w:hint="eastAsia" w:ascii="仿宋_GB2312" w:eastAsia="仿宋_GB2312"/>
                <w:kern w:val="0"/>
                <w:szCs w:val="21"/>
                <w:lang w:eastAsia="zh-CN"/>
              </w:rPr>
              <w:t>产出</w:t>
            </w:r>
            <w:r>
              <w:rPr>
                <w:rFonts w:hint="eastAsia" w:ascii="仿宋_GB2312" w:eastAsia="仿宋_GB2312"/>
                <w:kern w:val="0"/>
                <w:szCs w:val="21"/>
              </w:rPr>
              <w:t>指标</w:t>
            </w:r>
          </w:p>
        </w:tc>
        <w:tc>
          <w:tcPr>
            <w:tcW w:w="1885" w:type="dxa"/>
            <w:vMerge w:val="restart"/>
            <w:noWrap/>
            <w:vAlign w:val="center"/>
          </w:tcPr>
          <w:p>
            <w:pPr>
              <w:jc w:val="center"/>
              <w:rPr>
                <w:rFonts w:ascii="仿宋_GB2312" w:eastAsia="仿宋_GB2312"/>
                <w:kern w:val="0"/>
                <w:szCs w:val="21"/>
              </w:rPr>
            </w:pPr>
            <w:r>
              <w:rPr>
                <w:rFonts w:hint="eastAsia" w:ascii="仿宋_GB2312" w:eastAsia="仿宋_GB2312"/>
                <w:kern w:val="0"/>
                <w:szCs w:val="21"/>
              </w:rPr>
              <w:t>数量指标</w:t>
            </w:r>
          </w:p>
        </w:tc>
        <w:tc>
          <w:tcPr>
            <w:tcW w:w="2108" w:type="dxa"/>
            <w:gridSpan w:val="3"/>
            <w:noWrap/>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召开大型会议</w:t>
            </w:r>
          </w:p>
        </w:tc>
        <w:tc>
          <w:tcPr>
            <w:tcW w:w="2695" w:type="dxa"/>
            <w:noWrap/>
            <w:vAlign w:val="center"/>
          </w:tcPr>
          <w:p>
            <w:pPr>
              <w:jc w:val="center"/>
              <w:rPr>
                <w:rFonts w:hint="eastAsia" w:ascii="仿宋_GB2312" w:eastAsia="仿宋_GB2312"/>
                <w:kern w:val="0"/>
                <w:szCs w:val="21"/>
                <w:lang w:val="en-US" w:eastAsia="zh-CN"/>
              </w:rPr>
            </w:pPr>
            <w:r>
              <w:rPr>
                <w:rFonts w:hint="eastAsia" w:ascii="仿宋_GB2312" w:eastAsia="仿宋_GB2312"/>
                <w:kern w:val="0"/>
                <w:szCs w:val="21"/>
                <w:lang w:val="en-US" w:eastAsia="zh-CN"/>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80" w:type="dxa"/>
            <w:vMerge w:val="continue"/>
            <w:noWrap/>
            <w:vAlign w:val="center"/>
          </w:tcPr>
          <w:p>
            <w:pPr>
              <w:jc w:val="center"/>
            </w:pPr>
          </w:p>
        </w:tc>
        <w:tc>
          <w:tcPr>
            <w:tcW w:w="1171" w:type="dxa"/>
            <w:vMerge w:val="continue"/>
            <w:noWrap/>
            <w:vAlign w:val="center"/>
          </w:tcPr>
          <w:p>
            <w:pPr>
              <w:jc w:val="center"/>
            </w:pPr>
          </w:p>
        </w:tc>
        <w:tc>
          <w:tcPr>
            <w:tcW w:w="1885" w:type="dxa"/>
            <w:vMerge w:val="continue"/>
            <w:noWrap/>
            <w:vAlign w:val="center"/>
          </w:tcPr>
          <w:p>
            <w:pPr>
              <w:jc w:val="center"/>
            </w:pPr>
          </w:p>
        </w:tc>
        <w:tc>
          <w:tcPr>
            <w:tcW w:w="2108" w:type="dxa"/>
            <w:gridSpan w:val="3"/>
            <w:noWrap/>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培训人数</w:t>
            </w:r>
          </w:p>
        </w:tc>
        <w:tc>
          <w:tcPr>
            <w:tcW w:w="2695" w:type="dxa"/>
            <w:noWrap/>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0" w:type="dxa"/>
            <w:vMerge w:val="continue"/>
            <w:noWrap/>
            <w:vAlign w:val="center"/>
          </w:tcPr>
          <w:p>
            <w:pPr>
              <w:widowControl/>
              <w:jc w:val="center"/>
              <w:rPr>
                <w:rFonts w:ascii="仿宋_GB2312" w:eastAsia="仿宋_GB2312"/>
                <w:kern w:val="0"/>
                <w:szCs w:val="21"/>
              </w:rPr>
            </w:pPr>
          </w:p>
        </w:tc>
        <w:tc>
          <w:tcPr>
            <w:tcW w:w="1171" w:type="dxa"/>
            <w:vMerge w:val="continue"/>
            <w:noWrap/>
            <w:vAlign w:val="center"/>
          </w:tcPr>
          <w:p>
            <w:pPr>
              <w:widowControl/>
              <w:jc w:val="center"/>
              <w:rPr>
                <w:rFonts w:ascii="仿宋_GB2312" w:eastAsia="仿宋_GB2312"/>
                <w:kern w:val="0"/>
                <w:szCs w:val="21"/>
              </w:rPr>
            </w:pPr>
          </w:p>
        </w:tc>
        <w:tc>
          <w:tcPr>
            <w:tcW w:w="1885" w:type="dxa"/>
            <w:vMerge w:val="restart"/>
            <w:noWrap/>
            <w:vAlign w:val="center"/>
          </w:tcPr>
          <w:p>
            <w:pPr>
              <w:jc w:val="center"/>
              <w:rPr>
                <w:rFonts w:ascii="仿宋_GB2312" w:eastAsia="仿宋_GB2312"/>
                <w:kern w:val="0"/>
                <w:szCs w:val="21"/>
              </w:rPr>
            </w:pPr>
            <w:r>
              <w:rPr>
                <w:rFonts w:hint="eastAsia" w:ascii="仿宋_GB2312" w:eastAsia="仿宋_GB2312"/>
                <w:kern w:val="0"/>
                <w:szCs w:val="21"/>
              </w:rPr>
              <w:t>质量指标</w:t>
            </w:r>
          </w:p>
        </w:tc>
        <w:tc>
          <w:tcPr>
            <w:tcW w:w="2108" w:type="dxa"/>
            <w:gridSpan w:val="3"/>
            <w:noWrap/>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重点工作全面完成</w:t>
            </w:r>
          </w:p>
        </w:tc>
        <w:tc>
          <w:tcPr>
            <w:tcW w:w="2695" w:type="dxa"/>
            <w:noWrap/>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等于</w:t>
            </w:r>
            <w:r>
              <w:rPr>
                <w:rFonts w:hint="eastAsia" w:ascii="仿宋_GB2312" w:eastAsia="仿宋_GB2312"/>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0" w:type="dxa"/>
            <w:vMerge w:val="continue"/>
            <w:noWrap/>
            <w:vAlign w:val="center"/>
          </w:tcPr>
          <w:p>
            <w:pPr>
              <w:widowControl/>
              <w:jc w:val="center"/>
              <w:rPr>
                <w:rFonts w:ascii="仿宋_GB2312" w:eastAsia="仿宋_GB2312"/>
                <w:kern w:val="0"/>
                <w:szCs w:val="21"/>
              </w:rPr>
            </w:pPr>
          </w:p>
        </w:tc>
        <w:tc>
          <w:tcPr>
            <w:tcW w:w="1171" w:type="dxa"/>
            <w:vMerge w:val="continue"/>
            <w:noWrap/>
            <w:vAlign w:val="center"/>
          </w:tcPr>
          <w:p>
            <w:pPr>
              <w:widowControl/>
              <w:jc w:val="center"/>
              <w:rPr>
                <w:rFonts w:ascii="仿宋_GB2312" w:eastAsia="仿宋_GB2312"/>
                <w:kern w:val="0"/>
                <w:szCs w:val="21"/>
              </w:rPr>
            </w:pPr>
          </w:p>
        </w:tc>
        <w:tc>
          <w:tcPr>
            <w:tcW w:w="1885" w:type="dxa"/>
            <w:vMerge w:val="restart"/>
            <w:noWrap/>
            <w:vAlign w:val="center"/>
          </w:tcPr>
          <w:p>
            <w:pPr>
              <w:jc w:val="center"/>
              <w:rPr>
                <w:rFonts w:ascii="仿宋_GB2312" w:eastAsia="仿宋_GB2312"/>
                <w:kern w:val="0"/>
                <w:szCs w:val="21"/>
              </w:rPr>
            </w:pPr>
            <w:r>
              <w:rPr>
                <w:rFonts w:hint="eastAsia" w:ascii="仿宋_GB2312" w:eastAsia="仿宋_GB2312"/>
                <w:kern w:val="0"/>
                <w:szCs w:val="21"/>
              </w:rPr>
              <w:t>成本指标</w:t>
            </w:r>
          </w:p>
        </w:tc>
        <w:tc>
          <w:tcPr>
            <w:tcW w:w="2108" w:type="dxa"/>
            <w:gridSpan w:val="3"/>
            <w:noWrap/>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资金按进度投入使用</w:t>
            </w:r>
          </w:p>
        </w:tc>
        <w:tc>
          <w:tcPr>
            <w:tcW w:w="2695" w:type="dxa"/>
            <w:noWrap/>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大于</w:t>
            </w:r>
            <w:r>
              <w:rPr>
                <w:rFonts w:hint="eastAsia" w:ascii="仿宋_GB2312" w:eastAsia="仿宋_GB2312"/>
                <w:kern w:val="0"/>
                <w:szCs w:val="21"/>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80" w:type="dxa"/>
            <w:vMerge w:val="continue"/>
            <w:noWrap/>
            <w:vAlign w:val="center"/>
          </w:tcPr>
          <w:p>
            <w:pPr>
              <w:widowControl/>
              <w:jc w:val="center"/>
              <w:rPr>
                <w:rFonts w:ascii="仿宋_GB2312" w:eastAsia="仿宋_GB2312"/>
                <w:kern w:val="0"/>
                <w:szCs w:val="21"/>
              </w:rPr>
            </w:pPr>
          </w:p>
        </w:tc>
        <w:tc>
          <w:tcPr>
            <w:tcW w:w="1171" w:type="dxa"/>
            <w:vMerge w:val="continue"/>
            <w:noWrap/>
            <w:vAlign w:val="center"/>
          </w:tcPr>
          <w:p>
            <w:pPr>
              <w:widowControl/>
              <w:jc w:val="center"/>
              <w:rPr>
                <w:rFonts w:ascii="仿宋_GB2312" w:eastAsia="仿宋_GB2312"/>
                <w:kern w:val="0"/>
                <w:szCs w:val="21"/>
              </w:rPr>
            </w:pPr>
          </w:p>
        </w:tc>
        <w:tc>
          <w:tcPr>
            <w:tcW w:w="1885" w:type="dxa"/>
            <w:vMerge w:val="restart"/>
            <w:noWrap/>
            <w:vAlign w:val="center"/>
          </w:tcPr>
          <w:p>
            <w:pPr>
              <w:jc w:val="center"/>
              <w:rPr>
                <w:rFonts w:ascii="仿宋_GB2312" w:eastAsia="仿宋_GB2312"/>
                <w:kern w:val="0"/>
                <w:szCs w:val="21"/>
              </w:rPr>
            </w:pPr>
            <w:r>
              <w:rPr>
                <w:rFonts w:hint="eastAsia" w:ascii="仿宋_GB2312" w:eastAsia="仿宋_GB2312"/>
                <w:kern w:val="0"/>
                <w:szCs w:val="21"/>
              </w:rPr>
              <w:t>时效指标</w:t>
            </w:r>
          </w:p>
        </w:tc>
        <w:tc>
          <w:tcPr>
            <w:tcW w:w="2108" w:type="dxa"/>
            <w:gridSpan w:val="3"/>
            <w:noWrap/>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履职目标全面实现</w:t>
            </w:r>
          </w:p>
        </w:tc>
        <w:tc>
          <w:tcPr>
            <w:tcW w:w="2695" w:type="dxa"/>
            <w:noWrap/>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等于</w:t>
            </w:r>
            <w:r>
              <w:rPr>
                <w:rFonts w:hint="eastAsia" w:ascii="仿宋_GB2312" w:eastAsia="仿宋_GB2312"/>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80" w:type="dxa"/>
            <w:vMerge w:val="continue"/>
            <w:noWrap/>
            <w:vAlign w:val="center"/>
          </w:tcPr>
          <w:p>
            <w:pPr>
              <w:widowControl/>
              <w:jc w:val="left"/>
              <w:rPr>
                <w:rFonts w:ascii="仿宋_GB2312" w:eastAsia="仿宋_GB2312"/>
                <w:kern w:val="0"/>
                <w:szCs w:val="21"/>
              </w:rPr>
            </w:pPr>
          </w:p>
        </w:tc>
        <w:tc>
          <w:tcPr>
            <w:tcW w:w="1171" w:type="dxa"/>
            <w:vMerge w:val="restart"/>
            <w:noWrap/>
            <w:vAlign w:val="center"/>
          </w:tcPr>
          <w:p>
            <w:pPr>
              <w:widowControl/>
              <w:jc w:val="center"/>
              <w:rPr>
                <w:rFonts w:hint="eastAsia" w:ascii="仿宋_GB2312" w:eastAsia="仿宋_GB2312"/>
                <w:kern w:val="0"/>
                <w:szCs w:val="21"/>
                <w:lang w:eastAsia="zh-CN"/>
              </w:rPr>
            </w:pPr>
            <w:r>
              <w:rPr>
                <w:rFonts w:hint="eastAsia" w:ascii="仿宋_GB2312" w:eastAsia="仿宋_GB2312"/>
                <w:kern w:val="0"/>
                <w:szCs w:val="21"/>
                <w:lang w:eastAsia="zh-CN"/>
              </w:rPr>
              <w:t>效益指标</w:t>
            </w:r>
          </w:p>
        </w:tc>
        <w:tc>
          <w:tcPr>
            <w:tcW w:w="1885" w:type="dxa"/>
            <w:vMerge w:val="restart"/>
            <w:noWrap/>
            <w:vAlign w:val="center"/>
          </w:tcPr>
          <w:p>
            <w:pPr>
              <w:jc w:val="center"/>
              <w:rPr>
                <w:rFonts w:ascii="仿宋_GB2312" w:eastAsia="仿宋_GB2312"/>
                <w:kern w:val="0"/>
                <w:szCs w:val="21"/>
              </w:rPr>
            </w:pPr>
            <w:r>
              <w:rPr>
                <w:rFonts w:hint="eastAsia" w:ascii="仿宋_GB2312" w:eastAsia="仿宋_GB2312"/>
                <w:kern w:val="0"/>
                <w:szCs w:val="21"/>
              </w:rPr>
              <w:t>经济效益指标</w:t>
            </w:r>
          </w:p>
        </w:tc>
        <w:tc>
          <w:tcPr>
            <w:tcW w:w="2108" w:type="dxa"/>
            <w:gridSpan w:val="3"/>
            <w:noWrap/>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全面执行年度预算</w:t>
            </w:r>
          </w:p>
        </w:tc>
        <w:tc>
          <w:tcPr>
            <w:tcW w:w="2695" w:type="dxa"/>
            <w:noWrap/>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等于</w:t>
            </w:r>
            <w:r>
              <w:rPr>
                <w:rFonts w:hint="eastAsia" w:ascii="仿宋_GB2312" w:eastAsia="仿宋_GB2312"/>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80" w:type="dxa"/>
            <w:vMerge w:val="continue"/>
            <w:noWrap/>
            <w:vAlign w:val="center"/>
          </w:tcPr>
          <w:p>
            <w:pPr>
              <w:widowControl/>
              <w:jc w:val="left"/>
              <w:rPr>
                <w:rFonts w:ascii="仿宋_GB2312" w:eastAsia="仿宋_GB2312"/>
                <w:kern w:val="0"/>
                <w:szCs w:val="21"/>
              </w:rPr>
            </w:pPr>
          </w:p>
        </w:tc>
        <w:tc>
          <w:tcPr>
            <w:tcW w:w="1171" w:type="dxa"/>
            <w:vMerge w:val="continue"/>
            <w:noWrap/>
            <w:vAlign w:val="center"/>
          </w:tcPr>
          <w:p>
            <w:pPr>
              <w:widowControl/>
              <w:jc w:val="center"/>
              <w:rPr>
                <w:rFonts w:ascii="仿宋_GB2312" w:eastAsia="仿宋_GB2312"/>
                <w:kern w:val="0"/>
                <w:szCs w:val="21"/>
              </w:rPr>
            </w:pPr>
          </w:p>
        </w:tc>
        <w:tc>
          <w:tcPr>
            <w:tcW w:w="1885" w:type="dxa"/>
            <w:vMerge w:val="restart"/>
            <w:noWrap/>
            <w:vAlign w:val="center"/>
          </w:tcPr>
          <w:p>
            <w:pPr>
              <w:jc w:val="center"/>
              <w:rPr>
                <w:rFonts w:ascii="仿宋_GB2312" w:eastAsia="仿宋_GB2312"/>
                <w:kern w:val="0"/>
                <w:szCs w:val="21"/>
              </w:rPr>
            </w:pPr>
            <w:r>
              <w:rPr>
                <w:rFonts w:hint="eastAsia" w:ascii="仿宋_GB2312" w:eastAsia="仿宋_GB2312"/>
                <w:kern w:val="0"/>
                <w:szCs w:val="21"/>
              </w:rPr>
              <w:t>社会效益指标</w:t>
            </w:r>
          </w:p>
        </w:tc>
        <w:tc>
          <w:tcPr>
            <w:tcW w:w="2108" w:type="dxa"/>
            <w:gridSpan w:val="3"/>
            <w:noWrap/>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获得年度先进单位</w:t>
            </w:r>
          </w:p>
        </w:tc>
        <w:tc>
          <w:tcPr>
            <w:tcW w:w="2695" w:type="dxa"/>
            <w:noWrap/>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不低于</w:t>
            </w:r>
            <w:r>
              <w:rPr>
                <w:rFonts w:hint="eastAsia" w:ascii="仿宋_GB2312" w:eastAsia="仿宋_GB2312"/>
                <w:kern w:val="0"/>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80" w:type="dxa"/>
            <w:vMerge w:val="continue"/>
            <w:noWrap/>
            <w:vAlign w:val="center"/>
          </w:tcPr>
          <w:p>
            <w:pPr>
              <w:widowControl/>
              <w:jc w:val="left"/>
              <w:rPr>
                <w:rFonts w:ascii="仿宋_GB2312" w:eastAsia="仿宋_GB2312"/>
                <w:kern w:val="0"/>
                <w:szCs w:val="21"/>
              </w:rPr>
            </w:pPr>
          </w:p>
        </w:tc>
        <w:tc>
          <w:tcPr>
            <w:tcW w:w="1171" w:type="dxa"/>
            <w:vMerge w:val="continue"/>
            <w:noWrap/>
            <w:vAlign w:val="center"/>
          </w:tcPr>
          <w:p>
            <w:pPr>
              <w:widowControl/>
              <w:jc w:val="center"/>
              <w:rPr>
                <w:rFonts w:ascii="仿宋_GB2312" w:eastAsia="仿宋_GB2312"/>
                <w:kern w:val="0"/>
                <w:szCs w:val="21"/>
              </w:rPr>
            </w:pPr>
          </w:p>
        </w:tc>
        <w:tc>
          <w:tcPr>
            <w:tcW w:w="1885" w:type="dxa"/>
            <w:vMerge w:val="restart"/>
            <w:noWrap/>
            <w:vAlign w:val="center"/>
          </w:tcPr>
          <w:p>
            <w:pPr>
              <w:jc w:val="center"/>
              <w:rPr>
                <w:rFonts w:ascii="仿宋_GB2312" w:eastAsia="仿宋_GB2312"/>
                <w:kern w:val="0"/>
                <w:szCs w:val="21"/>
              </w:rPr>
            </w:pPr>
            <w:r>
              <w:rPr>
                <w:rFonts w:hint="eastAsia" w:ascii="仿宋_GB2312" w:eastAsia="仿宋_GB2312"/>
                <w:kern w:val="0"/>
                <w:szCs w:val="21"/>
              </w:rPr>
              <w:t>生态效益指标</w:t>
            </w:r>
          </w:p>
        </w:tc>
        <w:tc>
          <w:tcPr>
            <w:tcW w:w="2108" w:type="dxa"/>
            <w:gridSpan w:val="3"/>
            <w:noWrap/>
            <w:vAlign w:val="center"/>
          </w:tcPr>
          <w:p>
            <w:pPr>
              <w:jc w:val="both"/>
              <w:rPr>
                <w:rFonts w:hint="eastAsia" w:ascii="仿宋_GB2312" w:eastAsia="仿宋_GB2312"/>
                <w:kern w:val="0"/>
                <w:szCs w:val="21"/>
                <w:lang w:eastAsia="zh-CN"/>
              </w:rPr>
            </w:pPr>
            <w:r>
              <w:rPr>
                <w:rFonts w:hint="eastAsia" w:ascii="仿宋_GB2312" w:eastAsia="仿宋_GB2312"/>
                <w:kern w:val="0"/>
                <w:szCs w:val="21"/>
                <w:lang w:eastAsia="zh-CN"/>
              </w:rPr>
              <w:t>有利于生态环境保护</w:t>
            </w:r>
          </w:p>
        </w:tc>
        <w:tc>
          <w:tcPr>
            <w:tcW w:w="2695" w:type="dxa"/>
            <w:noWrap/>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大于</w:t>
            </w:r>
            <w:r>
              <w:rPr>
                <w:rFonts w:hint="eastAsia" w:ascii="仿宋_GB2312" w:eastAsia="仿宋_GB2312"/>
                <w:kern w:val="0"/>
                <w:szCs w:val="21"/>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80" w:type="dxa"/>
            <w:vMerge w:val="continue"/>
            <w:noWrap/>
            <w:vAlign w:val="center"/>
          </w:tcPr>
          <w:p>
            <w:pPr>
              <w:widowControl/>
              <w:jc w:val="left"/>
              <w:rPr>
                <w:rFonts w:ascii="仿宋_GB2312" w:eastAsia="仿宋_GB2312"/>
                <w:kern w:val="0"/>
                <w:szCs w:val="21"/>
              </w:rPr>
            </w:pPr>
          </w:p>
        </w:tc>
        <w:tc>
          <w:tcPr>
            <w:tcW w:w="1171" w:type="dxa"/>
            <w:vMerge w:val="continue"/>
            <w:noWrap/>
            <w:vAlign w:val="center"/>
          </w:tcPr>
          <w:p>
            <w:pPr>
              <w:widowControl/>
              <w:jc w:val="center"/>
              <w:rPr>
                <w:rFonts w:ascii="仿宋_GB2312" w:eastAsia="仿宋_GB2312"/>
                <w:kern w:val="0"/>
                <w:szCs w:val="21"/>
              </w:rPr>
            </w:pPr>
          </w:p>
        </w:tc>
        <w:tc>
          <w:tcPr>
            <w:tcW w:w="1885" w:type="dxa"/>
            <w:vMerge w:val="restart"/>
            <w:noWrap/>
            <w:vAlign w:val="center"/>
          </w:tcPr>
          <w:p>
            <w:pPr>
              <w:jc w:val="center"/>
              <w:rPr>
                <w:rFonts w:ascii="仿宋_GB2312" w:eastAsia="仿宋_GB2312"/>
                <w:kern w:val="0"/>
                <w:szCs w:val="21"/>
              </w:rPr>
            </w:pPr>
            <w:r>
              <w:rPr>
                <w:rFonts w:hint="eastAsia" w:ascii="仿宋_GB2312" w:eastAsia="仿宋_GB2312"/>
                <w:kern w:val="0"/>
                <w:szCs w:val="21"/>
              </w:rPr>
              <w:t>可持续影响指标</w:t>
            </w:r>
          </w:p>
        </w:tc>
        <w:tc>
          <w:tcPr>
            <w:tcW w:w="2108" w:type="dxa"/>
            <w:gridSpan w:val="3"/>
            <w:noWrap/>
            <w:vAlign w:val="center"/>
          </w:tcPr>
          <w:p>
            <w:pPr>
              <w:jc w:val="center"/>
              <w:rPr>
                <w:rFonts w:hint="eastAsia" w:ascii="仿宋_GB2312" w:eastAsia="仿宋_GB2312"/>
                <w:kern w:val="0"/>
                <w:szCs w:val="21"/>
                <w:lang w:eastAsia="zh-CN"/>
              </w:rPr>
            </w:pPr>
            <w:r>
              <w:rPr>
                <w:rFonts w:hint="eastAsia" w:ascii="仿宋_GB2312" w:eastAsia="仿宋_GB2312"/>
                <w:kern w:val="0"/>
                <w:szCs w:val="21"/>
                <w:lang w:eastAsia="zh-CN"/>
              </w:rPr>
              <w:t>经济社会协调发展</w:t>
            </w:r>
          </w:p>
        </w:tc>
        <w:tc>
          <w:tcPr>
            <w:tcW w:w="2695" w:type="dxa"/>
            <w:noWrap/>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大于</w:t>
            </w:r>
            <w:r>
              <w:rPr>
                <w:rFonts w:hint="eastAsia" w:ascii="仿宋_GB2312" w:eastAsia="仿宋_GB2312"/>
                <w:kern w:val="0"/>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80" w:type="dxa"/>
            <w:vMerge w:val="continue"/>
            <w:noWrap/>
            <w:vAlign w:val="center"/>
          </w:tcPr>
          <w:p>
            <w:pPr>
              <w:widowControl/>
              <w:jc w:val="left"/>
              <w:rPr>
                <w:rFonts w:ascii="仿宋_GB2312" w:eastAsia="仿宋_GB2312"/>
                <w:kern w:val="0"/>
                <w:szCs w:val="21"/>
              </w:rPr>
            </w:pPr>
          </w:p>
        </w:tc>
        <w:tc>
          <w:tcPr>
            <w:tcW w:w="1171" w:type="dxa"/>
            <w:vMerge w:val="continue"/>
            <w:noWrap/>
            <w:vAlign w:val="center"/>
          </w:tcPr>
          <w:p>
            <w:pPr>
              <w:widowControl/>
              <w:jc w:val="center"/>
              <w:rPr>
                <w:rFonts w:ascii="仿宋_GB2312" w:eastAsia="仿宋_GB2312"/>
                <w:kern w:val="0"/>
                <w:szCs w:val="21"/>
              </w:rPr>
            </w:pPr>
          </w:p>
        </w:tc>
        <w:tc>
          <w:tcPr>
            <w:tcW w:w="1885" w:type="dxa"/>
            <w:noWrap/>
            <w:vAlign w:val="center"/>
          </w:tcPr>
          <w:p>
            <w:pPr>
              <w:jc w:val="center"/>
              <w:rPr>
                <w:rFonts w:ascii="仿宋_GB2312" w:eastAsia="仿宋_GB2312"/>
                <w:kern w:val="0"/>
                <w:szCs w:val="21"/>
              </w:rPr>
            </w:pPr>
            <w:r>
              <w:rPr>
                <w:rFonts w:hint="eastAsia" w:ascii="仿宋_GB2312" w:eastAsia="仿宋_GB2312"/>
                <w:kern w:val="0"/>
                <w:szCs w:val="21"/>
              </w:rPr>
              <w:t>社会公众或服务对象满意度</w:t>
            </w:r>
          </w:p>
        </w:tc>
        <w:tc>
          <w:tcPr>
            <w:tcW w:w="2108" w:type="dxa"/>
            <w:gridSpan w:val="3"/>
            <w:noWrap/>
            <w:vAlign w:val="center"/>
          </w:tcPr>
          <w:p>
            <w:pPr>
              <w:jc w:val="both"/>
              <w:rPr>
                <w:rFonts w:hint="eastAsia" w:ascii="仿宋_GB2312" w:eastAsia="仿宋_GB2312"/>
                <w:kern w:val="0"/>
                <w:szCs w:val="21"/>
                <w:lang w:eastAsia="zh-CN"/>
              </w:rPr>
            </w:pPr>
            <w:r>
              <w:rPr>
                <w:rFonts w:hint="eastAsia" w:ascii="仿宋_GB2312" w:eastAsia="仿宋_GB2312"/>
                <w:kern w:val="0"/>
                <w:szCs w:val="21"/>
                <w:lang w:eastAsia="zh-CN"/>
              </w:rPr>
              <w:t>相关的群众满意度</w:t>
            </w:r>
          </w:p>
        </w:tc>
        <w:tc>
          <w:tcPr>
            <w:tcW w:w="2695" w:type="dxa"/>
            <w:noWrap/>
            <w:vAlign w:val="center"/>
          </w:tcPr>
          <w:p>
            <w:pPr>
              <w:jc w:val="center"/>
              <w:rPr>
                <w:rFonts w:hint="default" w:ascii="仿宋_GB2312" w:eastAsia="仿宋_GB2312"/>
                <w:kern w:val="0"/>
                <w:szCs w:val="21"/>
                <w:lang w:val="en-US" w:eastAsia="zh-CN"/>
              </w:rPr>
            </w:pPr>
            <w:r>
              <w:rPr>
                <w:rFonts w:hint="eastAsia" w:ascii="仿宋_GB2312" w:eastAsia="仿宋_GB2312"/>
                <w:kern w:val="0"/>
                <w:szCs w:val="21"/>
                <w:lang w:eastAsia="zh-CN"/>
              </w:rPr>
              <w:t>不低于</w:t>
            </w:r>
            <w:r>
              <w:rPr>
                <w:rFonts w:hint="eastAsia" w:ascii="仿宋_GB2312" w:eastAsia="仿宋_GB2312"/>
                <w:kern w:val="0"/>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102" w:type="dxa"/>
            <w:gridSpan w:val="4"/>
            <w:tcBorders>
              <w:top w:val="nil"/>
            </w:tcBorders>
          </w:tcPr>
          <w:p>
            <w:pPr>
              <w:widowControl/>
              <w:tabs>
                <w:tab w:val="left" w:pos="1333"/>
                <w:tab w:val="left" w:pos="3793"/>
                <w:tab w:val="left" w:pos="5853"/>
              </w:tabs>
              <w:jc w:val="left"/>
              <w:rPr>
                <w:rFonts w:ascii="仿宋_GB2312" w:eastAsia="仿宋_GB2312"/>
                <w:kern w:val="0"/>
                <w:szCs w:val="21"/>
              </w:rPr>
            </w:pPr>
            <w:r>
              <w:rPr>
                <w:rFonts w:hint="eastAsia" w:ascii="仿宋_GB2312" w:eastAsia="仿宋_GB2312"/>
                <w:kern w:val="0"/>
                <w:szCs w:val="21"/>
              </w:rPr>
              <w:t>财政局业务股室意见：</w:t>
            </w:r>
          </w:p>
          <w:p>
            <w:pPr>
              <w:pStyle w:val="2"/>
              <w:ind w:firstLine="640"/>
            </w:pPr>
          </w:p>
          <w:p>
            <w:pPr>
              <w:pStyle w:val="2"/>
              <w:ind w:firstLine="640"/>
            </w:pPr>
          </w:p>
          <w:p>
            <w:pPr>
              <w:pStyle w:val="2"/>
              <w:ind w:firstLine="1785" w:firstLineChars="850"/>
              <w:rPr>
                <w:rFonts w:ascii="仿宋_GB2312" w:eastAsia="仿宋_GB2312"/>
                <w:kern w:val="0"/>
                <w:szCs w:val="21"/>
              </w:rPr>
            </w:pPr>
            <w:r>
              <w:rPr>
                <w:rFonts w:hint="eastAsia"/>
                <w:sz w:val="21"/>
                <w:szCs w:val="21"/>
              </w:rPr>
              <w:t>年   月   日</w:t>
            </w:r>
          </w:p>
        </w:tc>
        <w:tc>
          <w:tcPr>
            <w:tcW w:w="4437" w:type="dxa"/>
            <w:gridSpan w:val="3"/>
            <w:tcBorders>
              <w:top w:val="nil"/>
            </w:tcBorders>
          </w:tcPr>
          <w:p>
            <w:pPr>
              <w:widowControl/>
              <w:tabs>
                <w:tab w:val="left" w:pos="1333"/>
                <w:tab w:val="left" w:pos="3793"/>
                <w:tab w:val="left" w:pos="5853"/>
              </w:tabs>
              <w:jc w:val="left"/>
              <w:rPr>
                <w:rFonts w:ascii="仿宋_GB2312" w:eastAsia="仿宋_GB2312"/>
                <w:kern w:val="0"/>
                <w:szCs w:val="21"/>
              </w:rPr>
            </w:pPr>
            <w:r>
              <w:rPr>
                <w:rFonts w:hint="eastAsia" w:ascii="仿宋_GB2312" w:eastAsia="仿宋_GB2312"/>
                <w:kern w:val="0"/>
                <w:szCs w:val="21"/>
              </w:rPr>
              <w:t>财政局绩效管理股意见：</w:t>
            </w:r>
          </w:p>
          <w:p>
            <w:pPr>
              <w:pStyle w:val="2"/>
              <w:ind w:firstLine="640"/>
            </w:pPr>
          </w:p>
          <w:p>
            <w:pPr>
              <w:pStyle w:val="2"/>
              <w:ind w:firstLine="640"/>
            </w:pPr>
          </w:p>
          <w:p>
            <w:pPr>
              <w:pStyle w:val="2"/>
              <w:ind w:firstLine="1995" w:firstLineChars="950"/>
              <w:rPr>
                <w:rFonts w:ascii="仿宋_GB2312" w:eastAsia="仿宋_GB2312"/>
                <w:kern w:val="0"/>
                <w:szCs w:val="21"/>
              </w:rPr>
            </w:pPr>
            <w:r>
              <w:rPr>
                <w:rFonts w:hint="eastAsia"/>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4102" w:type="dxa"/>
            <w:gridSpan w:val="4"/>
            <w:tcBorders>
              <w:top w:val="nil"/>
            </w:tcBorders>
          </w:tcPr>
          <w:p>
            <w:pPr>
              <w:pStyle w:val="2"/>
              <w:ind w:firstLine="1785" w:firstLineChars="850"/>
              <w:rPr>
                <w:sz w:val="21"/>
                <w:szCs w:val="21"/>
              </w:rPr>
            </w:pPr>
          </w:p>
        </w:tc>
        <w:tc>
          <w:tcPr>
            <w:tcW w:w="4437" w:type="dxa"/>
            <w:gridSpan w:val="3"/>
            <w:tcBorders>
              <w:top w:val="nil"/>
            </w:tcBorders>
          </w:tcPr>
          <w:p>
            <w:pPr>
              <w:pStyle w:val="2"/>
              <w:ind w:firstLine="3040" w:firstLineChars="950"/>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5ZDI5ZGZhMGE5Nzk4MThhZWI1NDQzYmFlN2UwMjIifQ=="/>
  </w:docVars>
  <w:rsids>
    <w:rsidRoot w:val="00BF0315"/>
    <w:rsid w:val="00BF0315"/>
    <w:rsid w:val="00F06825"/>
    <w:rsid w:val="15C01C4F"/>
    <w:rsid w:val="2A0758CC"/>
    <w:rsid w:val="4B296B88"/>
    <w:rsid w:val="54901A26"/>
    <w:rsid w:val="5B3A2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7"/>
    <w:qFormat/>
    <w:uiPriority w:val="99"/>
    <w:pPr>
      <w:spacing w:after="0"/>
      <w:ind w:left="0" w:leftChars="0" w:firstLine="420" w:firstLineChars="200"/>
    </w:pPr>
    <w:rPr>
      <w:sz w:val="32"/>
    </w:rPr>
  </w:style>
  <w:style w:type="paragraph" w:styleId="3">
    <w:name w:val="Body Text Indent"/>
    <w:basedOn w:val="1"/>
    <w:link w:val="6"/>
    <w:semiHidden/>
    <w:unhideWhenUsed/>
    <w:qFormat/>
    <w:uiPriority w:val="99"/>
    <w:pPr>
      <w:spacing w:after="120"/>
      <w:ind w:left="420" w:leftChars="200"/>
    </w:pPr>
  </w:style>
  <w:style w:type="character" w:customStyle="1" w:styleId="6">
    <w:name w:val="正文文本缩进 Char"/>
    <w:basedOn w:val="5"/>
    <w:link w:val="3"/>
    <w:semiHidden/>
    <w:uiPriority w:val="99"/>
    <w:rPr>
      <w:rFonts w:ascii="Times New Roman" w:hAnsi="Times New Roman" w:eastAsia="宋体" w:cs="Times New Roman"/>
      <w:szCs w:val="24"/>
    </w:rPr>
  </w:style>
  <w:style w:type="character" w:customStyle="1" w:styleId="7">
    <w:name w:val="正文首行缩进 2 Char"/>
    <w:basedOn w:val="6"/>
    <w:link w:val="2"/>
    <w:qFormat/>
    <w:uiPriority w:val="99"/>
    <w:rPr>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Win7_64</Company>
  <Pages>3</Pages>
  <Words>3254</Words>
  <Characters>3391</Characters>
  <Lines>22</Lines>
  <Paragraphs>6</Paragraphs>
  <TotalTime>2</TotalTime>
  <ScaleCrop>false</ScaleCrop>
  <LinksUpToDate>false</LinksUpToDate>
  <CharactersWithSpaces>3584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2023-03-17T06:43:00Z</dcterms:created>
  <dc:creator>Win7_64</dc:creator>
  <cp:lastModifiedBy>马昌永</cp:lastModifiedBy>
  <dcterms:modified xsi:type="dcterms:W3CDTF">2024-09-03T02:54:59Z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1CD4B52236D8422DAE799678A3D74237</vt:lpwstr>
  </property>
</Properties>
</file>