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025"/>
        <w:gridCol w:w="952"/>
        <w:gridCol w:w="298"/>
        <w:gridCol w:w="1261"/>
        <w:gridCol w:w="89"/>
        <w:gridCol w:w="870"/>
        <w:gridCol w:w="620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3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隆回县滩头镇中心学校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6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405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399人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355" w:type="dxa"/>
            <w:gridSpan w:val="8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7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7096.24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801.68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240" w:type="dxa"/>
            <w:vMerge w:val="restart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7897.92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5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4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7469.36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428.56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7897.92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08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50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1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有□无□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14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应采购金额0万元，实际采购金额0万元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追加金额万元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结余金额0万元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年1月25日</w:t>
            </w:r>
          </w:p>
          <w:p>
            <w:pPr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单位内部□其它□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35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33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leftChars="0" w:hanging="3885" w:hangingChars="1850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61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79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355" w:type="dxa"/>
            <w:gridSpan w:val="8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41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523" w:type="dxa"/>
            <w:gridSpan w:val="9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在各级部门领导下，承担中小学教育、学前教育教学工作及教育行政管理事务,为中小学、幼儿园提供教育管理保障；2、按时完成教育教学任务；3、义务教育稳步、健康运行；4、学校办学条件逐步改善，办学行为逐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697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523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34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523" w:type="dxa"/>
            <w:gridSpan w:val="9"/>
            <w:vAlign w:val="center"/>
          </w:tcPr>
          <w:p>
            <w:pPr>
              <w:spacing w:line="600" w:lineRule="exact"/>
              <w:ind w:firstLine="420" w:firstLineChars="2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工会经费预算严重不足；残疾人就业保障金财政年初未预算，均为学校公用经费承担，代课教师、安保人员等临聘人员工资经费财政只部分预算，学校承担比例过高。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974" w:hRule="atLeast"/>
          <w:jc w:val="center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523" w:type="dxa"/>
            <w:gridSpan w:val="9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孙xxx洁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 xml:space="preserve">158xxxx7176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4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27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val="en-US" w:eastAsia="zh-CN"/>
        </w:rPr>
        <w:t>滩头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镇中心学校</w:t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20</w:t>
      </w:r>
      <w:r>
        <w:rPr>
          <w:rFonts w:ascii="仿宋_GB2312" w:hAnsi="宋体" w:eastAsia="仿宋_GB2312" w:cs="仿宋_GB2312"/>
          <w:b/>
          <w:bCs/>
          <w:sz w:val="44"/>
          <w:szCs w:val="44"/>
        </w:rPr>
        <w:t>2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年度部门整体绩效自评报告</w:t>
      </w:r>
    </w:p>
    <w:p>
      <w:pPr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根</w:t>
      </w:r>
      <w:r>
        <w:rPr>
          <w:rFonts w:hint="eastAsia" w:ascii="楷体_GB2312" w:hAnsi="仿宋_GB2312" w:eastAsia="楷体_GB2312" w:cs="仿宋_GB2312"/>
          <w:sz w:val="30"/>
          <w:szCs w:val="30"/>
        </w:rPr>
        <w:t>据县财政局《关于开展202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年部门整体支出和县级财政资金支出绩效评价工作的通知》（隆财绩〔202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〕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号）文件精神。结合中心学校实际，通过认真总结和反思，现将我单位的整体绩效自评阐述好下：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 xml:space="preserve">一、部门概况 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滩头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镇中心学校单位编制人数为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405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399</w:t>
      </w:r>
      <w:r>
        <w:rPr>
          <w:rFonts w:hint="eastAsia" w:ascii="楷体_GB2312" w:hAnsi="仿宋_GB2312" w:eastAsia="楷体_GB2312" w:cs="仿宋_GB2312"/>
          <w:sz w:val="30"/>
          <w:szCs w:val="30"/>
        </w:rPr>
        <w:t>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（其中在编教师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381人，特岗教师18人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），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年末中小学学生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总人数为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6631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小学生人数为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4194人，中学生人数为2437人，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年末实有遗属补助人数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70</w:t>
      </w:r>
      <w:r>
        <w:rPr>
          <w:rFonts w:hint="eastAsia" w:ascii="楷体_GB2312" w:hAnsi="仿宋_GB2312" w:eastAsia="楷体_GB2312" w:cs="仿宋_GB2312"/>
          <w:sz w:val="30"/>
          <w:szCs w:val="30"/>
        </w:rPr>
        <w:t>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做好疫情防控、防溺水安全、交通安全、食品安全等综治安全工作；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4.义务教育均衡发展，教师稳定，质量提高。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（三）部门整体支出情况</w:t>
      </w:r>
    </w:p>
    <w:p>
      <w:pPr>
        <w:spacing w:line="600" w:lineRule="atLeas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2022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</w:t>
      </w:r>
      <w:r>
        <w:rPr>
          <w:rFonts w:hint="eastAsia" w:ascii="楷体_GB2312" w:hAnsi="仿宋_GB2312" w:eastAsia="楷体_GB2312" w:cs="仿宋_GB2312"/>
          <w:sz w:val="30"/>
          <w:szCs w:val="30"/>
        </w:rPr>
        <w:t>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7897.92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>二、部门整体支出管理及使用情况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（一）基本支出情况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7469.36万</w:t>
      </w:r>
      <w:r>
        <w:rPr>
          <w:rFonts w:hint="eastAsia" w:ascii="楷体_GB2312" w:hAnsi="仿宋_GB2312" w:eastAsia="楷体_GB2312" w:cs="仿宋_GB2312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（二）项目支出情况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我单位在20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年度项目支出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为428.56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,</w:t>
      </w:r>
      <w:r>
        <w:rPr>
          <w:rFonts w:hint="eastAsia" w:ascii="楷体_GB2312" w:hAnsi="仿宋_GB2312" w:eastAsia="楷体_GB2312" w:cs="仿宋_GB2312"/>
          <w:sz w:val="30"/>
          <w:szCs w:val="30"/>
        </w:rPr>
        <w:t>这是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单位为完成选定行政工作或事业发展目标而发生的支出，包括有关事业发展专项、专项业务费、基本建设支出等。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（三）“三公经费情况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因公出国（境）费用：2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年度本单位无因公出国（境）费用；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ascii="楷体_GB2312" w:hAnsi="仿宋_GB2312" w:eastAsia="楷体_GB2312" w:cs="仿宋_GB2312"/>
          <w:sz w:val="30"/>
          <w:szCs w:val="30"/>
        </w:rPr>
        <w:t>2.</w:t>
      </w:r>
      <w:r>
        <w:rPr>
          <w:rFonts w:hint="eastAsia" w:ascii="楷体_GB2312" w:hAnsi="仿宋_GB2312" w:eastAsia="楷体_GB2312" w:cs="仿宋_GB2312"/>
          <w:sz w:val="30"/>
          <w:szCs w:val="30"/>
        </w:rPr>
        <w:t>公务接待费： 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公务用车购置及运行费：20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>三、部门整体支出绩效情况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>四、存在的问题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>五、改进措施和有关建议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</w:p>
    <w:p>
      <w:pPr>
        <w:spacing w:line="600" w:lineRule="exact"/>
        <w:ind w:firstLine="600" w:firstLineChars="200"/>
        <w:jc w:val="right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隆回县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滩头</w:t>
      </w:r>
      <w:r>
        <w:rPr>
          <w:rFonts w:hint="eastAsia" w:ascii="楷体_GB2312" w:hAnsi="仿宋_GB2312" w:eastAsia="楷体_GB2312" w:cs="仿宋_GB2312"/>
          <w:sz w:val="30"/>
          <w:szCs w:val="30"/>
        </w:rPr>
        <w:t>镇中心学校</w:t>
      </w:r>
    </w:p>
    <w:p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年4月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27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MGM5NGZjOGYwYWE3ZDVmMGRhYWM2ZDg5YWYyMjAifQ=="/>
  </w:docVars>
  <w:rsids>
    <w:rsidRoot w:val="18D538B0"/>
    <w:rsid w:val="000E1DFA"/>
    <w:rsid w:val="000F4366"/>
    <w:rsid w:val="00104ACD"/>
    <w:rsid w:val="001B1976"/>
    <w:rsid w:val="00294959"/>
    <w:rsid w:val="00325E73"/>
    <w:rsid w:val="00422189"/>
    <w:rsid w:val="005A7518"/>
    <w:rsid w:val="005C519D"/>
    <w:rsid w:val="006E4A2B"/>
    <w:rsid w:val="007232DE"/>
    <w:rsid w:val="007B02C9"/>
    <w:rsid w:val="007B7C81"/>
    <w:rsid w:val="007E5546"/>
    <w:rsid w:val="007F0244"/>
    <w:rsid w:val="007F6B78"/>
    <w:rsid w:val="00850EA9"/>
    <w:rsid w:val="008623F1"/>
    <w:rsid w:val="00875C52"/>
    <w:rsid w:val="008A77C2"/>
    <w:rsid w:val="008D241D"/>
    <w:rsid w:val="00AC34BB"/>
    <w:rsid w:val="00AD0936"/>
    <w:rsid w:val="00B17FE5"/>
    <w:rsid w:val="00B34A70"/>
    <w:rsid w:val="00BB1B00"/>
    <w:rsid w:val="00C1132A"/>
    <w:rsid w:val="00C27D35"/>
    <w:rsid w:val="00D86CD4"/>
    <w:rsid w:val="00DA7609"/>
    <w:rsid w:val="00DC72B4"/>
    <w:rsid w:val="00E547E3"/>
    <w:rsid w:val="00F244CD"/>
    <w:rsid w:val="00F46CF6"/>
    <w:rsid w:val="00F70B04"/>
    <w:rsid w:val="00FB3945"/>
    <w:rsid w:val="012B1C39"/>
    <w:rsid w:val="014C4DA3"/>
    <w:rsid w:val="01867C43"/>
    <w:rsid w:val="02F257CC"/>
    <w:rsid w:val="03BE7AAE"/>
    <w:rsid w:val="03CB1CCE"/>
    <w:rsid w:val="040354C1"/>
    <w:rsid w:val="066E57BB"/>
    <w:rsid w:val="0A6E5D8A"/>
    <w:rsid w:val="0C450D6C"/>
    <w:rsid w:val="0DC37F9E"/>
    <w:rsid w:val="0ED75720"/>
    <w:rsid w:val="0EF8459B"/>
    <w:rsid w:val="10755180"/>
    <w:rsid w:val="11FF376C"/>
    <w:rsid w:val="13113C31"/>
    <w:rsid w:val="134C7BD2"/>
    <w:rsid w:val="13737F6D"/>
    <w:rsid w:val="13EC7D20"/>
    <w:rsid w:val="14412BB5"/>
    <w:rsid w:val="16002E0D"/>
    <w:rsid w:val="189862DC"/>
    <w:rsid w:val="18D538B0"/>
    <w:rsid w:val="18FA4C8D"/>
    <w:rsid w:val="194A1770"/>
    <w:rsid w:val="198B3BEE"/>
    <w:rsid w:val="19CF6119"/>
    <w:rsid w:val="1D983E36"/>
    <w:rsid w:val="1E195BB5"/>
    <w:rsid w:val="1E3D18A3"/>
    <w:rsid w:val="1E744EB7"/>
    <w:rsid w:val="1E845724"/>
    <w:rsid w:val="1F7F413E"/>
    <w:rsid w:val="20000DDB"/>
    <w:rsid w:val="21C30312"/>
    <w:rsid w:val="231A0405"/>
    <w:rsid w:val="23EE53EE"/>
    <w:rsid w:val="24044C11"/>
    <w:rsid w:val="24721200"/>
    <w:rsid w:val="2483632E"/>
    <w:rsid w:val="2503311B"/>
    <w:rsid w:val="263404D9"/>
    <w:rsid w:val="263C0693"/>
    <w:rsid w:val="26C07516"/>
    <w:rsid w:val="27CB214E"/>
    <w:rsid w:val="281A6F38"/>
    <w:rsid w:val="2849353E"/>
    <w:rsid w:val="29090ABA"/>
    <w:rsid w:val="298567F4"/>
    <w:rsid w:val="2D2C6AFB"/>
    <w:rsid w:val="2DF16072"/>
    <w:rsid w:val="2E3A060C"/>
    <w:rsid w:val="2E4226CC"/>
    <w:rsid w:val="2E8B21B7"/>
    <w:rsid w:val="30CB0F91"/>
    <w:rsid w:val="30F73B34"/>
    <w:rsid w:val="31527647"/>
    <w:rsid w:val="329830F5"/>
    <w:rsid w:val="3316226B"/>
    <w:rsid w:val="35973B37"/>
    <w:rsid w:val="35D22DC1"/>
    <w:rsid w:val="366D6646"/>
    <w:rsid w:val="36BB5604"/>
    <w:rsid w:val="36E56B24"/>
    <w:rsid w:val="36E76A51"/>
    <w:rsid w:val="39155D7D"/>
    <w:rsid w:val="3C2E08FC"/>
    <w:rsid w:val="3C6F136A"/>
    <w:rsid w:val="3CAC732B"/>
    <w:rsid w:val="3CD72A6B"/>
    <w:rsid w:val="3CDE3DFA"/>
    <w:rsid w:val="3DA52B6A"/>
    <w:rsid w:val="3DDD298A"/>
    <w:rsid w:val="406B009A"/>
    <w:rsid w:val="40D043A1"/>
    <w:rsid w:val="421D3616"/>
    <w:rsid w:val="42426BD9"/>
    <w:rsid w:val="44496B6B"/>
    <w:rsid w:val="445640A0"/>
    <w:rsid w:val="45A02594"/>
    <w:rsid w:val="480F1C53"/>
    <w:rsid w:val="48914416"/>
    <w:rsid w:val="48B545A9"/>
    <w:rsid w:val="48F13107"/>
    <w:rsid w:val="49201968"/>
    <w:rsid w:val="4AD57317"/>
    <w:rsid w:val="4D844549"/>
    <w:rsid w:val="4DB0533F"/>
    <w:rsid w:val="4DF711BF"/>
    <w:rsid w:val="4E1E499E"/>
    <w:rsid w:val="4FF82FCD"/>
    <w:rsid w:val="510E0CFA"/>
    <w:rsid w:val="51932FAD"/>
    <w:rsid w:val="52A631B4"/>
    <w:rsid w:val="53690469"/>
    <w:rsid w:val="554360F6"/>
    <w:rsid w:val="57DA71EA"/>
    <w:rsid w:val="5828309E"/>
    <w:rsid w:val="5838665C"/>
    <w:rsid w:val="58A74C37"/>
    <w:rsid w:val="58F76517"/>
    <w:rsid w:val="594A566F"/>
    <w:rsid w:val="5A461504"/>
    <w:rsid w:val="5BF44F90"/>
    <w:rsid w:val="5C1473E0"/>
    <w:rsid w:val="5CB94C30"/>
    <w:rsid w:val="5CFF599B"/>
    <w:rsid w:val="5D4D2BAA"/>
    <w:rsid w:val="5D8B36D2"/>
    <w:rsid w:val="5D92680F"/>
    <w:rsid w:val="5DBB5D65"/>
    <w:rsid w:val="5F2711D9"/>
    <w:rsid w:val="60630DAE"/>
    <w:rsid w:val="60F33A68"/>
    <w:rsid w:val="610C4B2A"/>
    <w:rsid w:val="62EA49F7"/>
    <w:rsid w:val="635B32B1"/>
    <w:rsid w:val="636E387A"/>
    <w:rsid w:val="63CD67F3"/>
    <w:rsid w:val="64BB2AEF"/>
    <w:rsid w:val="652E7FC9"/>
    <w:rsid w:val="6569254B"/>
    <w:rsid w:val="66C0619B"/>
    <w:rsid w:val="67627252"/>
    <w:rsid w:val="680D3662"/>
    <w:rsid w:val="68742FA6"/>
    <w:rsid w:val="68EB3277"/>
    <w:rsid w:val="6B2111D2"/>
    <w:rsid w:val="6B6537B4"/>
    <w:rsid w:val="6BCC3BD1"/>
    <w:rsid w:val="6BF62CB6"/>
    <w:rsid w:val="6C317BB9"/>
    <w:rsid w:val="6C515AE7"/>
    <w:rsid w:val="6C67530A"/>
    <w:rsid w:val="70BA3C5B"/>
    <w:rsid w:val="71EF2B66"/>
    <w:rsid w:val="72AA7CFF"/>
    <w:rsid w:val="74174922"/>
    <w:rsid w:val="75415BC8"/>
    <w:rsid w:val="75CA2B92"/>
    <w:rsid w:val="76C53359"/>
    <w:rsid w:val="78853E63"/>
    <w:rsid w:val="79D97847"/>
    <w:rsid w:val="7B5178B1"/>
    <w:rsid w:val="7B9658EF"/>
    <w:rsid w:val="7C8B2BCC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2069</Words>
  <Characters>2212</Characters>
  <Lines>22</Lines>
  <Paragraphs>6</Paragraphs>
  <TotalTime>28</TotalTime>
  <ScaleCrop>false</ScaleCrop>
  <LinksUpToDate>false</LinksUpToDate>
  <CharactersWithSpaces>2294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2022-04-20T00:12:00Z</dcterms:created>
  <dc:creator>彭礼孝</dc:creator>
  <cp:lastModifiedBy>冰冰洁 </cp:lastModifiedBy>
  <dcterms:modified xsi:type="dcterms:W3CDTF">2023-05-19T02:54:15Z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0411B5B0EACF46EBA2DA949FA0FB3D6E</vt:lpwstr>
  </property>
</Properties>
</file>