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隆回县司门前镇人民政府部门整体支出绩效自评报告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为切实做好</w:t>
      </w: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年部门整体支出绩效自评工作，强化单位绩效管理意识，提高财政资金使用效益。按照县财政局《关于开展</w:t>
      </w: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年部门整体支出和县级财政资金支出绩效评价工作的通知》（隆财绩【</w:t>
      </w:r>
      <w:r>
        <w:rPr>
          <w:rFonts w:ascii="仿宋_GB2312" w:eastAsia="仿宋_GB2312"/>
          <w:szCs w:val="32"/>
        </w:rPr>
        <w:t>2022</w:t>
      </w:r>
      <w:r>
        <w:rPr>
          <w:rFonts w:hint="eastAsia" w:ascii="仿宋_GB2312" w:eastAsia="仿宋_GB2312"/>
          <w:szCs w:val="32"/>
        </w:rPr>
        <w:t>】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号）的要求，现将我单位整体支出绩效报告如下：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（一）部门基本情况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司门前镇人民政府是基层国家行政机关，部门编制范围包括政府机关、财政所、综合执法大队、政务便民服务中心、社会事务综合服务中心、农业综合服务中心、退役军人服务中心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个部门直属单位。司门前镇人民政府编制人数为</w:t>
      </w:r>
      <w:r>
        <w:rPr>
          <w:rFonts w:ascii="仿宋_GB2312" w:eastAsia="仿宋_GB2312"/>
          <w:szCs w:val="32"/>
        </w:rPr>
        <w:t>124</w:t>
      </w:r>
      <w:r>
        <w:rPr>
          <w:rFonts w:hint="eastAsia" w:ascii="仿宋_GB2312" w:eastAsia="仿宋_GB2312"/>
          <w:szCs w:val="32"/>
        </w:rPr>
        <w:t>人，实际人数</w:t>
      </w:r>
      <w:r>
        <w:rPr>
          <w:rFonts w:ascii="仿宋_GB2312" w:eastAsia="仿宋_GB2312"/>
          <w:szCs w:val="32"/>
        </w:rPr>
        <w:t>158</w:t>
      </w:r>
      <w:r>
        <w:rPr>
          <w:rFonts w:hint="eastAsia" w:ascii="仿宋_GB2312" w:eastAsia="仿宋_GB2312"/>
          <w:szCs w:val="32"/>
        </w:rPr>
        <w:t>人（其中，在职</w:t>
      </w:r>
      <w:r>
        <w:rPr>
          <w:rFonts w:ascii="仿宋_GB2312" w:eastAsia="仿宋_GB2312"/>
          <w:szCs w:val="32"/>
        </w:rPr>
        <w:t>111</w:t>
      </w:r>
      <w:r>
        <w:rPr>
          <w:rFonts w:hint="eastAsia" w:ascii="仿宋_GB2312" w:eastAsia="仿宋_GB2312"/>
          <w:szCs w:val="32"/>
        </w:rPr>
        <w:t>人，经营性岗位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人，离退休</w:t>
      </w:r>
      <w:r>
        <w:rPr>
          <w:rFonts w:ascii="仿宋_GB2312" w:eastAsia="仿宋_GB2312"/>
          <w:szCs w:val="32"/>
        </w:rPr>
        <w:t>40</w:t>
      </w:r>
      <w:r>
        <w:rPr>
          <w:rFonts w:hint="eastAsia" w:ascii="仿宋_GB2312" w:eastAsia="仿宋_GB2312"/>
          <w:szCs w:val="32"/>
        </w:rPr>
        <w:t>人），遗属补助人数</w:t>
      </w:r>
      <w:r>
        <w:rPr>
          <w:rFonts w:ascii="仿宋_GB2312" w:eastAsia="仿宋_GB2312"/>
          <w:szCs w:val="32"/>
        </w:rPr>
        <w:t>33</w:t>
      </w:r>
      <w:r>
        <w:rPr>
          <w:rFonts w:hint="eastAsia" w:ascii="仿宋_GB2312" w:eastAsia="仿宋_GB2312"/>
          <w:szCs w:val="32"/>
        </w:rPr>
        <w:t>人，小车编制数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台，实际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台，房屋面积</w:t>
      </w:r>
      <w:r>
        <w:rPr>
          <w:rFonts w:ascii="仿宋_GB2312" w:eastAsia="仿宋_GB2312"/>
          <w:szCs w:val="32"/>
        </w:rPr>
        <w:t>5187.03</w:t>
      </w:r>
      <w:r>
        <w:rPr>
          <w:rFonts w:hint="eastAsia" w:ascii="仿宋_GB2312" w:eastAsia="仿宋_GB2312"/>
          <w:szCs w:val="32"/>
        </w:rPr>
        <w:t>平方米。因卫生工作需要有垃圾运输专用车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台，县配消防车</w:t>
      </w: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台，下辖村（居）委会</w:t>
      </w:r>
      <w:r>
        <w:rPr>
          <w:rFonts w:ascii="仿宋_GB2312" w:eastAsia="仿宋_GB2312"/>
          <w:szCs w:val="32"/>
        </w:rPr>
        <w:t>30</w:t>
      </w:r>
      <w:r>
        <w:rPr>
          <w:rFonts w:hint="eastAsia" w:ascii="仿宋_GB2312" w:eastAsia="仿宋_GB2312"/>
          <w:szCs w:val="32"/>
        </w:rPr>
        <w:t>个。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ascii="楷体_GB2312" w:eastAsia="楷体_GB2312"/>
          <w:b/>
          <w:sz w:val="32"/>
          <w:szCs w:val="32"/>
        </w:rPr>
        <w:t>2021</w:t>
      </w:r>
      <w:r>
        <w:rPr>
          <w:rFonts w:hint="eastAsia" w:ascii="楷体_GB2312" w:eastAsia="楷体_GB2312"/>
          <w:b/>
          <w:sz w:val="32"/>
          <w:szCs w:val="32"/>
        </w:rPr>
        <w:t>年的重点工作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1.</w:t>
      </w:r>
      <w:r>
        <w:rPr>
          <w:rFonts w:hint="eastAsia" w:ascii="仿宋_GB2312" w:eastAsia="仿宋_GB2312"/>
          <w:szCs w:val="32"/>
        </w:rPr>
        <w:t>贯彻执行党和国家的路线方针政策和上级政府决定决议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2.</w:t>
      </w:r>
      <w:r>
        <w:rPr>
          <w:rFonts w:hint="eastAsia" w:ascii="仿宋_GB2312" w:eastAsia="仿宋_GB2312"/>
          <w:szCs w:val="32"/>
        </w:rPr>
        <w:t>坚定不移从严治党，加强基层组织建设和制度建设，强化基层党建工作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3.</w:t>
      </w:r>
      <w:r>
        <w:rPr>
          <w:rFonts w:hint="eastAsia" w:ascii="仿宋_GB2312" w:eastAsia="仿宋_GB2312"/>
          <w:szCs w:val="32"/>
        </w:rPr>
        <w:t>压实巩固脱贫成果，高质量推动乡村振兴、建设新时代文明乡村工作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4.</w:t>
      </w:r>
      <w:r>
        <w:rPr>
          <w:rFonts w:hint="eastAsia" w:ascii="仿宋_GB2312" w:eastAsia="仿宋_GB2312"/>
          <w:szCs w:val="32"/>
        </w:rPr>
        <w:t>严格实行收支两条线管理，完成县下达资产管理任务，确保专款专用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5.</w:t>
      </w:r>
      <w:r>
        <w:rPr>
          <w:rFonts w:hint="eastAsia" w:ascii="仿宋_GB2312" w:eastAsia="仿宋_GB2312"/>
          <w:szCs w:val="32"/>
        </w:rPr>
        <w:t>强抓城乡人居环境建设，做好民生工作，完成耕地保有量和基本农田保护面积任务，打造清洁美丽乡村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6.</w:t>
      </w:r>
      <w:r>
        <w:rPr>
          <w:rFonts w:hint="eastAsia" w:ascii="仿宋_GB2312" w:eastAsia="仿宋_GB2312"/>
          <w:szCs w:val="32"/>
        </w:rPr>
        <w:t>抓实疫情防控常态化工作，抓好安全生产、社会综合治理工作，保障居民生活幸福底色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7.</w:t>
      </w:r>
      <w:r>
        <w:rPr>
          <w:rFonts w:hint="eastAsia" w:ascii="仿宋_GB2312" w:eastAsia="仿宋_GB2312"/>
          <w:szCs w:val="32"/>
        </w:rPr>
        <w:t>扫黑除恶常态化进行，做好新时期禁毒工作，推动平安建设有序开展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8.</w:t>
      </w:r>
      <w:r>
        <w:rPr>
          <w:rFonts w:hint="eastAsia" w:ascii="仿宋_GB2312" w:eastAsia="仿宋_GB2312"/>
          <w:szCs w:val="32"/>
        </w:rPr>
        <w:t>积极推广城乡养老保险及新农合工作，深化推进农村危房改造等惠民工程，健全民政保障体系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（三）部门整体支出情况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年财政拨款支出</w:t>
      </w:r>
      <w:r>
        <w:rPr>
          <w:rFonts w:ascii="仿宋_GB2312" w:eastAsia="仿宋_GB2312"/>
          <w:szCs w:val="32"/>
        </w:rPr>
        <w:t>3324.09</w:t>
      </w:r>
      <w:r>
        <w:rPr>
          <w:rFonts w:hint="eastAsia" w:ascii="仿宋_GB2312" w:eastAsia="仿宋_GB231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（一）基本支出情况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基本支出：</w:t>
      </w:r>
      <w:r>
        <w:rPr>
          <w:rFonts w:ascii="仿宋_GB2312" w:eastAsia="仿宋_GB2312"/>
          <w:szCs w:val="32"/>
        </w:rPr>
        <w:t>2885.35</w:t>
      </w:r>
      <w:r>
        <w:rPr>
          <w:rFonts w:hint="eastAsia" w:ascii="仿宋_GB2312" w:eastAsia="仿宋_GB231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（二）项目支出情况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项目支出：</w:t>
      </w:r>
      <w:r>
        <w:rPr>
          <w:rFonts w:ascii="仿宋_GB2312" w:eastAsia="仿宋_GB2312"/>
          <w:szCs w:val="32"/>
        </w:rPr>
        <w:t>438.75</w:t>
      </w:r>
      <w:r>
        <w:rPr>
          <w:rFonts w:hint="eastAsia" w:ascii="仿宋_GB2312" w:eastAsia="仿宋_GB231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spacing w:line="360" w:lineRule="auto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（三）“三公”经费情况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2021</w:t>
      </w:r>
      <w:r>
        <w:rPr>
          <w:rFonts w:hint="eastAsia" w:ascii="仿宋_GB2312" w:eastAsia="仿宋_GB2312"/>
          <w:szCs w:val="32"/>
        </w:rPr>
        <w:t>年“三公”经费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决算数为</w:t>
      </w:r>
      <w:r>
        <w:rPr>
          <w:rFonts w:ascii="仿宋_GB2312" w:eastAsia="仿宋_GB2312"/>
          <w:szCs w:val="32"/>
        </w:rPr>
        <w:t>20.31</w:t>
      </w:r>
      <w:r>
        <w:rPr>
          <w:rFonts w:hint="eastAsia" w:ascii="仿宋_GB2312" w:eastAsia="仿宋_GB2312"/>
          <w:szCs w:val="32"/>
        </w:rPr>
        <w:t>万元，其中：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eastAsia="仿宋_GB2312"/>
          <w:szCs w:val="32"/>
        </w:rPr>
        <w:t xml:space="preserve">    </w:t>
      </w:r>
      <w:r>
        <w:rPr>
          <w:rFonts w:ascii="仿宋_GB2312" w:eastAsia="仿宋_GB2312"/>
          <w:szCs w:val="32"/>
        </w:rPr>
        <w:t xml:space="preserve"> 1</w:t>
      </w:r>
      <w:r>
        <w:rPr>
          <w:rFonts w:hint="eastAsia" w:ascii="仿宋_GB2312" w:eastAsia="仿宋_GB2312"/>
          <w:szCs w:val="32"/>
        </w:rPr>
        <w:t>．因公出国（境）费用</w:t>
      </w:r>
      <w:r>
        <w:rPr>
          <w:rFonts w:ascii="仿宋_GB2312" w:eastAsia="仿宋_GB2312"/>
          <w:szCs w:val="32"/>
        </w:rPr>
        <w:t>0</w:t>
      </w:r>
      <w:r>
        <w:rPr>
          <w:rFonts w:hint="eastAsia" w:ascii="仿宋_GB2312" w:eastAsia="仿宋_GB2312"/>
          <w:szCs w:val="32"/>
        </w:rPr>
        <w:t>元；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2</w:t>
      </w:r>
      <w:r>
        <w:rPr>
          <w:rFonts w:hint="eastAsia" w:ascii="仿宋_GB2312" w:eastAsia="仿宋_GB2312"/>
          <w:szCs w:val="32"/>
        </w:rPr>
        <w:t>．公务接待费</w:t>
      </w:r>
      <w:r>
        <w:rPr>
          <w:rFonts w:ascii="仿宋_GB2312" w:eastAsia="仿宋_GB2312"/>
          <w:szCs w:val="32"/>
        </w:rPr>
        <w:t>15.42</w:t>
      </w:r>
      <w:r>
        <w:rPr>
          <w:rFonts w:hint="eastAsia" w:ascii="仿宋_GB2312" w:eastAsia="仿宋_GB2312"/>
          <w:szCs w:val="32"/>
        </w:rPr>
        <w:t>万元；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3</w:t>
      </w:r>
      <w:r>
        <w:rPr>
          <w:rFonts w:hint="eastAsia" w:ascii="仿宋_GB2312" w:eastAsia="仿宋_GB2312"/>
          <w:szCs w:val="32"/>
        </w:rPr>
        <w:t>．公务用车购置及运行费</w:t>
      </w:r>
      <w:r>
        <w:rPr>
          <w:rFonts w:ascii="仿宋_GB2312" w:eastAsia="仿宋_GB2312"/>
          <w:szCs w:val="32"/>
        </w:rPr>
        <w:t>4.89</w:t>
      </w:r>
      <w:r>
        <w:rPr>
          <w:rFonts w:hint="eastAsia" w:ascii="仿宋_GB2312" w:eastAsia="仿宋_GB231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财务管理制度建设情况：资金拨付严格按程序申报、审批，合理合规使用资金，确保财政资金安全。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资产管理：及时按照要求报送资产情况报表，确保各项资产核算准确、帐实相符、管理到位。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预决算公开：及时在县人民政府门户网站上进行了预决算公开。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认真履行职责，及时报送财政供养信息、存量资金等有关资料及报表。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、预算绩效指标的编制不够明确和细化，其合理性需进一步提高，更贴合实际情况。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、预算实施方法有待进一步优化，预算执行力度还要进一步加强。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、细化预算编制。强化单位业务人员的预算绩效管理意识，严格按照预算编制的相关制度和要求进行预算编制，切合实际反馈制定预算指标，进一步提高预算编制的科学性、严谨性和可控性。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、严格财务审核。加强单位财务管理，在费用报账支付时，按照预算规定的费用项目和用途进行资金使用审核、列报支付、财务核算，确保专款专用。</w:t>
      </w:r>
    </w:p>
    <w:p>
      <w:pPr>
        <w:pStyle w:val="2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、完善资产管理。首要抓好“三公”经费控制，审核、审批把好关，杜绝挪用和挤占其他预算资金行为，合理压缩“三公”经费支出。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</w:t>
      </w:r>
      <w:r>
        <w:rPr>
          <w:rFonts w:hint="eastAsia" w:ascii="仿宋_GB2312" w:eastAsia="仿宋_GB2312"/>
          <w:szCs w:val="32"/>
        </w:rPr>
        <w:t>、制定动态监管。加强预算编制前、预算编制中及预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算编制后监管，接收预算绩效指标实施反馈，并调整其合理性，进一步提高预算绩效管理效率。</w:t>
      </w:r>
    </w:p>
    <w:p>
      <w:pPr>
        <w:pStyle w:val="2"/>
        <w:spacing w:line="560" w:lineRule="exact"/>
        <w:ind w:firstLine="640"/>
        <w:jc w:val="righ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司门前镇人民政府</w:t>
      </w:r>
    </w:p>
    <w:p>
      <w:pPr>
        <w:pStyle w:val="2"/>
        <w:spacing w:line="560" w:lineRule="exact"/>
        <w:ind w:firstLine="640"/>
        <w:jc w:val="righ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2022年4月21日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CC0F56"/>
    <w:rsid w:val="00141714"/>
    <w:rsid w:val="00252710"/>
    <w:rsid w:val="0064778A"/>
    <w:rsid w:val="00943762"/>
    <w:rsid w:val="00B6334E"/>
    <w:rsid w:val="00C33289"/>
    <w:rsid w:val="00D6164C"/>
    <w:rsid w:val="00FA0201"/>
    <w:rsid w:val="13EA78FD"/>
    <w:rsid w:val="343401CA"/>
    <w:rsid w:val="381163AC"/>
    <w:rsid w:val="42CC0F56"/>
    <w:rsid w:val="763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uiPriority w:val="99"/>
    <w:pPr>
      <w:ind w:firstLine="420"/>
    </w:pPr>
  </w:style>
  <w:style w:type="paragraph" w:styleId="3">
    <w:name w:val="Body Text Indent"/>
    <w:basedOn w:val="1"/>
    <w:link w:val="8"/>
    <w:uiPriority w:val="99"/>
    <w:pPr>
      <w:ind w:firstLine="640" w:firstLineChars="200"/>
    </w:pPr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Body Text Indent Char"/>
    <w:basedOn w:val="7"/>
    <w:link w:val="3"/>
    <w:semiHidden/>
    <w:uiPriority w:val="99"/>
    <w:rPr>
      <w:szCs w:val="24"/>
    </w:rPr>
  </w:style>
  <w:style w:type="character" w:customStyle="1" w:styleId="9">
    <w:name w:val="Body Text First Indent 2 Char"/>
    <w:basedOn w:val="8"/>
    <w:link w:val="2"/>
    <w:semiHidden/>
    <w:uiPriority w:val="99"/>
  </w:style>
  <w:style w:type="character" w:customStyle="1" w:styleId="10">
    <w:name w:val="Footer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Header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239</Words>
  <Characters>1364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2021-04-27T02:04:00Z</dcterms:created>
  <dc:creator>一岁一枯荣</dc:creator>
  <cp:lastModifiedBy>一岁一枯荣</cp:lastModifiedBy>
  <cp:lastPrinted>2022-04-22T06:55:00Z</cp:lastPrinted>
  <dcterms:modified xsi:type="dcterms:W3CDTF">2022-04-24T02:43:37Z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217629797_btnclosed</vt:lpwstr>
  </property>
</Properties>
</file>