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682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62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隆回县司门前镇人民政府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78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124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含括经营性岗位7人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26" w:type="dxa"/>
            <w:gridSpan w:val="5"/>
            <w:noWrap w:val="0"/>
            <w:vAlign w:val="top"/>
          </w:tcPr>
          <w:p>
            <w:pPr>
              <w:spacing w:line="240" w:lineRule="auto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58（其中在职111人，经营性岗位7人，离退休40人）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24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62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一）宣传和贯彻执行党的路线方针政策和法律法规；制定地方经济社会发展规划和年度计划并组织实施。（二）落实基层管党治党工作责任制，加强党员队伍的思想建设、组织建设、作风建设、制度建设和党风廉政建设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</w:rPr>
              <w:t>（三）规范经济管理，组织指导经济发展和经济结构调整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</w:rPr>
              <w:t>（四）加强社会管理和基础设施建设，创造良好环境。（五）发展公益事业，强化公共服务。（六）加强综合治理，维护社会稳定。（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七</w:t>
            </w:r>
            <w:r>
              <w:rPr>
                <w:rFonts w:hint="eastAsia" w:ascii="楷体" w:hAnsi="楷体" w:eastAsia="楷体" w:cs="楷体"/>
                <w:szCs w:val="21"/>
              </w:rPr>
              <w:t>）依法依规承担下放的经济社会管理权限和行政执法事项。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2482.23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164.2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67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2646.43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2885.35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438.75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3324.09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20.31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837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129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1023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应采购金额38.72万元，实际采购金额</w:t>
            </w:r>
            <w:r>
              <w:rPr>
                <w:rFonts w:hint="eastAsia" w:ascii="楷体" w:hAnsi="楷体" w:eastAsia="楷体" w:cs="楷体"/>
                <w:szCs w:val="21"/>
                <w:highlight w:val="none"/>
                <w:lang w:val="en-US" w:eastAsia="zh-CN"/>
              </w:rPr>
              <w:t>38.72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808.55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53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5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52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1、落实202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年乡村振兴、建设新时代文明乡村工作，做实扶贫“回头看”工作；2、完成县下达资产管理任务，做到专款专用；3、农民人均纯收入同比实现增长，获得感倍增；4、做好各项社会管理工作，年内辖区无重大食品药品安全事故，抓好安全生产，社会治安综合治理工作；5、微笑服务，做好民生工作，各项补贴发放及时；6、加强城乡环境整治建设，完成耕地保有量和基本农田保护面积任务，完成植树造林面积任务；年内辖区没有发生较大及以上级别突发环境事件；7、做好人居环境建设、两卡两折全面普及等惠民工程，城乡养老保险及新农合工作完成县定任务，完成县下达的公路建设工程、农村安全饮水巩固提升工程、农村危房改造、村级公共服务平台建设任务、小套房建设工程、特色小乡镇建设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40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eastAsia="黑体"/>
                <w:kern w:val="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25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1、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加强人员培训。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针对性开展预算绩效管理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培训，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通过实践总结，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提高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业务人员专业能力素养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，推动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预算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绩效工作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科学、高效落实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2、细化预算编制。加强预算绩效编制前、预算绩效编制中及编制后监管，切合实际反馈来制定预算绩效指标，进一步提升单位绩效管理效率。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3、严格财务审批。加强单位财务管理，财务报账做到制度化、高效化，同时在费用报账支付时，严格按预算使用资金，确保专款专用。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4、完善资产管理。首要抓好“三公”经费控制，审核、审批把好关，杜绝挪用和挤占其他预算资金行为，合理压缩“三公”经费支出。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李阳洪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15200340831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5DB176E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E2B5E45"/>
    <w:rsid w:val="2E515D05"/>
    <w:rsid w:val="2FC02FA6"/>
    <w:rsid w:val="2FF745A3"/>
    <w:rsid w:val="316450AF"/>
    <w:rsid w:val="31843A08"/>
    <w:rsid w:val="335115F0"/>
    <w:rsid w:val="3546366F"/>
    <w:rsid w:val="357070B5"/>
    <w:rsid w:val="38FC7F68"/>
    <w:rsid w:val="3A754CC9"/>
    <w:rsid w:val="3BEA370A"/>
    <w:rsid w:val="3C616AF7"/>
    <w:rsid w:val="3ECD3124"/>
    <w:rsid w:val="3F9A003D"/>
    <w:rsid w:val="40F164D7"/>
    <w:rsid w:val="47265940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35B32B1"/>
    <w:rsid w:val="63AD5DD7"/>
    <w:rsid w:val="65ED7F30"/>
    <w:rsid w:val="6A522671"/>
    <w:rsid w:val="6ACB22C2"/>
    <w:rsid w:val="6C6A0E2B"/>
    <w:rsid w:val="6C801864"/>
    <w:rsid w:val="6E615BFD"/>
    <w:rsid w:val="6F345A82"/>
    <w:rsid w:val="767C2482"/>
    <w:rsid w:val="78853E63"/>
    <w:rsid w:val="78E73BFE"/>
    <w:rsid w:val="7A3613CA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4081</Words>
  <Characters>4307</Characters>
  <Lines>0</Lines>
  <Paragraphs>0</Paragraphs>
  <TotalTime>0</TotalTime>
  <ScaleCrop>false</ScaleCrop>
  <LinksUpToDate>false</LinksUpToDate>
  <CharactersWithSpaces>4587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一岁一枯荣</cp:lastModifiedBy>
  <cp:lastPrinted>2022-04-22T08:48:00Z</cp:lastPrinted>
  <dcterms:modified xsi:type="dcterms:W3CDTF">2022-04-24T01:48:17Z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FC4AD5B48165493FADE0A0374E14E380</vt:lpwstr>
  </property>
</Properties>
</file>