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8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861"/>
        <w:gridCol w:w="330"/>
        <w:gridCol w:w="1005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201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45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tabs>
                <w:tab w:val="left" w:pos="881"/>
              </w:tabs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隆回县司门前镇人民政府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43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107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159（其中在职118人，离退休39人）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200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一）宣传和贯彻执行党的路线方针政策和法律法规；制定地方经济社会发展规划和年度计划并组织实施。（二）落实基层管党治党工作责任制，加强党员队伍的思想建设、组织建设、作风建设、制度建设和党风廉政建设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</w:rPr>
              <w:t>（三）规范经济管理，组织指导经济发展和经济结构调整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Cs w:val="21"/>
              </w:rPr>
              <w:t>（四）加强社会管理和基础设施建设，创造良好环境。（五）发展公益事业，强化公共服务。（六）加强综合治理，维护社会稳定。（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七</w:t>
            </w:r>
            <w:r>
              <w:rPr>
                <w:rFonts w:hint="eastAsia" w:ascii="楷体" w:hAnsi="楷体" w:eastAsia="楷体" w:cs="楷体"/>
                <w:szCs w:val="21"/>
              </w:rPr>
              <w:t>）依法依规承担下放的经济社会管理权限和行政执法事项。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2253.11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3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2253.11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625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3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2029.36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223.75</w:t>
            </w:r>
          </w:p>
        </w:tc>
        <w:tc>
          <w:tcPr>
            <w:tcW w:w="3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2253.11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20.71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default" w:ascii="楷体" w:hAnsi="楷体" w:eastAsia="楷体" w:cs="楷体"/>
                <w:szCs w:val="21"/>
              </w:rPr>
              <w:t>1、完成年度内脱贫计划；2、完成县下达的全社会固定资产投资任务；3、农民人均纯收入同比实现增长；4、做好各项社会管理工作，年内辖区无重大食品药品安全事故，抓好安全生产，社会治安综合治理工作；5、做好服务民生工作；6、加强生态环境建设，完成耕地保有量和基本农田保护面积任务；完成植树造林面积任务；年内辖区没有发生较大及以上级别突发环境事件；7、做好为民办实事等惠民工程，新农合新农保参加率完成县定任务，完成县下达的公路建设工程、农村安全饮水巩固提升工程、农村危房改造、村级公共服务平台建设任务、小套房建设工程、特色小乡镇建设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hint="default" w:ascii="楷体" w:hAnsi="楷体" w:eastAsia="楷体" w:cs="楷体"/>
                <w:szCs w:val="21"/>
              </w:rPr>
            </w:pP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存在问题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1、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作为实施预算绩效管理的主体，对绩效预算认识不够充分，绩效理念有待进一步强化，业务人员业务能力和素质还有待进一步提升。</w:t>
            </w: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2、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 预算绩效目标考核指标体系不尽完善，还需进一步细——部分项目设置的绩效指标与项目实际脱节，对后期绩效监控及评价造成影响。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建议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1、</w:t>
            </w: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加强人员培训。加强预算绩效管理工作人员培训，提高工作人员的专业能力和水平，推动绩效工作全面发展。</w:t>
            </w:r>
          </w:p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2、细化预算编制工作，认真做好预算的编制。进一步加强单位内部预算管理意识。</w:t>
            </w:r>
          </w:p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3、加强财务管理，严格财务审核。加强单位财务管理，在费用报账支付时，严格按预算使用资金。</w:t>
            </w:r>
          </w:p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4、完善资产管理，抓好“三公”经费控制。把关“三公”经费支出的审核、审批，杜绝挪用和挤占其他预算资金行为；合理压缩“三公”经费支出。</w:t>
            </w:r>
          </w:p>
          <w:p>
            <w:pPr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eastAsia="zh-CN"/>
        </w:rPr>
        <w:t>袁宝玲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联系电话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15180936282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2020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</w:t>
      </w: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</w:rPr>
      </w:pPr>
    </w:p>
    <w:p>
      <w:pPr>
        <w:pStyle w:val="2"/>
        <w:rPr>
          <w:rFonts w:hint="eastAsia" w:eastAsia="黑体"/>
          <w:kern w:val="0"/>
          <w:lang w:eastAsia="zh-CN"/>
        </w:rPr>
      </w:pP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 w:val="0"/>
          <w:kern w:val="0"/>
          <w:sz w:val="36"/>
          <w:szCs w:val="36"/>
          <w:lang w:eastAsia="zh-CN"/>
        </w:rPr>
        <w:t>隆回县司门前镇人民政府</w:t>
      </w:r>
      <w:r>
        <w:rPr>
          <w:rFonts w:hint="eastAsia" w:ascii="方正小标宋简体" w:eastAsia="方正小标宋简体"/>
          <w:b/>
          <w:bCs w:val="0"/>
          <w:kern w:val="0"/>
          <w:sz w:val="36"/>
          <w:szCs w:val="36"/>
        </w:rPr>
        <w:t>部门整体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 w:val="0"/>
          <w:kern w:val="0"/>
          <w:sz w:val="36"/>
          <w:szCs w:val="36"/>
        </w:rPr>
        <w:t>支出绩效自评报告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为确实做好2019年度部门整体支出绩效自评工作，提高财政资金使用效益，根据县财政局《关于开展2019年部门整体支出和县级财政资金支出绩效评价工作的通知》结合实际，现将我单位整体支出绩效自评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一、部门概况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（一）部门基本情况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 xml:space="preserve">司门前镇人民政府是基层国家行政机关，部门编制范围包括政府机关、财政所、综合执法大队、政务便民服务中心、社会事务综合服务中心、农业综合服务中心、退役军人服务中心7个部门直属单位。司门前镇人民政府编制人数为107人，实际人数159人（其中，在职 118人，离退休39人），遗属补助人数32人，小车编制数1台，实际1台，房屋面积5187.03平方米。因卫生工作需要有垃圾运输专用车1台，县配消防车1台，下辖村（居）委会30个。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90" w:lineRule="atLeast"/>
        <w:ind w:right="0"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年的重点工作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坚定不移从严治党，强化基层党建工作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凝心聚力抓脱贫攻坚，多位一体守护和谐民生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开展扫黑除恶，做好禁毒工作、加强综合治理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抓环境卫生整治，落实“河长制”工作，提高乡容乡貌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eastAsia="仿宋_GB2312"/>
          <w:sz w:val="28"/>
          <w:szCs w:val="28"/>
        </w:rPr>
        <w:t>（三）部门整体支出情况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2019年财政拨款支出2253.11万元。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（一）基本支出情况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基本支出：2029.82万元，是指为保障单位机构正常运转、完成日常工作任务而发生的各项支出，包括用于基本工资、津贴补贴等人员经费以及办公费、印刷费、水电费及办公设备购置等日常公用经费。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（二）项目支出情况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项目支出：223.29万元，是指单位为完成选定行政工作或事业发展目标而发生的支出，包括有关事业发展专项、专项业务费、基本建设支出等。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（三）“三公”经费情况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 xml:space="preserve"> 2019年“三公”经费 决算数为20.71万元，其中：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因公出国（境）费用0元；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公务接待费15.81万元；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公务用车购置及运行费4.9万元。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财务管理制度建设情况：资金拨付严格按程序申报、审批，合理合规使用资金，确保财政资金安全。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资产管理：及时按照要求报送资产情况报表，确保各项资产核算准确、帐实相符、管理到位。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预决算公开：及时在县人民政府门户网站上进行了预决算公开。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1、预算编制工作有待细化。预算编制不够明确和细化，预算编制的合理性需要提高，预算执行力度还要进一步加强。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2、公用经费的支出数大于预算数。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改进措施和有关建议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-SA"/>
        </w:rPr>
        <w:t>3、完善资产管理，抓好“三公”经费控制。把关“三公”经费支出的审核、审批，杜绝挪用和挤占其他预算资金行为；合理压缩“三公”经费支出。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1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FA79BC"/>
    <w:multiLevelType w:val="singleLevel"/>
    <w:tmpl w:val="FEFA79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342CBB"/>
    <w:multiLevelType w:val="singleLevel"/>
    <w:tmpl w:val="16342C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E624A"/>
    <w:rsid w:val="01224D18"/>
    <w:rsid w:val="04252CDC"/>
    <w:rsid w:val="0BF024E9"/>
    <w:rsid w:val="0EC10A52"/>
    <w:rsid w:val="0F2F2CB0"/>
    <w:rsid w:val="10F44F45"/>
    <w:rsid w:val="16BE624A"/>
    <w:rsid w:val="16E551AC"/>
    <w:rsid w:val="19D3157D"/>
    <w:rsid w:val="1AD94DE5"/>
    <w:rsid w:val="1D0A1858"/>
    <w:rsid w:val="1EA129F8"/>
    <w:rsid w:val="21306024"/>
    <w:rsid w:val="26961A15"/>
    <w:rsid w:val="308A7259"/>
    <w:rsid w:val="31BC0F4B"/>
    <w:rsid w:val="3BE366CC"/>
    <w:rsid w:val="3D513F0C"/>
    <w:rsid w:val="42C0430A"/>
    <w:rsid w:val="447F30E2"/>
    <w:rsid w:val="5042628D"/>
    <w:rsid w:val="50D23090"/>
    <w:rsid w:val="53361560"/>
    <w:rsid w:val="552E05AC"/>
    <w:rsid w:val="56EE1B25"/>
    <w:rsid w:val="590747DB"/>
    <w:rsid w:val="59883234"/>
    <w:rsid w:val="5E6902E1"/>
    <w:rsid w:val="65325B33"/>
    <w:rsid w:val="65FF471A"/>
    <w:rsid w:val="66B15F27"/>
    <w:rsid w:val="6A835AAF"/>
    <w:rsid w:val="6C4453C2"/>
    <w:rsid w:val="70E260F2"/>
    <w:rsid w:val="713E24FB"/>
    <w:rsid w:val="72F505C0"/>
    <w:rsid w:val="74327C85"/>
    <w:rsid w:val="74A21FB3"/>
    <w:rsid w:val="7A0369A2"/>
    <w:rsid w:val="7F8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2020-02-05T02:09:00Z</dcterms:created>
  <dc:creator>彭礼孝</dc:creator>
  <cp:lastModifiedBy>威威</cp:lastModifiedBy>
  <cp:lastPrinted>2020-03-12T09:17:00Z</cp:lastPrinted>
  <dcterms:modified xsi:type="dcterms:W3CDTF">2020-06-05T05:29:13Z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