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DA64E">
      <w:pPr>
        <w:pStyle w:val="2"/>
      </w:pPr>
    </w:p>
    <w:p w14:paraId="4327B2B6">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rPr>
        <w:t>部门整体支出绩效自评报告</w:t>
      </w:r>
    </w:p>
    <w:p w14:paraId="1AEF39C0">
      <w:pPr>
        <w:jc w:val="center"/>
        <w:rPr>
          <w:rFonts w:hint="eastAsia" w:ascii="楷体" w:hAnsi="楷体" w:eastAsia="楷体" w:cs="楷体"/>
          <w:b/>
          <w:bCs/>
          <w:sz w:val="32"/>
          <w:szCs w:val="32"/>
        </w:rPr>
      </w:pPr>
    </w:p>
    <w:p w14:paraId="2818CF23">
      <w:pPr>
        <w:ind w:firstLine="420" w:firstLineChars="200"/>
        <w:rPr>
          <w:rFonts w:hint="eastAsia" w:ascii="仿宋" w:hAnsi="仿宋" w:eastAsia="仿宋" w:cs="仿宋"/>
        </w:rPr>
      </w:pPr>
    </w:p>
    <w:p w14:paraId="0A23C9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一、部门概况</w:t>
      </w:r>
    </w:p>
    <w:p w14:paraId="39B71C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（一）部门基本情况</w:t>
      </w:r>
    </w:p>
    <w:p w14:paraId="2A34C404">
      <w:pPr>
        <w:spacing w:line="600" w:lineRule="exact"/>
        <w:ind w:firstLine="640" w:firstLineChars="200"/>
        <w:contextualSpacing/>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zh-CN" w:eastAsia="zh-CN"/>
        </w:rPr>
        <w:t>隆回县审计局主要工作职责是对县本级财政预算执行和其它财政收支、行政企事业单位财政财务收支、各项财政性专项资金、县管党政领导干部任期经济责任、自然资源和环保、政府投资建设项目等进行审计监督。</w:t>
      </w:r>
      <w:r>
        <w:rPr>
          <w:rFonts w:hint="eastAsia" w:ascii="仿宋_GB2312" w:hAnsi="仿宋_GB2312" w:eastAsia="仿宋_GB2312" w:cs="仿宋_GB2312"/>
          <w:color w:val="000000"/>
          <w:sz w:val="32"/>
          <w:szCs w:val="32"/>
          <w:lang w:val="en-US" w:eastAsia="zh-CN"/>
        </w:rPr>
        <w:t xml:space="preserve"> </w:t>
      </w:r>
    </w:p>
    <w:p w14:paraId="62553E55">
      <w:pPr>
        <w:spacing w:line="600" w:lineRule="exact"/>
        <w:ind w:firstLine="640" w:firstLineChars="200"/>
        <w:contextualSpacing/>
        <w:jc w:val="left"/>
        <w:rPr>
          <w:rFonts w:hint="eastAsia"/>
        </w:rPr>
      </w:pPr>
      <w:r>
        <w:rPr>
          <w:rFonts w:hint="eastAsia" w:ascii="仿宋_GB2312" w:hAnsi="仿宋_GB2312" w:eastAsia="仿宋_GB2312" w:cs="仿宋_GB2312"/>
          <w:color w:val="000000"/>
          <w:sz w:val="32"/>
          <w:szCs w:val="32"/>
          <w:lang w:val="en-US" w:eastAsia="zh-CN"/>
        </w:rPr>
        <w:t>隆回县审计局编制人数为37人，实有在职人数34人。无公车。房屋面积3000平方米。</w:t>
      </w:r>
    </w:p>
    <w:p w14:paraId="7DBBD5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年的重点工作</w:t>
      </w:r>
    </w:p>
    <w:p w14:paraId="743000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000000" w:themeColor="text1"/>
          <w:sz w:val="32"/>
          <w:szCs w:val="32"/>
          <w:lang w:val="en-US" w:eastAsia="zh-CN"/>
          <w14:textFill>
            <w14:solidFill>
              <w14:schemeClr w14:val="tx1"/>
            </w14:solidFill>
          </w14:textFill>
        </w:rPr>
      </w:pPr>
      <w:r>
        <w:rPr>
          <w:rFonts w:hint="eastAsia" w:ascii="仿宋_GB2312" w:hAnsi="Arial" w:eastAsia="仿宋_GB2312" w:cs="Arial"/>
          <w:color w:val="000000" w:themeColor="text1"/>
          <w:sz w:val="32"/>
          <w:szCs w:val="32"/>
          <w:lang w:val="en-US" w:eastAsia="zh-CN"/>
          <w14:textFill>
            <w14:solidFill>
              <w14:schemeClr w14:val="tx1"/>
            </w14:solidFill>
          </w14:textFill>
        </w:rPr>
        <w:t>1.围绕财政资金增效，扎实开展财政审计。把提高资金使用绩效作为审计监督的重点，重点关注“三保”支出及库款保障、政府专项债券管理使用、县本级预算执行、财政财务收支的真实合法效益等问题，按照年初审计计划安排，在对2022年度县本级财政预算执行情况进行审计的同时，同步开展县应急管理局部门预算执行情况审计，山界回族乡财政决算审计。</w:t>
      </w:r>
    </w:p>
    <w:p w14:paraId="06C236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000000" w:themeColor="text1"/>
          <w:sz w:val="32"/>
          <w:szCs w:val="32"/>
          <w:lang w:val="en-US" w:eastAsia="zh-CN"/>
          <w14:textFill>
            <w14:solidFill>
              <w14:schemeClr w14:val="tx1"/>
            </w14:solidFill>
          </w14:textFill>
        </w:rPr>
      </w:pPr>
      <w:r>
        <w:rPr>
          <w:rFonts w:hint="eastAsia" w:ascii="仿宋_GB2312" w:hAnsi="Arial" w:eastAsia="仿宋_GB2312" w:cs="Arial"/>
          <w:color w:val="000000" w:themeColor="text1"/>
          <w:sz w:val="32"/>
          <w:szCs w:val="32"/>
          <w:lang w:val="en-US" w:eastAsia="zh-CN"/>
          <w14:textFill>
            <w14:solidFill>
              <w14:schemeClr w14:val="tx1"/>
            </w14:solidFill>
          </w14:textFill>
        </w:rPr>
        <w:t>2.围绕规范权力运行，扎实开展领导干部经济责任审计和自然资源资产离任审计。聚焦“权力运行”和“经济责任”，重点关注贯彻落实国家重大经济方针政策及决策部署、重大经济事项决策与实施、重大经济风险防范、落实党风廉政建设责任和遵守廉洁从政规定等情况，对7名领导干部开展了任期经济责任审计。同步对1个乡镇实施了自然资源资产审计，促进领导干部切实履行自然资源资产管理和生态环境保护责任，严肃查处生态环境领域重大损失损毁问题。</w:t>
      </w:r>
    </w:p>
    <w:p w14:paraId="2A4AF5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000000" w:themeColor="text1"/>
          <w:sz w:val="32"/>
          <w:szCs w:val="32"/>
          <w:lang w:val="en-US" w:eastAsia="zh-CN"/>
          <w14:textFill>
            <w14:solidFill>
              <w14:schemeClr w14:val="tx1"/>
            </w14:solidFill>
          </w14:textFill>
        </w:rPr>
      </w:pPr>
      <w:r>
        <w:rPr>
          <w:rFonts w:hint="eastAsia" w:ascii="仿宋_GB2312" w:hAnsi="Arial" w:eastAsia="仿宋_GB2312" w:cs="Arial"/>
          <w:color w:val="000000" w:themeColor="text1"/>
          <w:sz w:val="32"/>
          <w:szCs w:val="32"/>
          <w:lang w:val="en-US" w:eastAsia="zh-CN"/>
          <w14:textFill>
            <w14:solidFill>
              <w14:schemeClr w14:val="tx1"/>
            </w14:solidFill>
          </w14:textFill>
        </w:rPr>
        <w:t>3.围绕提高政府投资管理综合效益，稳步推进投资审计转型。努力适应投资审计从数量规模向质量效益转变、从单一工程造价审计向全面投资审计转变、从传统投资审计向现代投资审计转变工作要求，加强审计项目和审计组织方式统筹，优化审计资源配置，进一步拓宽审计的深度和广度。坚持问题导向，重点关注项目立项、招标投标、合同签订、施工和变更、设备采购、竣工验收、结算决算、绩效评价等关键环节，揭露系统性、体制性、普遍性问题，提出合理化意见建议。加强社会中介机构管理，修订了中介机构考核细则，严格监督执行。</w:t>
      </w:r>
    </w:p>
    <w:p w14:paraId="04DDAE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000000" w:themeColor="text1"/>
          <w:sz w:val="32"/>
          <w:szCs w:val="32"/>
          <w:lang w:val="en-US" w:eastAsia="zh-CN"/>
          <w14:textFill>
            <w14:solidFill>
              <w14:schemeClr w14:val="tx1"/>
            </w14:solidFill>
          </w14:textFill>
        </w:rPr>
      </w:pPr>
      <w:r>
        <w:rPr>
          <w:rFonts w:hint="eastAsia" w:ascii="仿宋_GB2312" w:hAnsi="Arial" w:eastAsia="仿宋_GB2312" w:cs="Arial"/>
          <w:color w:val="000000" w:themeColor="text1"/>
          <w:sz w:val="32"/>
          <w:szCs w:val="32"/>
          <w:lang w:val="en-US" w:eastAsia="zh-CN"/>
          <w14:textFill>
            <w14:solidFill>
              <w14:schemeClr w14:val="tx1"/>
            </w14:solidFill>
          </w14:textFill>
        </w:rPr>
        <w:t>4.围绕防范化解风险隐患，扎实开展重点领域专项审计调查。开展重大政策措施落实情况跟踪审计；重点关注耕地地力保护补贴、粮食适度规模经营补贴、实际种粮农民一次性补贴、稻谷目标价格补贴、棉花目标价格补贴、动物防疫资金、农机购置补贴等惠农补贴；重点关注高标准农田建设、污水处理设施建设、农产品产地冷藏保鲜设施建设等涉农项目资金。重点关注村集体“三资”政策措施落实，村集体经济组织财务管理和资产资源管理是否规范、承包收益是否流失、工程项目发包是否合规、债权债务风险是否可控等。</w:t>
      </w:r>
    </w:p>
    <w:p w14:paraId="5BA291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000000" w:themeColor="text1"/>
          <w:sz w:val="32"/>
          <w:szCs w:val="32"/>
          <w:lang w:val="en-US" w:eastAsia="zh-CN"/>
          <w14:textFill>
            <w14:solidFill>
              <w14:schemeClr w14:val="tx1"/>
            </w14:solidFill>
          </w14:textFill>
        </w:rPr>
      </w:pPr>
      <w:r>
        <w:rPr>
          <w:rFonts w:hint="eastAsia" w:ascii="仿宋_GB2312" w:hAnsi="Arial" w:eastAsia="仿宋_GB2312" w:cs="Arial"/>
          <w:color w:val="000000" w:themeColor="text1"/>
          <w:sz w:val="32"/>
          <w:szCs w:val="32"/>
          <w:lang w:val="en-US" w:eastAsia="zh-CN"/>
          <w14:textFill>
            <w14:solidFill>
              <w14:schemeClr w14:val="tx1"/>
            </w14:solidFill>
          </w14:textFill>
        </w:rPr>
        <w:t>5.围绕促进兜牢民生底线，深入开展民生审计。坚持人民至上，践行以人民为中心的发展思想，以推动兜牢民生底线为目标，加强对惠民、养老、医保、涉农资金等重点民生项目和专项资金的审计。全年对保交楼专项借款项目预售资金、疫情防控专项资金、医保基金开展了专项审计，重点关注各类民生政策的落实、民生资金的分配管理使用以及民生项目的推进等情况，严肃查处损害群众切身利益的问题。</w:t>
      </w:r>
    </w:p>
    <w:p w14:paraId="5FFE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000000" w:themeColor="text1"/>
          <w:sz w:val="32"/>
          <w:szCs w:val="32"/>
          <w:lang w:val="en-US" w:eastAsia="zh-CN"/>
          <w14:textFill>
            <w14:solidFill>
              <w14:schemeClr w14:val="tx1"/>
            </w14:solidFill>
          </w14:textFill>
        </w:rPr>
      </w:pPr>
      <w:r>
        <w:rPr>
          <w:rFonts w:hint="eastAsia" w:ascii="仿宋_GB2312" w:hAnsi="Arial" w:eastAsia="仿宋_GB2312" w:cs="Arial"/>
          <w:color w:val="000000" w:themeColor="text1"/>
          <w:sz w:val="32"/>
          <w:szCs w:val="32"/>
          <w:lang w:val="en-US" w:eastAsia="zh-CN"/>
          <w14:textFill>
            <w14:solidFill>
              <w14:schemeClr w14:val="tx1"/>
            </w14:solidFill>
          </w14:textFill>
        </w:rPr>
        <w:t>6.扎实开展省以下法院检察院财物省级统管改革落实情况专项审计调查。一是开展省以下法院财物省级统管改革落实情况专项审计调查。聚焦2018年以来省以下法院财物省级统管改革落实情况，通过揭示改革之后出现的普遍性和典型性问题，为进一步完善我省法院管理体制机制提供意见和建议，助推提高司法公信力，更好维护社会公平正义。二是开展省以下检察院财物省级统管改革落实情况专项审计调查。通过审查省以下检察院预算编制、预算执行、资产管理等，结合检察院职能职责履行情况，摸清检察院国有资产底数，规范涉案财物管理，促进审计监督与公益诉讼检察监督协同发力，推动建立我省检察机关与审计机关协同联动工作机制。</w:t>
      </w:r>
    </w:p>
    <w:p w14:paraId="07D353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000000" w:themeColor="text1"/>
          <w:sz w:val="32"/>
          <w:szCs w:val="32"/>
          <w:lang w:val="en-US" w:eastAsia="zh-CN"/>
          <w14:textFill>
            <w14:solidFill>
              <w14:schemeClr w14:val="tx1"/>
            </w14:solidFill>
          </w14:textFill>
        </w:rPr>
      </w:pPr>
      <w:r>
        <w:rPr>
          <w:rFonts w:hint="eastAsia" w:ascii="仿宋_GB2312" w:hAnsi="Arial" w:eastAsia="仿宋_GB2312" w:cs="Arial"/>
          <w:color w:val="000000" w:themeColor="text1"/>
          <w:sz w:val="32"/>
          <w:szCs w:val="32"/>
          <w:lang w:val="en-US" w:eastAsia="zh-CN"/>
          <w14:textFill>
            <w14:solidFill>
              <w14:schemeClr w14:val="tx1"/>
            </w14:solidFill>
          </w14:textFill>
        </w:rPr>
        <w:t>7.推进政府采购和招标投标问题提级整改工作。根据安排,我局切实履行牵头单位责任，周密部署，精心组织，聚焦审计发现的突出问题和审计整改的重点问题。全县89个单位中，7个发现问题的单位全部制定了整改方案，落实整改责任，强化整改措施，出台相关制度。</w:t>
      </w:r>
    </w:p>
    <w:p w14:paraId="401DF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000000" w:themeColor="text1"/>
          <w:sz w:val="32"/>
          <w:szCs w:val="32"/>
          <w:lang w:val="en-US" w:eastAsia="zh-CN"/>
          <w14:textFill>
            <w14:solidFill>
              <w14:schemeClr w14:val="tx1"/>
            </w14:solidFill>
          </w14:textFill>
        </w:rPr>
      </w:pPr>
      <w:r>
        <w:rPr>
          <w:rFonts w:hint="eastAsia" w:ascii="仿宋_GB2312" w:hAnsi="Arial" w:eastAsia="仿宋_GB2312" w:cs="Arial"/>
          <w:color w:val="000000" w:themeColor="text1"/>
          <w:sz w:val="32"/>
          <w:szCs w:val="32"/>
          <w:lang w:val="en-US" w:eastAsia="zh-CN"/>
          <w14:textFill>
            <w14:solidFill>
              <w14:schemeClr w14:val="tx1"/>
            </w14:solidFill>
          </w14:textFill>
        </w:rPr>
        <w:t>8.强化督查检查，促进审计整改落实到位。树立审计整改“一盘棋”思想，通过压紧责任、持续跟踪、健全制度，持续推进审计整改工作，做好“下半篇文章”。采取多种措施加强审计整改跟踪督导，联合县人大财经委组成审计查出问题整改情况检查组，对2022年10月至2023年9月期间审计查出问题整改落实情况开展跟踪检查。</w:t>
      </w:r>
    </w:p>
    <w:p w14:paraId="29137D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000000" w:themeColor="text1"/>
          <w:sz w:val="32"/>
          <w:szCs w:val="32"/>
          <w:lang w:val="en-US" w:eastAsia="zh-CN"/>
          <w14:textFill>
            <w14:solidFill>
              <w14:schemeClr w14:val="tx1"/>
            </w14:solidFill>
          </w14:textFill>
        </w:rPr>
      </w:pPr>
      <w:r>
        <w:rPr>
          <w:rFonts w:hint="eastAsia" w:ascii="仿宋_GB2312" w:hAnsi="Arial" w:eastAsia="仿宋_GB2312" w:cs="Arial"/>
          <w:color w:val="000000" w:themeColor="text1"/>
          <w:sz w:val="32"/>
          <w:szCs w:val="32"/>
          <w:lang w:val="en-US" w:eastAsia="zh-CN"/>
          <w14:textFill>
            <w14:solidFill>
              <w14:schemeClr w14:val="tx1"/>
            </w14:solidFill>
          </w14:textFill>
        </w:rPr>
        <w:t>9.推进审计监督与其他监督贯通协同。联合县财政局、纪委监委、县委巡察办出台《隆回县财会监督协调工作机制及部门贯通协调机制(试行)》，深入开展“纪审联动”“巡审结合”，建立并完善人员选派、业务培训、线索移送、办理结果反馈、整改落实和成果运用等工作机制，形成衔接顺畅、配合高效的大监督工作格局。今年共有3人参与省市县三级巡视巡察，纪检监察、组织、财政、人社等部门先后抽调审计人员26人次。</w:t>
      </w:r>
    </w:p>
    <w:p w14:paraId="5F22FC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（三）部门整体支出情况</w:t>
      </w:r>
    </w:p>
    <w:p w14:paraId="495513B6">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highlight w:val="none"/>
          <w:lang w:val="en-US"/>
        </w:rPr>
      </w:pPr>
      <w:r>
        <w:rPr>
          <w:rFonts w:hint="eastAsia" w:ascii="仿宋_GB2312" w:hAnsi="仿宋_GB2312" w:eastAsia="仿宋_GB2312" w:cs="仿宋_GB2312"/>
          <w:kern w:val="2"/>
          <w:sz w:val="32"/>
          <w:szCs w:val="32"/>
          <w:highlight w:val="none"/>
          <w:lang w:val="en-US" w:eastAsia="zh-CN" w:bidi="ar"/>
        </w:rPr>
        <w:t>2023年年终决算支出数为</w:t>
      </w:r>
      <w:r>
        <w:rPr>
          <w:rFonts w:hint="eastAsia" w:ascii="仿宋_GB2312" w:hAnsi="仿宋" w:eastAsia="仿宋_GB2312"/>
          <w:sz w:val="32"/>
          <w:szCs w:val="32"/>
          <w:highlight w:val="none"/>
          <w:lang w:val="en-US" w:eastAsia="zh-CN"/>
        </w:rPr>
        <w:t>867.37万元</w:t>
      </w:r>
      <w:r>
        <w:rPr>
          <w:rFonts w:hint="eastAsia" w:ascii="仿宋_GB2312" w:hAnsi="仿宋_GB2312" w:eastAsia="仿宋_GB2312" w:cs="仿宋_GB2312"/>
          <w:kern w:val="2"/>
          <w:sz w:val="32"/>
          <w:szCs w:val="32"/>
          <w:highlight w:val="none"/>
          <w:lang w:val="en-US" w:eastAsia="zh-CN" w:bidi="ar"/>
        </w:rPr>
        <w:t>。</w:t>
      </w:r>
    </w:p>
    <w:p w14:paraId="7AD312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二、部门整体支出管理及使用情况</w:t>
      </w:r>
    </w:p>
    <w:p w14:paraId="67E71288">
      <w:pPr>
        <w:ind w:firstLine="643" w:firstLineChars="200"/>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（一）基本支出情况</w:t>
      </w:r>
    </w:p>
    <w:p w14:paraId="529EA084">
      <w:pPr>
        <w:pStyle w:val="7"/>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highlight w:val="none"/>
        </w:rPr>
      </w:pPr>
      <w:r>
        <w:rPr>
          <w:rFonts w:hint="eastAsia" w:ascii="仿宋_GB2312" w:hAnsi="仿宋_GB2312" w:eastAsia="仿宋_GB2312" w:cs="仿宋_GB2312"/>
          <w:kern w:val="2"/>
          <w:sz w:val="32"/>
          <w:szCs w:val="32"/>
          <w:highlight w:val="none"/>
          <w:lang w:val="en-US" w:eastAsia="zh-CN" w:bidi="ar"/>
        </w:rPr>
        <w:t>2023年基本支出年终决算数为</w:t>
      </w:r>
      <w:r>
        <w:rPr>
          <w:rFonts w:hint="eastAsia" w:ascii="仿宋_GB2312" w:hAnsi="仿宋" w:eastAsia="仿宋_GB2312"/>
          <w:sz w:val="32"/>
          <w:szCs w:val="32"/>
          <w:highlight w:val="none"/>
          <w:lang w:val="en-US" w:eastAsia="zh-CN"/>
        </w:rPr>
        <w:t>867.37万元</w:t>
      </w:r>
      <w:r>
        <w:rPr>
          <w:rFonts w:hint="eastAsia" w:ascii="仿宋_GB2312" w:hAnsi="仿宋_GB2312" w:eastAsia="仿宋_GB2312" w:cs="仿宋_GB2312"/>
          <w:kern w:val="2"/>
          <w:sz w:val="32"/>
          <w:szCs w:val="32"/>
          <w:highlight w:val="none"/>
          <w:lang w:val="en-US" w:eastAsia="zh-CN" w:bidi="ar"/>
        </w:rPr>
        <w:t>，是指为保障单位机构正常运转、完成日常工作任务而发生的各项支出，包括用于基本工资、津贴补贴等人员经费以及办公费、印刷费、水电费及办公设备购置、其他交通费、委托社会中介机构审计费等日常公用经费。</w:t>
      </w:r>
    </w:p>
    <w:p w14:paraId="0C00EAE6">
      <w:pPr>
        <w:ind w:firstLine="643" w:firstLineChars="200"/>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w:t>
      </w:r>
      <w:r>
        <w:rPr>
          <w:rFonts w:hint="eastAsia" w:ascii="楷体" w:hAnsi="楷体" w:eastAsia="楷体" w:cs="楷体"/>
          <w:b/>
          <w:bCs/>
          <w:sz w:val="32"/>
          <w:szCs w:val="32"/>
          <w:highlight w:val="none"/>
          <w:lang w:val="en-US" w:eastAsia="zh-CN"/>
        </w:rPr>
        <w:t>二</w:t>
      </w:r>
      <w:r>
        <w:rPr>
          <w:rFonts w:hint="eastAsia" w:ascii="楷体" w:hAnsi="楷体" w:eastAsia="楷体" w:cs="楷体"/>
          <w:b/>
          <w:bCs/>
          <w:sz w:val="32"/>
          <w:szCs w:val="32"/>
          <w:highlight w:val="none"/>
          <w:lang w:eastAsia="zh-CN"/>
        </w:rPr>
        <w:t>）</w:t>
      </w:r>
      <w:r>
        <w:rPr>
          <w:rFonts w:hint="eastAsia" w:ascii="楷体" w:hAnsi="楷体" w:eastAsia="楷体" w:cs="楷体"/>
          <w:b/>
          <w:bCs/>
          <w:sz w:val="32"/>
          <w:szCs w:val="32"/>
          <w:highlight w:val="none"/>
        </w:rPr>
        <w:t>项目支出情况</w:t>
      </w:r>
    </w:p>
    <w:p w14:paraId="1BD655FC">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highlight w:val="none"/>
          <w:lang w:val="en-US" w:eastAsia="zh-CN"/>
        </w:rPr>
      </w:pPr>
      <w:r>
        <w:rPr>
          <w:rFonts w:hint="eastAsia" w:ascii="仿宋_GB2312" w:hAnsi="仿宋_GB2312" w:eastAsia="仿宋_GB2312" w:cs="仿宋_GB2312"/>
          <w:color w:val="000000"/>
          <w:kern w:val="2"/>
          <w:sz w:val="32"/>
          <w:szCs w:val="32"/>
          <w:highlight w:val="none"/>
          <w:lang w:val="en-US" w:eastAsia="zh-CN" w:bidi="ar-SA"/>
        </w:rPr>
        <w:t>2023年度无专项项目资金支出。</w:t>
      </w:r>
    </w:p>
    <w:p w14:paraId="76E96DB6">
      <w:pPr>
        <w:ind w:firstLine="643" w:firstLineChars="200"/>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w:t>
      </w:r>
      <w:r>
        <w:rPr>
          <w:rFonts w:hint="eastAsia" w:ascii="楷体" w:hAnsi="楷体" w:eastAsia="楷体" w:cs="楷体"/>
          <w:b/>
          <w:bCs/>
          <w:sz w:val="32"/>
          <w:szCs w:val="32"/>
          <w:highlight w:val="none"/>
          <w:lang w:val="en-US" w:eastAsia="zh-CN"/>
        </w:rPr>
        <w:t>三</w:t>
      </w:r>
      <w:r>
        <w:rPr>
          <w:rFonts w:hint="eastAsia" w:ascii="楷体" w:hAnsi="楷体" w:eastAsia="楷体" w:cs="楷体"/>
          <w:b/>
          <w:bCs/>
          <w:sz w:val="32"/>
          <w:szCs w:val="32"/>
          <w:highlight w:val="none"/>
          <w:lang w:eastAsia="zh-CN"/>
        </w:rPr>
        <w:t>）</w:t>
      </w:r>
      <w:r>
        <w:rPr>
          <w:rFonts w:hint="eastAsia" w:ascii="楷体" w:hAnsi="楷体" w:eastAsia="楷体" w:cs="楷体"/>
          <w:b/>
          <w:bCs/>
          <w:sz w:val="32"/>
          <w:szCs w:val="32"/>
          <w:highlight w:val="none"/>
        </w:rPr>
        <w:t>“三公”经费情况</w:t>
      </w:r>
    </w:p>
    <w:p w14:paraId="2317973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eastAsia="仿宋_GB2312"/>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w:t>
      </w:r>
      <w:r>
        <w:rPr>
          <w:rFonts w:hint="eastAsia" w:eastAsia="仿宋_GB2312"/>
          <w:sz w:val="32"/>
          <w:szCs w:val="32"/>
          <w:highlight w:val="none"/>
        </w:rPr>
        <w:t>因公出国（境）费用</w:t>
      </w:r>
      <w:r>
        <w:rPr>
          <w:rFonts w:hint="eastAsia" w:ascii="仿宋_GB2312" w:hAnsi="仿宋_GB2312" w:eastAsia="仿宋_GB2312" w:cs="仿宋_GB2312"/>
          <w:color w:val="000000"/>
          <w:sz w:val="32"/>
          <w:szCs w:val="32"/>
          <w:highlight w:val="none"/>
          <w:lang w:val="en-US" w:eastAsia="zh-CN"/>
        </w:rPr>
        <w:t>：2023</w:t>
      </w:r>
      <w:r>
        <w:rPr>
          <w:rFonts w:hint="eastAsia" w:eastAsia="仿宋_GB2312"/>
          <w:sz w:val="32"/>
          <w:szCs w:val="32"/>
          <w:highlight w:val="none"/>
          <w:lang w:val="en-US" w:eastAsia="zh-CN"/>
        </w:rPr>
        <w:t>年本单位无因公出国（境）费用。</w:t>
      </w:r>
    </w:p>
    <w:p w14:paraId="07580CA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2.公务接</w:t>
      </w:r>
      <w:r>
        <w:rPr>
          <w:rFonts w:hint="eastAsia" w:eastAsia="仿宋_GB2312"/>
          <w:sz w:val="32"/>
          <w:szCs w:val="32"/>
          <w:highlight w:val="none"/>
          <w:lang w:val="en-US" w:eastAsia="zh-CN"/>
        </w:rPr>
        <w:t>待费：</w:t>
      </w:r>
      <w:r>
        <w:rPr>
          <w:rFonts w:hint="eastAsia" w:ascii="仿宋_GB2312" w:hAnsi="仿宋_GB2312" w:eastAsia="仿宋_GB2312" w:cs="仿宋_GB2312"/>
          <w:color w:val="000000"/>
          <w:sz w:val="32"/>
          <w:szCs w:val="32"/>
          <w:highlight w:val="none"/>
          <w:lang w:val="en-US" w:eastAsia="zh-CN"/>
        </w:rPr>
        <w:t>2023年我单位“三公”经费实际支出数</w:t>
      </w:r>
      <w:r>
        <w:rPr>
          <w:rFonts w:hint="eastAsia" w:ascii="仿宋_GB2312" w:hAnsi="仿宋" w:eastAsia="仿宋_GB2312"/>
          <w:sz w:val="32"/>
          <w:szCs w:val="32"/>
          <w:highlight w:val="none"/>
          <w:lang w:val="en-US" w:eastAsia="zh-CN"/>
        </w:rPr>
        <w:t>0.25</w:t>
      </w:r>
      <w:r>
        <w:rPr>
          <w:rFonts w:hint="eastAsia" w:ascii="仿宋_GB2312" w:hAnsi="仿宋_GB2312" w:eastAsia="仿宋_GB2312" w:cs="仿宋_GB2312"/>
          <w:color w:val="000000"/>
          <w:sz w:val="32"/>
          <w:szCs w:val="32"/>
          <w:highlight w:val="none"/>
          <w:lang w:val="en-US" w:eastAsia="zh-CN"/>
        </w:rPr>
        <w:t>万元，其中：公务接待费</w:t>
      </w:r>
      <w:r>
        <w:rPr>
          <w:rFonts w:hint="eastAsia" w:ascii="仿宋_GB2312" w:hAnsi="仿宋" w:eastAsia="仿宋_GB2312"/>
          <w:sz w:val="32"/>
          <w:szCs w:val="32"/>
          <w:highlight w:val="none"/>
          <w:lang w:val="en-US" w:eastAsia="zh-CN"/>
        </w:rPr>
        <w:t>0.25</w:t>
      </w:r>
      <w:r>
        <w:rPr>
          <w:rFonts w:hint="eastAsia" w:ascii="仿宋_GB2312" w:hAnsi="仿宋_GB2312" w:eastAsia="仿宋_GB2312" w:cs="仿宋_GB2312"/>
          <w:color w:val="000000"/>
          <w:sz w:val="32"/>
          <w:szCs w:val="32"/>
          <w:highlight w:val="none"/>
          <w:lang w:val="en-US" w:eastAsia="zh-CN"/>
        </w:rPr>
        <w:t>万元。</w:t>
      </w:r>
    </w:p>
    <w:p w14:paraId="47B007D1">
      <w:pPr>
        <w:pStyle w:val="8"/>
        <w:numPr>
          <w:ilvl w:val="0"/>
          <w:numId w:val="0"/>
        </w:numPr>
        <w:ind w:firstLine="640" w:firstLineChars="200"/>
        <w:rPr>
          <w:rFonts w:hint="eastAsia"/>
          <w:highlight w:val="none"/>
        </w:rPr>
      </w:pPr>
      <w:r>
        <w:rPr>
          <w:rFonts w:hint="eastAsia" w:ascii="仿宋_GB2312" w:hAnsi="仿宋_GB2312" w:eastAsia="仿宋_GB2312" w:cs="仿宋_GB2312"/>
          <w:color w:val="000000"/>
          <w:sz w:val="32"/>
          <w:szCs w:val="32"/>
          <w:highlight w:val="none"/>
          <w:lang w:val="en-US" w:eastAsia="zh-CN"/>
        </w:rPr>
        <w:t>3.</w:t>
      </w:r>
      <w:r>
        <w:rPr>
          <w:rFonts w:hint="eastAsia" w:eastAsia="仿宋_GB2312"/>
          <w:sz w:val="32"/>
          <w:szCs w:val="32"/>
          <w:highlight w:val="none"/>
        </w:rPr>
        <w:t>公务用车购置及运行费</w:t>
      </w:r>
      <w:r>
        <w:rPr>
          <w:rFonts w:hint="eastAsia" w:eastAsia="仿宋_GB2312"/>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本单位无公车。</w:t>
      </w:r>
    </w:p>
    <w:p w14:paraId="78C9D2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三、部门整体支出绩效情况</w:t>
      </w:r>
    </w:p>
    <w:p w14:paraId="17396A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202</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14:textFill>
            <w14:solidFill>
              <w14:schemeClr w14:val="tx1"/>
            </w14:solidFill>
          </w14:textFill>
        </w:rPr>
        <w:t>年，</w:t>
      </w:r>
      <w:r>
        <w:rPr>
          <w:rFonts w:hint="eastAsia" w:ascii="Times New Roman" w:hAnsi="Times New Roman" w:eastAsia="仿宋_GB2312"/>
          <w:sz w:val="32"/>
          <w:szCs w:val="32"/>
        </w:rPr>
        <w:t>隆回县审计局</w:t>
      </w:r>
      <w:r>
        <w:rPr>
          <w:rFonts w:hint="eastAsia" w:ascii="仿宋_GB2312" w:hAnsi="Arial" w:eastAsia="仿宋_GB2312" w:cs="Arial"/>
          <w:color w:val="000000" w:themeColor="text1"/>
          <w:sz w:val="32"/>
          <w:szCs w:val="32"/>
          <w14:textFill>
            <w14:solidFill>
              <w14:schemeClr w14:val="tx1"/>
            </w14:solidFill>
          </w14:textFill>
        </w:rPr>
        <w:t>在县委、县政府和上级审计机关的正确领导下，坚持</w:t>
      </w:r>
      <w:r>
        <w:rPr>
          <w:rFonts w:hint="eastAsia" w:ascii="仿宋_GB2312" w:hAnsi="微软雅黑" w:eastAsia="仿宋_GB2312"/>
          <w:color w:val="000000" w:themeColor="text1"/>
          <w:sz w:val="32"/>
          <w:szCs w:val="32"/>
          <w:shd w:val="clear" w:color="auto" w:fill="FFFFFF"/>
          <w14:textFill>
            <w14:solidFill>
              <w14:schemeClr w14:val="tx1"/>
            </w14:solidFill>
          </w14:textFill>
        </w:rPr>
        <w:t>以习近平新时代中国特色社会主义思想为指引，</w:t>
      </w:r>
      <w:r>
        <w:rPr>
          <w:rFonts w:hint="eastAsia" w:ascii="仿宋_GB2312" w:hAnsi="仿宋" w:eastAsia="仿宋_GB2312" w:cs="仿宋_GB2312"/>
          <w:color w:val="000000"/>
          <w:spacing w:val="7"/>
          <w:sz w:val="32"/>
          <w:szCs w:val="32"/>
          <w:shd w:val="clear" w:color="auto" w:fill="FFFFFF"/>
        </w:rPr>
        <w:t>全面贯彻习近平总书记关于审计工作的</w:t>
      </w:r>
      <w:bookmarkStart w:id="0" w:name="_GoBack"/>
      <w:bookmarkEnd w:id="0"/>
      <w:r>
        <w:rPr>
          <w:rFonts w:hint="eastAsia" w:ascii="仿宋_GB2312" w:hAnsi="仿宋" w:eastAsia="仿宋_GB2312" w:cs="仿宋_GB2312"/>
          <w:color w:val="000000"/>
          <w:spacing w:val="7"/>
          <w:sz w:val="32"/>
          <w:szCs w:val="32"/>
          <w:shd w:val="clear" w:color="auto" w:fill="FFFFFF"/>
        </w:rPr>
        <w:t>重要指示批示精神，</w:t>
      </w:r>
      <w:r>
        <w:rPr>
          <w:rFonts w:hint="eastAsia" w:ascii="仿宋_GB2312" w:eastAsia="仿宋_GB2312"/>
          <w:color w:val="000000" w:themeColor="text1"/>
          <w:sz w:val="32"/>
          <w:szCs w:val="32"/>
          <w:shd w:val="clear" w:color="auto" w:fill="FFFFFF"/>
          <w14:textFill>
            <w14:solidFill>
              <w14:schemeClr w14:val="tx1"/>
            </w14:solidFill>
          </w14:textFill>
        </w:rPr>
        <w:t>紧紧围绕县委、县政府中心工作，依法履行审计监督职责，不断创新审计方式方法，</w:t>
      </w:r>
      <w:r>
        <w:rPr>
          <w:rFonts w:hint="eastAsia" w:ascii="仿宋_GB2312" w:hAnsi="微软雅黑" w:eastAsia="仿宋_GB2312" w:cs="宋体"/>
          <w:color w:val="000000" w:themeColor="text1"/>
          <w:kern w:val="0"/>
          <w:sz w:val="32"/>
          <w:szCs w:val="32"/>
          <w14:textFill>
            <w14:solidFill>
              <w14:schemeClr w14:val="tx1"/>
            </w14:solidFill>
          </w14:textFill>
        </w:rPr>
        <w:t>充分发挥“经济卫士”作用，</w:t>
      </w:r>
      <w:r>
        <w:rPr>
          <w:rFonts w:hint="eastAsia" w:ascii="Times New Roman" w:hAnsi="Times New Roman" w:eastAsia="仿宋_GB2312" w:cs="仿宋_GB2312"/>
          <w:sz w:val="32"/>
          <w:szCs w:val="32"/>
        </w:rPr>
        <w:t>圆满完成各项工作任务。再次成功</w:t>
      </w:r>
      <w:r>
        <w:rPr>
          <w:rFonts w:hint="eastAsia" w:eastAsia="仿宋_GB2312" w:cs="仿宋_GB2312"/>
          <w:sz w:val="32"/>
          <w:szCs w:val="32"/>
          <w:lang w:val="en-US" w:eastAsia="zh-CN"/>
        </w:rPr>
        <w:t>获评</w:t>
      </w:r>
      <w:r>
        <w:rPr>
          <w:rFonts w:hint="eastAsia" w:ascii="Times New Roman" w:hAnsi="Times New Roman" w:eastAsia="仿宋_GB2312" w:cs="仿宋_GB2312"/>
          <w:sz w:val="32"/>
          <w:szCs w:val="32"/>
        </w:rPr>
        <w:t>湖南省文明单位</w:t>
      </w:r>
      <w:r>
        <w:rPr>
          <w:rFonts w:hint="eastAsia" w:ascii="仿宋_GB2312" w:hAnsi="微软雅黑" w:eastAsia="仿宋_GB2312" w:cs="宋体"/>
          <w:color w:val="000000" w:themeColor="text1"/>
          <w:kern w:val="0"/>
          <w:sz w:val="32"/>
          <w:szCs w:val="32"/>
          <w14:textFill>
            <w14:solidFill>
              <w14:schemeClr w14:val="tx1"/>
            </w14:solidFill>
          </w14:textFill>
        </w:rPr>
        <w:t>。</w:t>
      </w:r>
    </w:p>
    <w:p w14:paraId="771962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全年共完成审计项目54个，查出各类违规金额1360万元，管理不规范金额63780万元，提出审计建议41条，移送案件线索2起。</w:t>
      </w:r>
    </w:p>
    <w:p w14:paraId="205E0A9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14:paraId="4FBD0C1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rPr>
      </w:pPr>
      <w:r>
        <w:rPr>
          <w:rFonts w:hint="eastAsia" w:ascii="仿宋_GB2312" w:hAnsi="仿宋_GB2312" w:eastAsia="仿宋_GB2312" w:cs="仿宋_GB2312"/>
          <w:kern w:val="2"/>
          <w:sz w:val="32"/>
          <w:szCs w:val="32"/>
          <w:lang w:val="en-US" w:eastAsia="zh-CN" w:bidi="ar"/>
        </w:rPr>
        <w:t>随着审计全覆盖的实行，审计任务繁重与审计力量不足的矛盾比较突出，加之抽调人员频繁，时常显得审计力量捉襟见肘，进一步提升审计工作效能有待加强。</w:t>
      </w:r>
    </w:p>
    <w:p w14:paraId="41C3C0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五、改进措施和有关建议</w:t>
      </w:r>
    </w:p>
    <w:p w14:paraId="3050970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加强审计人员业务知识培训，促进研究型审计。根据上级审计机关促进研究型审计的要求和现代审计发展的需要，对</w:t>
      </w:r>
      <w:r>
        <w:rPr>
          <w:rFonts w:hint="eastAsia" w:ascii="仿宋_GB2312" w:hAnsi="仿宋_GB2312" w:eastAsia="仿宋_GB2312" w:cs="仿宋_GB2312"/>
          <w:color w:val="000000"/>
          <w:sz w:val="32"/>
          <w:szCs w:val="32"/>
          <w:shd w:val="clear" w:color="auto" w:fill="FFFFFF"/>
        </w:rPr>
        <w:t>审计人员</w:t>
      </w:r>
      <w:r>
        <w:rPr>
          <w:rFonts w:hint="eastAsia" w:ascii="仿宋_GB2312" w:hAnsi="仿宋_GB2312" w:eastAsia="仿宋_GB2312" w:cs="仿宋_GB2312"/>
          <w:color w:val="000000"/>
          <w:sz w:val="32"/>
          <w:szCs w:val="32"/>
          <w:shd w:val="clear" w:color="auto" w:fill="FFFFFF"/>
          <w:lang w:val="en-US" w:eastAsia="zh-CN"/>
        </w:rPr>
        <w:t>综合素质</w:t>
      </w:r>
      <w:r>
        <w:rPr>
          <w:rFonts w:hint="eastAsia" w:ascii="仿宋_GB2312" w:hAnsi="仿宋_GB2312" w:eastAsia="仿宋_GB2312" w:cs="仿宋_GB2312"/>
          <w:color w:val="000000"/>
          <w:sz w:val="32"/>
          <w:szCs w:val="32"/>
          <w:shd w:val="clear" w:color="auto" w:fill="FFFFFF"/>
        </w:rPr>
        <w:t>的要求</w:t>
      </w:r>
      <w:r>
        <w:rPr>
          <w:rFonts w:hint="eastAsia" w:ascii="仿宋_GB2312" w:hAnsi="仿宋_GB2312" w:eastAsia="仿宋_GB2312" w:cs="仿宋_GB2312"/>
          <w:color w:val="000000"/>
          <w:sz w:val="32"/>
          <w:szCs w:val="32"/>
          <w:shd w:val="clear" w:color="auto" w:fill="FFFFFF"/>
          <w:lang w:val="en-US" w:eastAsia="zh-CN"/>
        </w:rPr>
        <w:t>越来越高</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现阶段我单位</w:t>
      </w:r>
      <w:r>
        <w:rPr>
          <w:rFonts w:hint="eastAsia" w:ascii="仿宋_GB2312" w:hAnsi="仿宋_GB2312" w:eastAsia="仿宋_GB2312" w:cs="仿宋_GB2312"/>
          <w:color w:val="000000"/>
          <w:sz w:val="32"/>
          <w:szCs w:val="32"/>
          <w:shd w:val="clear" w:color="auto" w:fill="FFFFFF"/>
        </w:rPr>
        <w:t>审计人员</w:t>
      </w:r>
      <w:r>
        <w:rPr>
          <w:rFonts w:hint="eastAsia" w:ascii="仿宋_GB2312" w:hAnsi="仿宋_GB2312" w:eastAsia="仿宋_GB2312" w:cs="仿宋_GB2312"/>
          <w:color w:val="000000"/>
          <w:sz w:val="32"/>
          <w:szCs w:val="32"/>
          <w:shd w:val="clear" w:color="auto" w:fill="FFFFFF"/>
          <w:lang w:val="en-US" w:eastAsia="zh-CN"/>
        </w:rPr>
        <w:t>大部分为财务审计专业人员，</w:t>
      </w:r>
      <w:r>
        <w:rPr>
          <w:rFonts w:hint="eastAsia" w:ascii="仿宋_GB2312" w:hAnsi="仿宋_GB2312" w:eastAsia="仿宋_GB2312" w:cs="仿宋_GB2312"/>
          <w:color w:val="000000"/>
          <w:sz w:val="32"/>
          <w:szCs w:val="32"/>
          <w:shd w:val="clear" w:color="auto" w:fill="FFFFFF"/>
        </w:rPr>
        <w:t>知识结构</w:t>
      </w:r>
      <w:r>
        <w:rPr>
          <w:rFonts w:hint="eastAsia" w:ascii="仿宋_GB2312" w:hAnsi="仿宋_GB2312" w:eastAsia="仿宋_GB2312" w:cs="仿宋_GB2312"/>
          <w:color w:val="000000"/>
          <w:sz w:val="32"/>
          <w:szCs w:val="32"/>
          <w:shd w:val="clear" w:color="auto" w:fill="FFFFFF"/>
          <w:lang w:val="en-US" w:eastAsia="zh-CN"/>
        </w:rPr>
        <w:t>相对</w:t>
      </w:r>
      <w:r>
        <w:rPr>
          <w:rFonts w:hint="eastAsia" w:ascii="仿宋_GB2312" w:hAnsi="仿宋_GB2312" w:eastAsia="仿宋_GB2312" w:cs="仿宋_GB2312"/>
          <w:color w:val="000000"/>
          <w:sz w:val="32"/>
          <w:szCs w:val="32"/>
          <w:shd w:val="clear" w:color="auto" w:fill="FFFFFF"/>
        </w:rPr>
        <w:t>单一，计算机审计水平</w:t>
      </w:r>
      <w:r>
        <w:rPr>
          <w:rFonts w:hint="eastAsia" w:ascii="仿宋_GB2312" w:hAnsi="仿宋_GB2312" w:eastAsia="仿宋_GB2312" w:cs="仿宋_GB2312"/>
          <w:color w:val="000000"/>
          <w:sz w:val="32"/>
          <w:szCs w:val="32"/>
          <w:shd w:val="clear" w:color="auto" w:fill="FFFFFF"/>
          <w:lang w:val="en-US" w:eastAsia="zh-CN"/>
        </w:rPr>
        <w:t>有待提高</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要加大对审计人员业务知识学习和培训的力度</w:t>
      </w:r>
      <w:r>
        <w:rPr>
          <w:rFonts w:hint="eastAsia" w:ascii="仿宋_GB2312" w:hAnsi="仿宋_GB2312" w:eastAsia="仿宋_GB2312" w:cs="仿宋_GB2312"/>
          <w:kern w:val="2"/>
          <w:sz w:val="32"/>
          <w:szCs w:val="32"/>
          <w:lang w:val="en-US" w:eastAsia="zh-CN" w:bidi="ar"/>
        </w:rPr>
        <w:t>。</w:t>
      </w:r>
    </w:p>
    <w:p w14:paraId="255791D2">
      <w:pPr>
        <w:pStyle w:val="8"/>
        <w:ind w:left="0" w:leftChars="0" w:firstLine="0" w:firstLineChars="0"/>
        <w:rPr>
          <w:rFonts w:hint="eastAsia" w:ascii="仿宋" w:hAnsi="仿宋" w:eastAsia="仿宋" w:cs="仿宋"/>
          <w:color w:val="000000" w:themeColor="text1"/>
          <w:sz w:val="32"/>
          <w:szCs w:val="32"/>
          <w14:textFill>
            <w14:solidFill>
              <w14:schemeClr w14:val="tx1"/>
            </w14:solidFill>
          </w14:textFill>
        </w:rPr>
      </w:pPr>
    </w:p>
    <w:p w14:paraId="3AC36B9D">
      <w:pPr>
        <w:pStyle w:val="2"/>
        <w:rPr>
          <w:rFonts w:hint="eastAsia"/>
        </w:rPr>
      </w:pP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5CC9906-280A-4E8B-BB41-74AC5496E857}"/>
  </w:font>
  <w:font w:name="黑体">
    <w:panose1 w:val="02010609060101010101"/>
    <w:charset w:val="86"/>
    <w:family w:val="auto"/>
    <w:pitch w:val="default"/>
    <w:sig w:usb0="800002BF" w:usb1="38CF7CFA" w:usb2="00000016" w:usb3="00000000" w:csb0="00040001" w:csb1="00000000"/>
    <w:embedRegular r:id="rId2" w:fontKey="{8BD09FFB-FC56-44E7-921C-1C79BB86EB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4644FE1E-FE0A-48D4-A796-5021B8CAD0DC}"/>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6B48D832-AFAA-482B-8E33-4C1F26000D9A}"/>
  </w:font>
  <w:font w:name="方正大标宋简体">
    <w:panose1 w:val="02000000000000000000"/>
    <w:charset w:val="86"/>
    <w:family w:val="auto"/>
    <w:pitch w:val="default"/>
    <w:sig w:usb0="A00002BF" w:usb1="184F6CFA" w:usb2="00000012" w:usb3="00000000" w:csb0="00040001" w:csb1="00000000"/>
    <w:embedRegular r:id="rId5" w:fontKey="{8658D4FD-C181-4BE2-B82E-8491FC356438}"/>
  </w:font>
  <w:font w:name="楷体">
    <w:panose1 w:val="02010609060101010101"/>
    <w:charset w:val="86"/>
    <w:family w:val="auto"/>
    <w:pitch w:val="default"/>
    <w:sig w:usb0="800002BF" w:usb1="38CF7CFA" w:usb2="00000016" w:usb3="00000000" w:csb0="00040001" w:csb1="00000000"/>
    <w:embedRegular r:id="rId6" w:fontKey="{57D097AD-213C-4B4F-9BDD-2AF10503CCF2}"/>
  </w:font>
  <w:font w:name="微软雅黑">
    <w:panose1 w:val="020B0503020204020204"/>
    <w:charset w:val="86"/>
    <w:family w:val="swiss"/>
    <w:pitch w:val="default"/>
    <w:sig w:usb0="80000287" w:usb1="2ACF3C50" w:usb2="00000016" w:usb3="00000000" w:csb0="0004001F" w:csb1="00000000"/>
    <w:embedRegular r:id="rId7" w:fontKey="{298BD09B-35BB-467F-ACAD-E404E7E16B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445F2">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20200">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F720200">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19E94">
    <w:pPr>
      <w:pStyle w:val="5"/>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14:paraId="02AECDA9">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01E6">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096E0"/>
    <w:multiLevelType w:val="singleLevel"/>
    <w:tmpl w:val="F98096E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NGQyMjVkZjBlNGNmMGFiOTdhY2QyNDg3MmUwYzQ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F2B16"/>
    <w:rsid w:val="07287718"/>
    <w:rsid w:val="074D22E3"/>
    <w:rsid w:val="077E558A"/>
    <w:rsid w:val="086C1887"/>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C57FC2"/>
    <w:rsid w:val="13DD7ADC"/>
    <w:rsid w:val="13E40E6B"/>
    <w:rsid w:val="13EB2DF0"/>
    <w:rsid w:val="13EB3FA7"/>
    <w:rsid w:val="14237BE5"/>
    <w:rsid w:val="144F5156"/>
    <w:rsid w:val="14740441"/>
    <w:rsid w:val="14B52807"/>
    <w:rsid w:val="15916DD0"/>
    <w:rsid w:val="167504A0"/>
    <w:rsid w:val="1711641B"/>
    <w:rsid w:val="17233A58"/>
    <w:rsid w:val="174148B4"/>
    <w:rsid w:val="1767588B"/>
    <w:rsid w:val="176D1177"/>
    <w:rsid w:val="18383533"/>
    <w:rsid w:val="184E2D57"/>
    <w:rsid w:val="18956BD8"/>
    <w:rsid w:val="18BC23B6"/>
    <w:rsid w:val="18D538B0"/>
    <w:rsid w:val="18E032C2"/>
    <w:rsid w:val="19954A44"/>
    <w:rsid w:val="19A277FE"/>
    <w:rsid w:val="1A073B05"/>
    <w:rsid w:val="1A5605E9"/>
    <w:rsid w:val="1B326960"/>
    <w:rsid w:val="1B8B42C2"/>
    <w:rsid w:val="1BCD6688"/>
    <w:rsid w:val="1BD417C5"/>
    <w:rsid w:val="1CB05D8E"/>
    <w:rsid w:val="1CCF110C"/>
    <w:rsid w:val="1D743260"/>
    <w:rsid w:val="1D9456B0"/>
    <w:rsid w:val="1DEB1048"/>
    <w:rsid w:val="1E0F4D36"/>
    <w:rsid w:val="1E164317"/>
    <w:rsid w:val="1EDD568A"/>
    <w:rsid w:val="1F3D3B25"/>
    <w:rsid w:val="1F6A28DC"/>
    <w:rsid w:val="1FA31533"/>
    <w:rsid w:val="1FDB75C6"/>
    <w:rsid w:val="206A094A"/>
    <w:rsid w:val="211A411E"/>
    <w:rsid w:val="21260D15"/>
    <w:rsid w:val="21274A8D"/>
    <w:rsid w:val="213827F6"/>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3908EB"/>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8E73BCD"/>
    <w:rsid w:val="29037B8D"/>
    <w:rsid w:val="2A5341FD"/>
    <w:rsid w:val="2A706BB3"/>
    <w:rsid w:val="2A7C719C"/>
    <w:rsid w:val="2A974647"/>
    <w:rsid w:val="2B5446D0"/>
    <w:rsid w:val="2B563FA5"/>
    <w:rsid w:val="2B591CE7"/>
    <w:rsid w:val="2B7679E1"/>
    <w:rsid w:val="2B7E52A9"/>
    <w:rsid w:val="2B926A7E"/>
    <w:rsid w:val="2B942D1F"/>
    <w:rsid w:val="2C1125C1"/>
    <w:rsid w:val="2C2B5641"/>
    <w:rsid w:val="2CAE79CE"/>
    <w:rsid w:val="2CB6067E"/>
    <w:rsid w:val="2CC66F08"/>
    <w:rsid w:val="2CCA094F"/>
    <w:rsid w:val="2D610085"/>
    <w:rsid w:val="2E1B3283"/>
    <w:rsid w:val="2E2B5E45"/>
    <w:rsid w:val="2E515D05"/>
    <w:rsid w:val="2F9C21A2"/>
    <w:rsid w:val="2FC02FA6"/>
    <w:rsid w:val="2FD22068"/>
    <w:rsid w:val="2FDC6A42"/>
    <w:rsid w:val="2FE57F9B"/>
    <w:rsid w:val="2FF4311D"/>
    <w:rsid w:val="2FF745A3"/>
    <w:rsid w:val="304341E1"/>
    <w:rsid w:val="304D7ABC"/>
    <w:rsid w:val="30901D07"/>
    <w:rsid w:val="30F878AC"/>
    <w:rsid w:val="313230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7D5E4C"/>
    <w:rsid w:val="339A4C4A"/>
    <w:rsid w:val="33A04957"/>
    <w:rsid w:val="33D939C5"/>
    <w:rsid w:val="34B8182C"/>
    <w:rsid w:val="3546366F"/>
    <w:rsid w:val="35492DCC"/>
    <w:rsid w:val="357070B5"/>
    <w:rsid w:val="35867B7C"/>
    <w:rsid w:val="36044D95"/>
    <w:rsid w:val="372907BF"/>
    <w:rsid w:val="376A3C4C"/>
    <w:rsid w:val="377D6D5D"/>
    <w:rsid w:val="3784676E"/>
    <w:rsid w:val="379672CC"/>
    <w:rsid w:val="37CD55EE"/>
    <w:rsid w:val="37D270A9"/>
    <w:rsid w:val="38761300"/>
    <w:rsid w:val="38D330D8"/>
    <w:rsid w:val="38E452E6"/>
    <w:rsid w:val="38F90665"/>
    <w:rsid w:val="38FC7F68"/>
    <w:rsid w:val="391E32EE"/>
    <w:rsid w:val="39C175C6"/>
    <w:rsid w:val="3A754CC9"/>
    <w:rsid w:val="3A771FCA"/>
    <w:rsid w:val="3B082DE1"/>
    <w:rsid w:val="3B4A51A8"/>
    <w:rsid w:val="3B563B4D"/>
    <w:rsid w:val="3BD8712F"/>
    <w:rsid w:val="3BDC6748"/>
    <w:rsid w:val="3BEA370A"/>
    <w:rsid w:val="3C6B3628"/>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5B0332"/>
    <w:rsid w:val="418307B3"/>
    <w:rsid w:val="41A25D3E"/>
    <w:rsid w:val="41CC2DBB"/>
    <w:rsid w:val="42A25018"/>
    <w:rsid w:val="42E80618"/>
    <w:rsid w:val="42E867DB"/>
    <w:rsid w:val="434A21E9"/>
    <w:rsid w:val="435B61A4"/>
    <w:rsid w:val="43925E19"/>
    <w:rsid w:val="43E6398E"/>
    <w:rsid w:val="44A818BD"/>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797870"/>
    <w:rsid w:val="4C8F67D9"/>
    <w:rsid w:val="4C9E5354"/>
    <w:rsid w:val="4D1A7BD6"/>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FE57CA"/>
    <w:rsid w:val="56231F37"/>
    <w:rsid w:val="562B40FC"/>
    <w:rsid w:val="563C6D66"/>
    <w:rsid w:val="565C4B5A"/>
    <w:rsid w:val="57034731"/>
    <w:rsid w:val="578E37A1"/>
    <w:rsid w:val="579D2DD8"/>
    <w:rsid w:val="57DB3900"/>
    <w:rsid w:val="58C76ABA"/>
    <w:rsid w:val="58E10AA2"/>
    <w:rsid w:val="592B7F6F"/>
    <w:rsid w:val="59941FB8"/>
    <w:rsid w:val="59CA59DA"/>
    <w:rsid w:val="59E6357F"/>
    <w:rsid w:val="59E7033A"/>
    <w:rsid w:val="5A026F22"/>
    <w:rsid w:val="5A696FA1"/>
    <w:rsid w:val="5AC02939"/>
    <w:rsid w:val="5B523ED9"/>
    <w:rsid w:val="5B955B74"/>
    <w:rsid w:val="5C3F445D"/>
    <w:rsid w:val="5C8400C2"/>
    <w:rsid w:val="5C910A31"/>
    <w:rsid w:val="5D415FB3"/>
    <w:rsid w:val="5D6C7344"/>
    <w:rsid w:val="5DEB7F5C"/>
    <w:rsid w:val="5E007C1C"/>
    <w:rsid w:val="5E5E5BE2"/>
    <w:rsid w:val="5EA551F5"/>
    <w:rsid w:val="5F41673E"/>
    <w:rsid w:val="5F4D50E3"/>
    <w:rsid w:val="5F773F0E"/>
    <w:rsid w:val="5FB70BF2"/>
    <w:rsid w:val="5FBA3DFB"/>
    <w:rsid w:val="5FF732A1"/>
    <w:rsid w:val="600752CD"/>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6A3541"/>
    <w:rsid w:val="6703077D"/>
    <w:rsid w:val="670B01C0"/>
    <w:rsid w:val="672C7CD4"/>
    <w:rsid w:val="673C2527"/>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14F6A99"/>
    <w:rsid w:val="71DB032D"/>
    <w:rsid w:val="71F0075E"/>
    <w:rsid w:val="723637B5"/>
    <w:rsid w:val="724265FE"/>
    <w:rsid w:val="73301622"/>
    <w:rsid w:val="7343262D"/>
    <w:rsid w:val="738B5D82"/>
    <w:rsid w:val="73DE04A0"/>
    <w:rsid w:val="743957DE"/>
    <w:rsid w:val="744523C5"/>
    <w:rsid w:val="745037BC"/>
    <w:rsid w:val="7460720F"/>
    <w:rsid w:val="7463506E"/>
    <w:rsid w:val="74A40EAA"/>
    <w:rsid w:val="767C2482"/>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A5688A"/>
    <w:rsid w:val="7AF4420D"/>
    <w:rsid w:val="7AFE508C"/>
    <w:rsid w:val="7B09415C"/>
    <w:rsid w:val="7B3D3D71"/>
    <w:rsid w:val="7B5573A2"/>
    <w:rsid w:val="7D124E1E"/>
    <w:rsid w:val="7D2A54B9"/>
    <w:rsid w:val="7D611C65"/>
    <w:rsid w:val="7D817E5A"/>
    <w:rsid w:val="7D871368"/>
    <w:rsid w:val="7D887789"/>
    <w:rsid w:val="7D8C697F"/>
    <w:rsid w:val="7D9B4E14"/>
    <w:rsid w:val="7DB22977"/>
    <w:rsid w:val="7DBA7990"/>
    <w:rsid w:val="7E745D91"/>
    <w:rsid w:val="7E747B3F"/>
    <w:rsid w:val="7EB048EF"/>
    <w:rsid w:val="7F930498"/>
    <w:rsid w:val="7F945FBF"/>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after="200" w:line="276" w:lineRule="auto"/>
    </w:pPr>
    <w:rPr>
      <w:rFonts w:ascii="Arial" w:hAnsi="Arial" w:eastAsia="宋体"/>
      <w:sz w:val="24"/>
      <w:szCs w:val="24"/>
    </w:rPr>
  </w:style>
  <w:style w:type="paragraph" w:styleId="4">
    <w:name w:val="Body Text Indent"/>
    <w:basedOn w:val="1"/>
    <w:autoRedefine/>
    <w:qFormat/>
    <w:uiPriority w:val="0"/>
    <w:pPr>
      <w:ind w:firstLine="640" w:firstLineChars="200"/>
    </w:pPr>
    <w:rPr>
      <w:sz w:val="32"/>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2"/>
    <w:basedOn w:val="4"/>
    <w:autoRedefine/>
    <w:qFormat/>
    <w:uiPriority w:val="99"/>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3702</Words>
  <Characters>3945</Characters>
  <Lines>0</Lines>
  <Paragraphs>0</Paragraphs>
  <TotalTime>77</TotalTime>
  <ScaleCrop>false</ScaleCrop>
  <LinksUpToDate>false</LinksUpToDate>
  <CharactersWithSpaces>4135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LNY</cp:lastModifiedBy>
  <cp:lastPrinted>2024-06-28T03:59:00Z</cp:lastPrinted>
  <dcterms:modified xsi:type="dcterms:W3CDTF">2024-09-09T03:14:27Z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C92CA80EC9334B7F90B16E6CE7CF2ECF_13</vt:lpwstr>
  </property>
</Properties>
</file>