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隆回县审计局</w:t>
      </w: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5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年部门绩效自评报告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2"/>
          <w:sz w:val="32"/>
          <w:szCs w:val="22"/>
          <w:lang w:val="en-US" w:eastAsia="zh-CN" w:bidi="ar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一、部门概况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（一）部门基本情况</w:t>
      </w:r>
    </w:p>
    <w:p>
      <w:pPr>
        <w:spacing w:line="60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隆回县审计局主要工作职责是对县本级财政预算执行和其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财政收支、行政企事业单位财政财务收支、各项财政性专项资金、县管党政领导干部任期经济责任、自然资源和环保、政府投资项目等进行审计监督。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隆回县审计局编制人数为37人，实有在职人数37人。无公车。房屋面积1838平方米。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的重点工作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70" w:lineRule="exact"/>
        <w:ind w:firstLine="643" w:firstLineChars="200"/>
        <w:contextualSpacing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1.财政审计全覆盖、延深度。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依托大数据审计，对县本级所有一级预算单位进行审计，延伸对县人社局进行部门预算执行审计、对桃花坪街道和花门街道进行决算审计，完成财务财政收支、专项资金等审计项目29个，促进深化财政体制改革，维护财政纪律严肃性，助推提高财政管理水平。</w:t>
      </w:r>
    </w:p>
    <w:p>
      <w:pPr>
        <w:spacing w:line="570" w:lineRule="exact"/>
        <w:ind w:firstLine="643" w:firstLineChars="200"/>
        <w:contextualSpacing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2.投资审计转方式、拓广度。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出台政府投资建设项目审计监督实施办法、委托社会中介机构审计管理办法，聘请中介机构参与400万元以下项目审计。完成审计项目124个，节约政府建设资金7590万元，其中自主完成投资审计项目51个，送审金额66366万元，审减金额6707万元；委托中介机构完成投资审计项目73个，送审金额11451万元，审减金额883万元。取消6家中介机构在隆审计资格。</w:t>
      </w:r>
    </w:p>
    <w:p>
      <w:pPr>
        <w:spacing w:line="570" w:lineRule="exact"/>
        <w:ind w:firstLine="643" w:firstLineChars="200"/>
        <w:contextualSpacing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3.民生审计有成效、显温度。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紧紧围绕人民群众最关心的利益问题加强审计监督。按照“清廉医保”整治要求，对25个乡镇卫生院开展了专项审计，查出违规金额1700余万元。配合开展全县光伏发电项目建设专项审计调查，助力巩固脱贫攻坚与乡村振兴有效衔接。</w:t>
      </w:r>
    </w:p>
    <w:p>
      <w:pPr>
        <w:spacing w:line="570" w:lineRule="exact"/>
        <w:ind w:firstLine="643" w:firstLineChars="200"/>
        <w:contextualSpacing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4.科技强审稳推进、提准度。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运用计算机大数据分析技术，提高审计质量和效率。财政预算执行审计中，以“总体分析、发现疑点、分散核查、系统研究”的数字化审计模式，催缴入库36205万元。在延伸教育系统非税收入征管审计中，运用大数据查出700万元没按规定缴入国库。</w:t>
      </w:r>
    </w:p>
    <w:p>
      <w:pPr>
        <w:pStyle w:val="5"/>
        <w:shd w:val="clear" w:color="auto" w:fill="FFFFFF"/>
        <w:spacing w:before="0" w:beforeAutospacing="0" w:after="0" w:afterAutospacing="0" w:line="570" w:lineRule="exact"/>
        <w:ind w:firstLine="643" w:firstLineChars="200"/>
        <w:textAlignment w:val="baseline"/>
        <w:rPr>
          <w:rFonts w:ascii="仿宋_GB2312" w:hAnsi="微软雅黑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5.审计整改重联动、增力度。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加强与县人大财经委、县纪委监委等多部门联动，组建专门检查组，督促21个单位认真进行审计整改，整改问题103个，整改率达91%，完善管理制度17项。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二、部门整体支出管理及使用情况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（一）基本支出情况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2021年基本支出年终决算数为770.37万元，是指为保障单位正常运转、完成日常工作任务而发生的各项支出，包括用于基本工资、津贴补贴等人员经费以及办公费、印刷费、水电费及办公设备购置、其他交通费、委托社会中介机构审计费等日常公用经费。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（二）项目支出情况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2021年度无专项项目资金支出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因公出国（境）费用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  <w:lang w:val="en-US" w:eastAsia="zh-CN"/>
        </w:rPr>
        <w:t>2021年单位无因公出国（境）费用。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2.公务接</w:t>
      </w:r>
      <w:r>
        <w:rPr>
          <w:rFonts w:hint="eastAsia" w:eastAsia="仿宋_GB2312"/>
          <w:sz w:val="32"/>
          <w:szCs w:val="32"/>
          <w:lang w:val="en-US" w:eastAsia="zh-CN"/>
        </w:rPr>
        <w:t>待费；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2021年单位“三公”经费实际支出数0.43万元，其中：公务接待费0.43万元。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公务用车购置及运行费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单位无公车。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全面贯彻党的十九大和十九届历次全会精神，在县委、县政府和上级审计机关的坚强领导下，紧紧围绕中心、服务大局，依法履行监督职责，不断深化审计内容，拓宽审计领域，创新审计方式，较好地发挥了审计监督职能作用。继续保持“湖南省文明单位”荣誉称号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被湖南省审计厅评为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2021年度审计宣传通联工作先进单位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共完成审计项目80个（其中工程造价结算项目51个，送审工程结算造价总额为54768.77万元，审计核减工程款4443万元），查出各类违规金额2749万元，管理不规范金额8566万元，调账处理金额998万元，提出审计建议95条，被采纳82条，移送案件线索12起，其中向县纪委监委移送5起；委托社会机构审计项目73个，送审工程结算造价总额为11450.88万元，核减工程款883.3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主要是：审计业务人手不够。我局是一个业务性极强的单位，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临时交办任务多、综合部门抽调人员情况较突出，既要做好审计业务工作，又要统筹兼顾各方面工作，时间紧、人员少、任务重的矛盾更加突出，在一定程度上影响了审计工作成效。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五、改进措施和有关建议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1.加大审计人员学习培训经费投入。经济的日趋发展导致对现代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审计人员素质的要求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越来越高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我局目前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审计人员知识结构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比较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单一，复合型人才较少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特别是计算机审计、自然资源资产审计水平有待提高，所以审计人员业务学习和培训力度需大力加强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2.增加审计专业人员。随着经济社会的发展，审计监督的职能越发重要，审计项目增多，审计业务繁重，伴随着现阶段我局审计人员结构偏老龄化，急需增加年轻的审计干部，为审计事业的发展添砖加瓦。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GQyMjVkZjBlNGNmMGFiOTdhY2QyNDg3MmUwYzQifQ=="/>
  </w:docVars>
  <w:rsids>
    <w:rsidRoot w:val="00000000"/>
    <w:rsid w:val="097766BD"/>
    <w:rsid w:val="0C177D5B"/>
    <w:rsid w:val="13117359"/>
    <w:rsid w:val="148B0D2F"/>
    <w:rsid w:val="19AF3CC9"/>
    <w:rsid w:val="1E8E1DF5"/>
    <w:rsid w:val="2DB725BB"/>
    <w:rsid w:val="38C90369"/>
    <w:rsid w:val="3AF8330C"/>
    <w:rsid w:val="462B4F2F"/>
    <w:rsid w:val="471137E6"/>
    <w:rsid w:val="47DE18CF"/>
    <w:rsid w:val="52C8405D"/>
    <w:rsid w:val="551C5E6E"/>
    <w:rsid w:val="6B932570"/>
    <w:rsid w:val="7355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1908</Characters>
  <Lines>0</Lines>
  <Paragraphs>0</Paragraphs>
  <TotalTime>23</TotalTime>
  <ScaleCrop>false</ScaleCrop>
  <LinksUpToDate>false</LinksUpToDate>
  <CharactersWithSpaces>1969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2022-04-25T02:01:00Z</dcterms:created>
  <dc:creator>LNY</dc:creator>
  <cp:lastModifiedBy>艳子</cp:lastModifiedBy>
  <cp:lastPrinted>2022-08-18T07:34:00Z</cp:lastPrinted>
  <dcterms:modified xsi:type="dcterms:W3CDTF">2022-08-22T01:32:11Z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commondata">
    <vt:lpwstr>eyJoZGlkIjoiZjE1NGQyMjVkZjBlNGNmMGFiOTdhY2QyNDg3MmUwYzQifQ==</vt:lpwstr>
  </property>
  <property fmtid="{D5CDD505-2E9C-101B-9397-08002B2CF9AE}" pid="4" name="ICV">
    <vt:lpwstr>0F34A79857BB4D69974714A3B66204ED</vt:lpwstr>
  </property>
</Properties>
</file>