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LHDR-2022-00002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隆政发〔2022〕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10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隆回县人民政府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关于印发《隆回县实施市场主体高质量发展倍增工程行动方案（2022-2025年）》的通知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各乡镇人民政府、街道办事处，县直及省市驻隆各相关单位：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《隆回县实施市场主体高质量发展倍增工程行动方案（2022-2025年）》已经县人民政府同意，现印发给你们，请认真遵照执行。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隆回县人民政府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96" w:firstLineChars="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2022年3月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1701" w:right="1417" w:bottom="1417" w:left="1417" w:header="851" w:footer="1134" w:gutter="0"/>
          <w:pgNumType w:fmt="numberInDash"/>
          <w:cols w:space="720" w:num="1"/>
          <w:docGrid w:type="lines" w:linePitch="491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隆回县实施市场主体高质量发展倍增工程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行动方案（2022-2025年）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为全面落实“三高四新”战略定位和使命任务，推进“三宜三融三区”现代化新隆回高质量发展，持续深化“放管服”改革优化营商环境，促进市场主体高质量发展，按照《湖南省人民政府关于</w:t>
      </w:r>
      <w:r>
        <w:rPr>
          <w:rFonts w:hint="eastAsia" w:ascii="仿宋" w:hAnsi="仿宋" w:eastAsia="仿宋" w:cs="宋体"/>
          <w:sz w:val="32"/>
          <w:szCs w:val="32"/>
        </w:rPr>
        <w:t>优化营商环境促进市场主体高质量发展的意见</w:t>
      </w:r>
      <w:r>
        <w:rPr>
          <w:rFonts w:hint="eastAsia" w:ascii="仿宋" w:hAnsi="仿宋" w:eastAsia="仿宋"/>
          <w:sz w:val="32"/>
          <w:szCs w:val="32"/>
        </w:rPr>
        <w:t>》（湘政发〔2022〕2号）和《邵阳市优化营商环境促进市场主体高质量发展实施方案（2022-2025年）》（邵市政发</w:t>
      </w:r>
      <w:r>
        <w:rPr>
          <w:rFonts w:hint="eastAsia" w:ascii="仿宋" w:hAnsi="仿宋" w:eastAsia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</w:rPr>
        <w:t>3号）要求，结合我县实际，特制定本行动方案。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贯彻党的十九大和十九届历次全会精神，深入落实习近平总书记对湖南重要讲话重要指示批示精神，按照省市第十二次党代会和县第十三次党代会部署要求，大力优化营商环境，实施优质企业梯度培育行动和市场主体倍增工程，加快建设高标准市场体系，在真抓实干中闯出市场主体高质量发展的新路子，为推动“三宜三融三区”现代化新隆回经济社会高质量发展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二、发展目标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——市场主体总量显著增长。市场主体生命力、活跃度不断提升，总量持续增长。到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年末，全县市场主体力争达到</w:t>
      </w: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万户。其中，企业</w:t>
      </w:r>
      <w:r>
        <w:rPr>
          <w:rFonts w:hint="eastAsia" w:ascii="仿宋" w:hAnsi="仿宋" w:eastAsia="仿宋" w:cs="Times New Roman"/>
          <w:sz w:val="32"/>
          <w:szCs w:val="32"/>
        </w:rPr>
        <w:t>2.8</w:t>
      </w:r>
      <w:r>
        <w:rPr>
          <w:rFonts w:hint="eastAsia" w:ascii="仿宋" w:hAnsi="仿宋" w:eastAsia="仿宋"/>
          <w:sz w:val="32"/>
          <w:szCs w:val="32"/>
        </w:rPr>
        <w:t>万户，个体工商户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农民专业合作社</w:t>
      </w:r>
      <w:r>
        <w:rPr>
          <w:rFonts w:hint="eastAsia" w:ascii="仿宋" w:hAnsi="仿宋" w:eastAsia="仿宋" w:cs="Times New Roman"/>
          <w:sz w:val="32"/>
          <w:szCs w:val="32"/>
        </w:rPr>
        <w:t>7.2</w:t>
      </w:r>
      <w:r>
        <w:rPr>
          <w:rFonts w:hint="eastAsia" w:ascii="仿宋" w:hAnsi="仿宋" w:eastAsia="仿宋"/>
          <w:sz w:val="32"/>
          <w:szCs w:val="32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结构不断优化。市场主体多元发展，三次产业布局更加合理，“三个高地”支撑更加有力。到2025年末，全县规模以上农产品加工企业、建筑业企业、服务业企业和限额以上商贸流通企业、“四上”文化旅游企业分别净增加62户、19户、97户、101户、60户，规模以上工业企业、高新技术企业、外商投资企业、外贸实绩企业分别突破 300户、60户、20户、40 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市场主体质量稳步提升。加快“个转企、小升规、规改股、股上市”提档升级，市场主体综合实力、创新能力、经济效益不断提升，实现绿色化、有质量的增长。到2025年末，引进“三类500强”企业10家、上市公司5家，</w:t>
      </w:r>
      <w:r>
        <w:rPr>
          <w:rFonts w:hint="eastAsia" w:ascii="仿宋" w:hAnsi="仿宋" w:eastAsia="仿宋"/>
          <w:color w:val="000000"/>
          <w:sz w:val="32"/>
          <w:szCs w:val="32"/>
        </w:rPr>
        <w:t>国家级、省级小巨人企业分别突破 5 家、20家，评价入库科技型中小企业突破 100户。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——市场主体生态持续改善。营商环境全面优化，土地、资本、数据等要素市场化配置改革不断深化，产业配套能力持续提升，经营成本有效降低，行政服务水平和市场治理效能不断提升，企业办事简捷方便，发展生态更趋良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6"/>
          <w:rFonts w:hint="eastAsia" w:ascii="Times New Roman" w:hAnsi="Times New Roman" w:eastAsia="黑体"/>
        </w:rPr>
      </w:pPr>
      <w:r>
        <w:rPr>
          <w:rStyle w:val="16"/>
          <w:rFonts w:hint="eastAsia" w:ascii="黑体" w:hAnsi="黑体" w:eastAsia="黑体"/>
          <w:color w:val="000000"/>
          <w:sz w:val="32"/>
          <w:szCs w:val="32"/>
        </w:rPr>
        <w:t>三、重点任务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472" w:firstLineChars="147"/>
        <w:jc w:val="both"/>
        <w:textAlignment w:val="auto"/>
        <w:rPr>
          <w:rStyle w:val="16"/>
          <w:rFonts w:ascii="仿宋" w:hAnsi="仿宋" w:eastAsia="仿宋" w:cs="Times New Roman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（一）实施重点企业培育行动。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建立产业发展目录和投资指南，聚焦先进制造业、创新创造、外资外贸、农业农村、文化旅游等重点领域，突出培育企业主体。大力实施产业发展“千百十”工程，创建省级制造业高质量发展试验区，打造</w:t>
      </w:r>
      <w:r>
        <w:rPr>
          <w:rStyle w:val="16"/>
          <w:rFonts w:hint="eastAsia" w:ascii="仿宋" w:hAnsi="仿宋" w:eastAsia="仿宋" w:cs="Times New Roman"/>
          <w:color w:val="000000"/>
          <w:sz w:val="32"/>
          <w:szCs w:val="32"/>
        </w:rPr>
        <w:t>1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个省级先进制造业集群。建立“科企—高企—小巨人—上市领军型”企业梯度培育体系，加强“大院大所大企”合作，实施产业领军企业“头雁领航”工程。加强与东盟、非洲等地的深度合作，加快建设中非产业园、东盟科技产业园，率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先打造湖南自贸区联动发展区，推动形成对接非洲和东盟经贸合作长效机制。深入推进“六大强农”行动，实施“千社”工程，支持农民专业合作社参与乡村振兴项目，鼓励支持农业企业股改、上市。加强文化旅游资源保护与开发利用，推动旅游业提质升档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,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大力推进全域旅游、乡村旅游，着力培养文化旅游企业。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高新区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、县商务局、县农业农村局、县乡村振兴局、县文旅广体局等按职责分工负责，排第一的单位为牵头单位，下同。）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（二）实施中小企业和个体工商户培育行动。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化统筹协调机制作用，持续推动减税降费、减租降息、普惠金融等纾困惠企政策直达基层、直接惠及个体工商户和中小企业。落实个体工商户稳岗就业补贴，降低小微企业和个体工商户地租成本，引导平台企业降低不合理收费和抽成。运用普惠小微企业和个体工商户贷款支持工具，做好普惠小微企业信用贷款支持计划接续转换工作，推动个体工商户和中小企业扩面，不断提高其存活率、活跃度，稳住市场主体培育的基本盘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（县市监局、县发改局、县财政局、县税务局、县人社局、县住建局等按职责分工负责）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（三）实施“个转企”培育行动。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建立“个转企”种子培育库，加大“个转企”支持力度，符合条件的“个转企”企业，转企三年内享受小微企业税费优惠政策。推动实现“个转企”登记程序一件事一次办，保持“个转企”登记档案延续性、一致性，支持个体工商户享有的专利权、商标权、名称权等权益保护转移至“个转企”企业名下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（县市监局、县科工信局、县人社局、县自然资源局、人民银行隆回支行、县税务局等按职责分工负责）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（四）实施“四上”企业培育行动。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开展“新增规模以上工业企业”行动，充分挖掘规上企业新增量，支持新增规上企业稳定在库。建立存量企业退库预警机制，加强临退企业经营情况监测分析，帮助企业纾困解难，切实减少退库数量。支持资质等级建筑业企业、限额以上批零住宿餐饮企业、限额以上服务业企业规模发展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、县财政局、县税务局、县住建局、县商务局、县工商联等按职责分工负责）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pacing w:val="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（五）实施企业上市培育行动。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贯彻落实企业上市“金芙蓉跃升”计划，扩充上市后备资源，强化后备企业培育辅导，引导企业规范治理，做好风险防范，支持企业做强做优。拓宽上市渠道，着力推动科技创新型企业科创板上市，加快推动“三创四新”企业创业板上市，稳步推进创新型中小企业北交所上市，鼓励再融资和并购重组，积极招引优质上市公司和后备企业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（县金融服务中心、县人民法院、县人民检察院、县发改局、县科工信局、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、县财政局、县商务局、县市监局、县税务局等按职责分工负责）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0" w:firstLineChars="200"/>
        <w:jc w:val="both"/>
        <w:textAlignment w:val="auto"/>
        <w:rPr>
          <w:rFonts w:hint="eastAsia"/>
          <w:spacing w:val="0"/>
        </w:rPr>
      </w:pPr>
      <w:r>
        <w:rPr>
          <w:rStyle w:val="16"/>
          <w:rFonts w:hint="eastAsia" w:ascii="黑体" w:hAnsi="黑体" w:eastAsia="黑体"/>
          <w:color w:val="000000"/>
          <w:spacing w:val="0"/>
          <w:sz w:val="32"/>
          <w:szCs w:val="32"/>
        </w:rPr>
        <w:t>四、主要举措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6" w:lineRule="exact"/>
        <w:ind w:firstLine="643" w:firstLineChars="200"/>
        <w:jc w:val="both"/>
        <w:textAlignment w:val="auto"/>
        <w:rPr>
          <w:rStyle w:val="16"/>
          <w:rFonts w:ascii="仿宋" w:hAnsi="仿宋" w:eastAsia="仿宋"/>
          <w:spacing w:val="0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（一）加大财税支持力度。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完善财政资金直达机制，强化日常监控，确保直达资金落实到位、规范使用。优化税费优惠政策适用程序，推行惠企政策“免申即享”。落实制造业增值税留抵退税、小规模纳税人减征免征等减税降费政策。加强非税收入退付管理，确保取消、停征、免征及降低征收标准的收费基金项目落实到位。支持招大引强，对世界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强、中国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强、民营</w:t>
      </w:r>
      <w:r>
        <w:rPr>
          <w:rStyle w:val="16"/>
          <w:rFonts w:hint="eastAsia" w:ascii="仿宋" w:hAnsi="仿宋" w:eastAsia="仿宋" w:cs="Times New Roman"/>
          <w:color w:val="000000"/>
          <w:spacing w:val="0"/>
          <w:sz w:val="32"/>
          <w:szCs w:val="32"/>
        </w:rPr>
        <w:t>500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强、行业领军企业来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  <w:lang w:eastAsia="zh-CN"/>
        </w:rPr>
        <w:t>隆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新设立企业总部的，按“一事一议”方式对其在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  <w:lang w:eastAsia="zh-CN"/>
        </w:rPr>
        <w:t>隆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企业给予支持。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（县财政局、县税务局牵头，县直和省、市驻隆有关单位按职责分工负责）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pacing w:val="0"/>
          <w:sz w:val="32"/>
          <w:szCs w:val="32"/>
        </w:rPr>
        <w:t>（二）提高助企纾困实效。</w:t>
      </w:r>
      <w:r>
        <w:rPr>
          <w:rStyle w:val="16"/>
          <w:rFonts w:hint="eastAsia" w:ascii="仿宋" w:hAnsi="仿宋" w:eastAsia="仿宋"/>
          <w:color w:val="000000"/>
          <w:spacing w:val="0"/>
          <w:sz w:val="32"/>
          <w:szCs w:val="32"/>
        </w:rPr>
        <w:t>开展“百行进万企”融资对接活动，推广银税互动、银保合作、政银担合作等模式，用好“信易贷”“潇湘财银贷”等平台和工具，增加信用贷款、首贷投放，推广随借随还贷款。建立企业融资专家库，建设邵阳市金融综合服务平台，打破银企信息不对称困局，提升银企对接质效。充分发挥过桥资金作用，降低过桥费率，有效降低企业续贷综合融资成本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pacing w:val="0"/>
          <w:sz w:val="32"/>
          <w:szCs w:val="32"/>
        </w:rPr>
        <w:t>（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人民银行隆回支行、县金融服务中心，县发改局、县科工信局、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、县财政局、县人社局、县住建局、县市监局、县医保局、县税务局、国网隆回供电公司等按职责分工负责）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（三）降低企业要素成本。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完善周转地、标准地、弹性地政策，引导企业集聚发展。做好保供稳价工作，加快推进重点工程建设，科学调度煤、电、油、气、运，防止要素成本高企造成市场预期减弱。加强城镇供水供电供气清理规范，帮助企业解决用工、资金、关键零部件供应等生产要素问题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（县发改局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县自然资源局、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县住建局、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县科工信局、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隆回高新区管委会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、县人社局、人民银行隆回支行、县供销社、国网隆回供电公司等按职责分工负责）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（四）优化行政审批服务。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深入推进住所（经营场所）登记制度改革，推动“非禁即入”普遍落实。实现“证照分离”改革全覆盖，推进“照后减证”和简化审批。深化“一件事一次办”改革，提高“一网通办”效率，扩大“跨省通办”范围。推动高频电子证照标准化和跨区域互认共享。深化工程建设项目审批制度改革，进一步压减电力接入审批时间。发挥破产处置府院联动机制作用，优化简易注销制度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（县发改局、县行政审批服务局，县司法局、县公安局、县人民法院、县人社局、县商务局、县税务局、县住建局、县市监局、人民银行隆回支行等按职责分工负责）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（五）营造公平竞争环境。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废除与企业性质、属地或规模挂钩的歧视性准入规定和补贴政策，加强民生保障、促进创新等重点领域的反垄断和反不正当竞争执法。完善涉企收费目录清单制度，加强涉企收费治理。发挥“互联网</w:t>
      </w:r>
      <w:r>
        <w:rPr>
          <w:rStyle w:val="16"/>
          <w:rFonts w:hint="eastAsia" w:ascii="仿宋" w:hAnsi="仿宋" w:eastAsia="仿宋" w:cs="Times New Roman"/>
          <w:color w:val="000000"/>
          <w:sz w:val="32"/>
          <w:szCs w:val="32"/>
        </w:rPr>
        <w:t>+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监管”平台作用，推进部门联合“双随机、一公开”监管常态化。推广信用承诺制、告知承诺制，健全守信联合激励和失信联合惩戒机制。完善产权保护制度，依法全面保护各类产权。实行包容审慎监管，压缩自由裁量空间，推行轻微违法“首违不罚”。严格市场监管、质量监管、安全监管、金融监管，加强违法惩戒，严守市场安全底线。加强行业自律，建立健全行业规范，推动行业诚信体系建设。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（县市监局、县人民法院、县人民检察院、县发改局、县公安局、县住建局、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县交通运输局</w:t>
      </w:r>
      <w:r>
        <w:rPr>
          <w:rStyle w:val="16"/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、县农业农村局、县文旅广体局、县卫健局、县金融服务中心、人民银行隆回支行、县税务局、县司法局等按职责分工负责）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Style w:val="16"/>
          <w:rFonts w:hint="eastAsia" w:ascii="黑体" w:hAnsi="黑体" w:eastAsia="黑体"/>
          <w:color w:val="000000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Style w:val="16"/>
          <w:rFonts w:ascii="仿宋" w:hAnsi="仿宋" w:eastAsia="仿宋"/>
        </w:rPr>
      </w:pPr>
      <w:r>
        <w:rPr>
          <w:rStyle w:val="16"/>
          <w:rFonts w:hint="eastAsia" w:ascii="楷体" w:hAnsi="楷体" w:eastAsia="楷体"/>
          <w:b/>
          <w:bCs/>
          <w:color w:val="000000"/>
          <w:kern w:val="0"/>
          <w:sz w:val="32"/>
          <w:szCs w:val="32"/>
          <w:lang w:val="en-US" w:eastAsia="zh-CN" w:bidi="ar-SA"/>
        </w:rPr>
        <w:t>（一）强化组织保障。</w:t>
      </w:r>
      <w:r>
        <w:rPr>
          <w:rStyle w:val="16"/>
          <w:rFonts w:hint="eastAsia" w:ascii="仿宋" w:hAnsi="仿宋" w:eastAsia="仿宋"/>
          <w:color w:val="000000"/>
          <w:kern w:val="0"/>
          <w:sz w:val="32"/>
          <w:szCs w:val="32"/>
        </w:rPr>
        <w:t>建立隆回县实施市场主体高质量发展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倍增工程工作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，由县委书记刘军、县长杨韶辉为总召集人（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长），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常务副县长邓印强（第一副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长）、分管副县长蒋吉为副召集人（副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长），常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副县长刘梦林、副县长杨喜国、张胤、贺海飞，县政府二级调研员罗晓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任副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6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长，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县直指标单位主要负责人为成员。领导小组办公室设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，由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党组书记、局长李良任办公室主任，统筹推进市场主体倍增工作，协调解决工作中的重大问题。各乡镇人民政府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街道办事处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）、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隆回高新区管委会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各指标牵头部门和责任部门要建立相应工作机制，组建工作专班，切实加强组织领导和统筹协调，做好任务落实和督促指导。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kern w:val="0"/>
          <w:sz w:val="32"/>
          <w:szCs w:val="32"/>
          <w:lang w:val="en-US" w:eastAsia="zh-CN" w:bidi="ar-SA"/>
        </w:rPr>
        <w:t>（二）强化责任落实。</w:t>
      </w:r>
      <w:r>
        <w:rPr>
          <w:rFonts w:hint="eastAsia" w:ascii="仿宋" w:hAnsi="仿宋" w:eastAsia="仿宋"/>
          <w:color w:val="000000"/>
          <w:sz w:val="32"/>
          <w:szCs w:val="32"/>
        </w:rPr>
        <w:t>各乡镇人民政府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街道办事处</w:t>
      </w:r>
      <w:r>
        <w:rPr>
          <w:rStyle w:val="16"/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、隆回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高新区</w:t>
      </w:r>
      <w:r>
        <w:rPr>
          <w:rFonts w:hint="eastAsia" w:ascii="仿宋" w:hAnsi="仿宋" w:eastAsia="仿宋"/>
          <w:color w:val="000000"/>
          <w:sz w:val="32"/>
          <w:szCs w:val="32"/>
        </w:rPr>
        <w:t>管委会和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县市监局</w:t>
      </w:r>
      <w:r>
        <w:rPr>
          <w:rFonts w:hint="eastAsia" w:ascii="仿宋" w:hAnsi="仿宋" w:eastAsia="仿宋"/>
          <w:color w:val="000000"/>
          <w:sz w:val="32"/>
          <w:szCs w:val="32"/>
        </w:rPr>
        <w:t>、县发改局、县科工信局、县商务局、县农业农村局、县住建局、县文旅广体局、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县重点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建设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项目事务中心</w:t>
      </w:r>
      <w:r>
        <w:rPr>
          <w:rFonts w:hint="eastAsia" w:ascii="仿宋" w:hAnsi="仿宋" w:eastAsia="仿宋"/>
          <w:color w:val="000000"/>
          <w:sz w:val="32"/>
          <w:szCs w:val="32"/>
        </w:rPr>
        <w:t>、县农经站、县金融服务中心等指标牵头部门要根据方案分工和目标清单，结合本部门实际，抓紧研究制定促进市场主体高质量发展实施方案，将目标任务细化到年度、分解到地区、具体到部门，分级分类制定任务书、路线图，确保任务落实到位。其他相关责任单位要根据方案分工，制定推进市场主体倍增工程的具体政策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Times New Roman" w:hAnsi="Times New Roman" w:cs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（三）强化信息报送。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县实施市场主体高质量发展倍增工程</w:t>
      </w:r>
      <w:r>
        <w:rPr>
          <w:rFonts w:hint="eastAsia" w:ascii="仿宋" w:hAnsi="仿宋" w:eastAsia="仿宋"/>
          <w:color w:val="000000"/>
          <w:sz w:val="32"/>
          <w:szCs w:val="32"/>
        </w:rPr>
        <w:t>领导小组办公室负责对各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乡镇（街道）</w:t>
      </w:r>
      <w:r>
        <w:rPr>
          <w:rFonts w:hint="eastAsia" w:ascii="仿宋" w:hAnsi="仿宋" w:eastAsia="仿宋"/>
          <w:color w:val="000000"/>
          <w:sz w:val="32"/>
          <w:szCs w:val="32"/>
        </w:rPr>
        <w:t>、高新区市场主体增量及各指标牵头单位责任单位工作落实情况按月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调度督查</w:t>
      </w:r>
      <w:r>
        <w:rPr>
          <w:rFonts w:hint="eastAsia" w:ascii="仿宋" w:hAnsi="仿宋" w:eastAsia="仿宋"/>
          <w:color w:val="000000"/>
          <w:sz w:val="32"/>
          <w:szCs w:val="32"/>
        </w:rPr>
        <w:t>，各成员单位要按时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填报好相关报表，经本单位主要负责人签字盖章后于每月25日前报送县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。联系人：黄军，联系电话：13873921986，邮箱：270253599@qq.com。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160" w:leftChars="76" w:firstLine="482" w:firstLineChars="150"/>
        <w:jc w:val="both"/>
        <w:textAlignment w:val="auto"/>
        <w:rPr>
          <w:rFonts w:ascii="Times New Roman" w:hAnsi="Times New Roman" w:cs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（四）强化考核监测。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/>
          <w:color w:val="000000"/>
          <w:sz w:val="32"/>
          <w:szCs w:val="32"/>
        </w:rPr>
        <w:t>市场主体培育推进情况纳入年度绩效考核体系和县政府“三重点”工作，对各乡镇（街道）、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隆回</w:t>
      </w:r>
      <w:r>
        <w:rPr>
          <w:rStyle w:val="16"/>
          <w:rFonts w:hint="eastAsia" w:ascii="仿宋" w:hAnsi="仿宋" w:eastAsia="仿宋"/>
          <w:color w:val="000000"/>
          <w:sz w:val="32"/>
          <w:szCs w:val="32"/>
        </w:rPr>
        <w:t>高新区管委会、各指标牵头单位和责任单位</w:t>
      </w:r>
      <w:r>
        <w:rPr>
          <w:rFonts w:hint="eastAsia" w:ascii="仿宋" w:hAnsi="仿宋" w:eastAsia="仿宋"/>
          <w:color w:val="000000"/>
          <w:sz w:val="32"/>
          <w:szCs w:val="32"/>
        </w:rPr>
        <w:t>实行月调度、季讲评、年考核。县政府督查室要将市场主体培育工作纳入重点督查范围，定期跟踪督查。领导小组办公室要牵头建立统计监测制度，建立健全统计监测指标体系，加强日常监测，强化工作调度。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Style w:val="16"/>
          <w:rFonts w:hint="eastAsia" w:ascii="楷体" w:hAnsi="楷体" w:eastAsia="楷体"/>
          <w:b/>
          <w:bCs/>
          <w:color w:val="000000"/>
          <w:sz w:val="32"/>
          <w:szCs w:val="32"/>
        </w:rPr>
        <w:t>（五）强化宣传引导。</w:t>
      </w:r>
      <w:r>
        <w:rPr>
          <w:rFonts w:hint="eastAsia" w:ascii="仿宋" w:hAnsi="仿宋" w:eastAsia="仿宋"/>
          <w:color w:val="000000"/>
          <w:sz w:val="32"/>
          <w:szCs w:val="32"/>
        </w:rPr>
        <w:t>各部门要充分利用各类媒体，宣传市场主体在经济社会发展中的重要地位、作用和培育市场主体的重要意义，以及优化营商环境促进市场主体倍增的政策措施，做好政策措施宣传解读，扩大知晓度、支持度和参与度，及时回应社会关切，确保政策措施全面落实；要及时总结市场主体培育发展中可推广复制的典型经验，提振市场主体信心，营造良好的舆论氛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附件：1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2025年末全县市场主体（企业）发展目标责任清单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2022年3-12月全县各责任部门市场主体（企业）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2080" w:firstLineChars="6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高质量发展到月任务分解表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全县市场主体倍增工程乡镇（街道）任务分解表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2022年各乡镇（街道）市场主体总量月度目标数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2022年各乡镇（街道）企业月度目标数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760" w:firstLineChars="5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2022年各乡镇（街道）“个转企”月度目标数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1440" w:firstLineChars="45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2025年末全县市场主体（企业）发展目标责任清单</w:t>
      </w:r>
    </w:p>
    <w:tbl>
      <w:tblPr>
        <w:tblStyle w:val="10"/>
        <w:tblW w:w="500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1222"/>
        <w:gridCol w:w="1675"/>
        <w:gridCol w:w="1502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指标类型</w:t>
            </w: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2025年目标数（户）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责任部门</w:t>
            </w: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第一责任人</w:t>
            </w:r>
          </w:p>
        </w:tc>
        <w:tc>
          <w:tcPr>
            <w:tcW w:w="107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分管责任人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农产品加工企业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4250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县农业农村局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丁正华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卢本武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农民专业合作社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建筑企业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县住建局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周玉科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服务业企业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6000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彭文波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范志明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商贸流通企业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3000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县商务局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刘朝晖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唐永红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外贸实绩企业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文化旅游企业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县文旅广体局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周文锋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陈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规模以上工业企业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300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 xml:space="preserve">县科工信局       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隆回高新区管委会</w:t>
            </w:r>
          </w:p>
        </w:tc>
        <w:tc>
          <w:tcPr>
            <w:tcW w:w="80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戴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飞           何本君         谭小菊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胡乐清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黄足斌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高新技术产业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60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“三类500强”企业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上市公司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国家级“小巨人”企业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省级“小巨人”企业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评价入库科技型中小企业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100</w:t>
            </w:r>
          </w:p>
        </w:tc>
        <w:tc>
          <w:tcPr>
            <w:tcW w:w="90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7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运输类企业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2000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县交通运输局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刘界夫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刘智平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其他企业分公司、子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公司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3600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县重点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建设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项目事务中心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谢永升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0" w:hanging="315" w:hangingChars="150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尹扬辉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统计指标监测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23770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县市监局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李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良</w:t>
            </w: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胡晓伟</w:t>
            </w:r>
          </w:p>
        </w:tc>
      </w:tr>
    </w:tbl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2022年3-12月全县各责任部门市场主体（企业）高质量发展到月任务分解表</w:t>
      </w:r>
    </w:p>
    <w:tbl>
      <w:tblPr>
        <w:tblStyle w:val="10"/>
        <w:tblW w:w="50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47"/>
        <w:gridCol w:w="787"/>
        <w:gridCol w:w="480"/>
        <w:gridCol w:w="480"/>
        <w:gridCol w:w="480"/>
        <w:gridCol w:w="480"/>
        <w:gridCol w:w="480"/>
        <w:gridCol w:w="480"/>
        <w:gridCol w:w="484"/>
        <w:gridCol w:w="484"/>
        <w:gridCol w:w="484"/>
        <w:gridCol w:w="570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责任部门</w:t>
            </w:r>
          </w:p>
        </w:tc>
        <w:tc>
          <w:tcPr>
            <w:tcW w:w="9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新办市场主体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（企业）类型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全年任务数（户）</w:t>
            </w:r>
          </w:p>
        </w:tc>
        <w:tc>
          <w:tcPr>
            <w:tcW w:w="26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月完成数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县农业农村局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农产品加工企业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农民专业合作社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县住建局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建筑企业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服务业企业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县商务局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商贸流通企业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外贸实绩企业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县文旅广体局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文化旅游企业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 xml:space="preserve">县科工信局       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隆回高新区管委会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规模以上工业企业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firstLine="105" w:firstLineChars="50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高新技术产业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99"/>
                <w:kern w:val="0"/>
                <w:sz w:val="21"/>
                <w:szCs w:val="21"/>
              </w:rPr>
              <w:t>“三类500强”企业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上市公司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国家级“小巨人”企业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pacing w:val="-11"/>
                <w:w w:val="99"/>
                <w:kern w:val="0"/>
                <w:sz w:val="21"/>
                <w:szCs w:val="21"/>
              </w:rPr>
              <w:t>省级“小巨人”企业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评价入库科技型中小企业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　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县交通运输局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运输类企业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　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县重点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建设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项目事务中心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其他企业分公司、子</w:t>
            </w: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2280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  <w:lang w:eastAsia="zh-CN"/>
              </w:rPr>
              <w:t>县市监局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  <w:szCs w:val="21"/>
              </w:rPr>
              <w:t>统计指标监测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6448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681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637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632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647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660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656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611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614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</w:rPr>
              <w:t>651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全县市场主体倍增工程乡镇（街道）分解表</w:t>
      </w:r>
    </w:p>
    <w:tbl>
      <w:tblPr>
        <w:tblStyle w:val="10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9"/>
        <w:gridCol w:w="974"/>
        <w:gridCol w:w="974"/>
        <w:gridCol w:w="980"/>
        <w:gridCol w:w="974"/>
        <w:gridCol w:w="974"/>
        <w:gridCol w:w="980"/>
        <w:gridCol w:w="97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atLeast"/>
          <w:jc w:val="center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市场主体（户）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企业（户）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个转企（户）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2021年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小沙江镇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340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虎形山乡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麻塘山乡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542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656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高坪镇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4137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638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罗洪镇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601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727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荷田乡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514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945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鸭田镇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806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1225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金石桥镇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2798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司门前镇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2189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3328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743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大水田乡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376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455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691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羊古坳镇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1123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七江镇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1175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228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六都寨镇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2153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2604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3958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393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831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荷香桥镇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1913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2314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横板桥镇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1194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1444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2195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西洋江镇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1033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1250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1899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285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南岳庙镇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915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1107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1682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211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446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滩头镇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2008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2429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309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654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岩口镇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1735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2099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177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336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711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周旺镇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983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1189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1807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北山镇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936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1423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357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三阁司镇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1273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1540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2341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194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368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779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山界回族乡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517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625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951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114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241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桃花坪街道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15026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18176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2528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5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花门街道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10650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12883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19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81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1658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3150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61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exac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  <w:t>总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53900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65200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6900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13100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00 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0"/>
                <w:sz w:val="21"/>
                <w:szCs w:val="21"/>
              </w:rPr>
              <w:t>628</w:t>
            </w:r>
          </w:p>
        </w:tc>
      </w:tr>
    </w:tbl>
    <w:p>
      <w:pPr>
        <w:spacing w:beforeLines="50" w:line="320" w:lineRule="exact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宋体" w:hAnsi="宋体" w:cs="仿宋"/>
          <w:color w:val="000000"/>
          <w:sz w:val="24"/>
          <w:szCs w:val="24"/>
        </w:rPr>
        <w:t>备注：</w:t>
      </w:r>
      <w:r>
        <w:rPr>
          <w:rFonts w:ascii="Times New Roman" w:hAnsi="Times New Roman"/>
          <w:color w:val="000000"/>
          <w:sz w:val="24"/>
          <w:szCs w:val="24"/>
        </w:rPr>
        <w:t>1.2021</w:t>
      </w:r>
      <w:r>
        <w:rPr>
          <w:rFonts w:ascii="宋体" w:hAnsi="宋体" w:cs="仿宋"/>
          <w:color w:val="000000"/>
          <w:sz w:val="24"/>
          <w:szCs w:val="24"/>
        </w:rPr>
        <w:t>年、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宋体" w:hAnsi="宋体" w:cs="仿宋"/>
          <w:color w:val="000000"/>
          <w:sz w:val="24"/>
          <w:szCs w:val="24"/>
        </w:rPr>
        <w:t>年、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宋体" w:hAnsi="宋体" w:cs="仿宋"/>
          <w:color w:val="000000"/>
          <w:sz w:val="24"/>
          <w:szCs w:val="24"/>
        </w:rPr>
        <w:t>年市场主体数是指</w:t>
      </w:r>
      <w:r>
        <w:rPr>
          <w:rFonts w:ascii="仿宋_GB2312" w:hAnsi="仿宋_GB2312" w:cs="仿宋"/>
          <w:color w:val="000000"/>
          <w:sz w:val="24"/>
          <w:szCs w:val="24"/>
        </w:rPr>
        <w:t>“</w:t>
      </w:r>
      <w:r>
        <w:rPr>
          <w:rFonts w:ascii="宋体" w:hAnsi="宋体" w:cs="仿宋"/>
          <w:color w:val="000000"/>
          <w:sz w:val="24"/>
          <w:szCs w:val="24"/>
        </w:rPr>
        <w:t>各年期末市场主体实有数</w:t>
      </w:r>
      <w:r>
        <w:rPr>
          <w:rFonts w:ascii="仿宋_GB2312" w:hAnsi="仿宋_GB2312" w:cs="仿宋"/>
          <w:color w:val="000000"/>
          <w:sz w:val="24"/>
          <w:szCs w:val="24"/>
        </w:rPr>
        <w:t>”</w:t>
      </w:r>
      <w:r>
        <w:rPr>
          <w:rFonts w:ascii="宋体" w:hAnsi="宋体" w:cs="仿宋"/>
          <w:color w:val="000000"/>
          <w:sz w:val="24"/>
          <w:szCs w:val="24"/>
        </w:rPr>
        <w:t>；</w:t>
      </w:r>
    </w:p>
    <w:p>
      <w:pPr>
        <w:spacing w:line="320" w:lineRule="exact"/>
        <w:ind w:firstLine="720" w:firstLineChars="300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宋体" w:hAnsi="宋体" w:cs="仿宋"/>
          <w:color w:val="000000"/>
          <w:sz w:val="24"/>
          <w:szCs w:val="24"/>
        </w:rPr>
        <w:t>市场主体包括：企业、个体工商户、农民专业合作社；</w:t>
      </w:r>
    </w:p>
    <w:p>
      <w:pPr>
        <w:spacing w:line="320" w:lineRule="exact"/>
        <w:ind w:firstLine="720" w:firstLineChars="300"/>
        <w:rPr>
          <w:rFonts w:ascii="Times New Roman" w:hAnsi="Times New Roman" w:cs="仿宋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宋体" w:hAnsi="宋体" w:cs="仿宋"/>
          <w:color w:val="000000"/>
          <w:sz w:val="24"/>
          <w:szCs w:val="24"/>
        </w:rPr>
        <w:t>企业包括：内资公司及分支机构，个人独资企业、合伙企业及分支机构，</w:t>
      </w:r>
    </w:p>
    <w:p>
      <w:pPr>
        <w:spacing w:line="320" w:lineRule="exact"/>
        <w:ind w:firstLine="960" w:firstLineChars="400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Fonts w:ascii="宋体" w:hAnsi="宋体" w:cs="仿宋"/>
          <w:color w:val="000000"/>
          <w:sz w:val="24"/>
          <w:szCs w:val="24"/>
        </w:rPr>
        <w:t>外商投资企业及分支机构。</w:t>
      </w:r>
    </w:p>
    <w:p>
      <w:pPr>
        <w:pStyle w:val="8"/>
        <w:widowControl/>
        <w:spacing w:line="560" w:lineRule="exact"/>
        <w:jc w:val="both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1134" w:gutter="0"/>
          <w:pgNumType w:fmt="numberInDash" w:start="2"/>
          <w:cols w:space="720" w:num="1"/>
          <w:docGrid w:type="lines" w:linePitch="491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2022年各乡镇（街道）市场主体总量月度目标数</w:t>
      </w:r>
    </w:p>
    <w:tbl>
      <w:tblPr>
        <w:tblStyle w:val="10"/>
        <w:tblW w:w="14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73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6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2002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2222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2278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672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2297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2359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2576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2618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2651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646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727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806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2759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2798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1897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1946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2037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2189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394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423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455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1322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2378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2568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2226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2282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1389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1163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959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1078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1092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2105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2160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2261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2298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2336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2395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2429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1866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1917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2070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2099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811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832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886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1334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1369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1433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1457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1481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1540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528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609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15341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15750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16160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16601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16916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17199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17483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17703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17924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18176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10873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11164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11454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11767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11990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12191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12392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12548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12704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12883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55030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56499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57968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59550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60680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61697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62714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63505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64296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spacing w:line="560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2022年各乡镇（街道）企业月度目标数</w:t>
      </w:r>
    </w:p>
    <w:p>
      <w:pPr>
        <w:widowControl/>
        <w:ind w:left="210" w:leftChars="100"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Style w:val="10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973"/>
        <w:gridCol w:w="973"/>
        <w:gridCol w:w="973"/>
        <w:gridCol w:w="1203"/>
        <w:gridCol w:w="1203"/>
        <w:gridCol w:w="1203"/>
        <w:gridCol w:w="1203"/>
        <w:gridCol w:w="1203"/>
        <w:gridCol w:w="1203"/>
        <w:gridCol w:w="1217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  <w:jc w:val="center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责任乡镇</w:t>
            </w:r>
          </w:p>
        </w:tc>
        <w:tc>
          <w:tcPr>
            <w:tcW w:w="39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69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228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336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137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144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163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114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2755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3064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3346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3664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3891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4300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4459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4618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4800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1808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2011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2196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2405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2554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2688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2926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3031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3150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7521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8363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9133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10002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10622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11180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11738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12172 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12606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13100 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autoSpaceDE w:val="0"/>
        <w:spacing w:line="240" w:lineRule="exact"/>
        <w:jc w:val="both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95" w:afterLines="8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2022年各乡镇（街道）“个转企”月度目标数</w:t>
      </w:r>
    </w:p>
    <w:tbl>
      <w:tblPr>
        <w:tblStyle w:val="10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81"/>
        <w:gridCol w:w="981"/>
        <w:gridCol w:w="981"/>
        <w:gridCol w:w="981"/>
        <w:gridCol w:w="981"/>
        <w:gridCol w:w="981"/>
        <w:gridCol w:w="981"/>
        <w:gridCol w:w="1243"/>
        <w:gridCol w:w="1244"/>
        <w:gridCol w:w="1267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73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月度目标数（户）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小沙江镇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虎形山乡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麻塘山乡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高坪镇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罗洪镇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荷田乡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鸭田镇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金石桥镇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司门前镇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大水田乡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羊古坳镇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七江镇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六都寨镇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荷香桥镇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横板桥镇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西洋江镇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南岳庙镇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滩头镇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岩口镇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周旺镇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北山镇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三阁司镇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山界回族乡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桃花坪街道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花门街道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129 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widowControl/>
        <w:autoSpaceDE w:val="0"/>
        <w:spacing w:line="200" w:lineRule="exact"/>
        <w:jc w:val="both"/>
        <w:rPr>
          <w:rStyle w:val="17"/>
          <w:rFonts w:hint="eastAsia" w:ascii="黑体" w:hAnsi="黑体" w:eastAsia="黑体"/>
          <w:b w:val="0"/>
          <w:bCs/>
          <w:color w:val="000000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AndChar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52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C1847"/>
    <w:rsid w:val="004352A5"/>
    <w:rsid w:val="004F3C25"/>
    <w:rsid w:val="0060067A"/>
    <w:rsid w:val="00706E93"/>
    <w:rsid w:val="007F37E3"/>
    <w:rsid w:val="00CF36F3"/>
    <w:rsid w:val="0182157D"/>
    <w:rsid w:val="02F73FA3"/>
    <w:rsid w:val="064A5A0A"/>
    <w:rsid w:val="06F8786E"/>
    <w:rsid w:val="08D639AE"/>
    <w:rsid w:val="0A3B46F5"/>
    <w:rsid w:val="155E7D1F"/>
    <w:rsid w:val="16CA259A"/>
    <w:rsid w:val="1A9A0701"/>
    <w:rsid w:val="1BD21F82"/>
    <w:rsid w:val="21A17364"/>
    <w:rsid w:val="2CE86A11"/>
    <w:rsid w:val="3BC60739"/>
    <w:rsid w:val="44776F43"/>
    <w:rsid w:val="46D62E35"/>
    <w:rsid w:val="47C36A0E"/>
    <w:rsid w:val="50BA6C4D"/>
    <w:rsid w:val="53217903"/>
    <w:rsid w:val="59F667CF"/>
    <w:rsid w:val="5D4E6911"/>
    <w:rsid w:val="5D675118"/>
    <w:rsid w:val="678B24E7"/>
    <w:rsid w:val="6C470059"/>
    <w:rsid w:val="77C85B5E"/>
    <w:rsid w:val="78BE6D36"/>
    <w:rsid w:val="79902737"/>
    <w:rsid w:val="7BE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  <w:pPr>
      <w:jc w:val="both"/>
      <w:textAlignment w:val="baseline"/>
    </w:pPr>
  </w:style>
  <w:style w:type="paragraph" w:styleId="3">
    <w:name w:val="Body Text Indent"/>
    <w:basedOn w:val="1"/>
    <w:next w:val="1"/>
    <w:link w:val="12"/>
    <w:semiHidden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link w:val="14"/>
    <w:semiHidden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3"/>
    <w:next w:val="1"/>
    <w:link w:val="13"/>
    <w:unhideWhenUsed/>
    <w:qFormat/>
    <w:uiPriority w:val="99"/>
    <w:pPr>
      <w:spacing w:after="0"/>
      <w:ind w:firstLine="420" w:firstLineChars="200"/>
    </w:pPr>
  </w:style>
  <w:style w:type="character" w:customStyle="1" w:styleId="12">
    <w:name w:val="正文文本缩进 Char"/>
    <w:basedOn w:val="11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正文首行缩进 2 Char"/>
    <w:basedOn w:val="12"/>
    <w:link w:val="9"/>
    <w:qFormat/>
    <w:uiPriority w:val="99"/>
  </w:style>
  <w:style w:type="character" w:customStyle="1" w:styleId="14">
    <w:name w:val="HTML 预设格式 Char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11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15"/>
    <w:basedOn w:val="11"/>
    <w:qFormat/>
    <w:uiPriority w:val="0"/>
    <w:rPr>
      <w:rFonts w:hint="default" w:ascii="Calibri" w:hAnsi="Calibri" w:cs="Calibri"/>
    </w:rPr>
  </w:style>
  <w:style w:type="character" w:customStyle="1" w:styleId="17">
    <w:name w:val="16"/>
    <w:basedOn w:val="11"/>
    <w:qFormat/>
    <w:uiPriority w:val="0"/>
    <w:rPr>
      <w:rFonts w:hint="default" w:ascii="Times New Roman" w:hAnsi="Times New Roman" w:cs="Times New Roman"/>
      <w:b/>
    </w:rPr>
  </w:style>
  <w:style w:type="character" w:customStyle="1" w:styleId="18">
    <w:name w:val="17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7138</Words>
  <Characters>9223</Characters>
  <Lines>142</Lines>
  <Paragraphs>39</Paragraphs>
  <TotalTime>44</TotalTime>
  <ScaleCrop>false</ScaleCrop>
  <LinksUpToDate>false</LinksUpToDate>
  <CharactersWithSpaces>10404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2022-03-24T02:29:00Z</dcterms:created>
  <dc:creator>dell</dc:creator>
  <cp:lastModifiedBy>Administrator</cp:lastModifiedBy>
  <cp:lastPrinted>2022-03-28T03:41:00Z</cp:lastPrinted>
  <dcterms:modified xsi:type="dcterms:W3CDTF">2022-04-27T07:47:26Z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6CBB4FD195D54A67838E776ACF55332C</vt:lpwstr>
  </property>
</Properties>
</file>