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7"/>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567"/>
        <w:gridCol w:w="992"/>
        <w:gridCol w:w="560"/>
        <w:gridCol w:w="7"/>
        <w:gridCol w:w="993"/>
        <w:gridCol w:w="494"/>
        <w:gridCol w:w="672"/>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2"/>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03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10"/>
            <w:noWrap w:val="0"/>
            <w:vAlign w:val="top"/>
          </w:tcPr>
          <w:p>
            <w:pPr>
              <w:spacing w:line="540" w:lineRule="exact"/>
              <w:jc w:val="left"/>
              <w:rPr>
                <w:rFonts w:hint="eastAsia" w:ascii="楷体" w:hAnsi="楷体" w:eastAsia="楷体" w:cs="楷体"/>
                <w:szCs w:val="21"/>
                <w:lang w:val="en-US" w:eastAsia="zh-CN"/>
              </w:rPr>
            </w:pPr>
            <w:r>
              <w:rPr>
                <w:rFonts w:hint="eastAsia" w:ascii="楷体" w:hAnsi="楷体" w:eastAsia="楷体" w:cs="楷体"/>
                <w:szCs w:val="21"/>
                <w:lang w:val="en-US" w:eastAsia="zh-CN"/>
              </w:rPr>
              <w:t>隆回县司法局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66"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110</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6"/>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56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10"/>
            <w:noWrap w:val="0"/>
            <w:vAlign w:val="top"/>
          </w:tcPr>
          <w:p>
            <w:pPr>
              <w:spacing w:line="340" w:lineRule="exact"/>
              <w:jc w:val="left"/>
              <w:rPr>
                <w:rFonts w:ascii="楷体" w:hAnsi="楷体" w:eastAsia="楷体" w:cs="楷体"/>
                <w:szCs w:val="21"/>
              </w:rPr>
            </w:pPr>
            <w:r>
              <w:rPr>
                <w:rFonts w:hint="eastAsia" w:ascii="楷体" w:hAnsi="楷体" w:eastAsia="楷体" w:cs="楷体"/>
                <w:szCs w:val="21"/>
              </w:rPr>
              <w:t>隆回县司法局主要工作职责是贯彻执行国家有关司法行政工作的方针、政策、法规，编制全县司法行政工作发展规划和年度计划并监督实施；承担全面依法治县重大问题的政策研究，协调有关方面提出全面依法治县中长期规划建议，负责有关重大决策部署督查工作；承办县政府规范性文件的解释、评估工作。负责协调各部门实施法律法规和规章中的有关争议和问题；指导全县规范性文件和合同管理有关工作，承担县政府规范性文件送审稿的合法性审查工作，承办县政府及其他部门规范性文件的登记工作，承担政府合同的审查工作。负责送报备案县政府规范性文件。负责县政府规范性文件备案审查工作。受理有关规范性文件违法的审查申请。组织开展规范性文件和政府合同清理工作。承担县政府法律顾问工作，负责对县政府重大行政决策进行合法性审查或论证说明；承担统筹推进法治政府建设的责任。指导、监督县政府各部门、各乡镇（街道）依法行政工作。负责综合协调行政执法，承担推进指导行政执法体制改革有关工作，推进严格规范公正文明执法。指导、监督全县行政复议和行政应诉工作，负责县人民政府行政复议和行政应诉案件办理工作。承担县政府行政复议办公室的日常工作；承担统筹规划全县法治社会建设的责任。负责拟订法治宣传教育规划，组织实施普法宣传工作，组织对外法治宣传。推动公民参与和促进法治建设。指导依法治理和法治创建工作。指导调解工作和人民陪审员、人民监督员选任管理工作，推进乡镇（街道）司法所建设；负责拟订公共法律服务体系建设规划并指导实施，统筹和布局城乡、区域法律服务资源。指导、监督律师、法律援助、司法鉴定、公证、仲裁和基层法律服务管理工作；负责全县法治对外合作工作。组织开展法治对外合作交流。承办涉港涉澳台的法律事务；负责本系统警车管理工作，指导、监督本系统财务、装备、设施、场地等保障工作；规划、协调、指导法治人才队伍建设相关工作。指导、监督本系统队伍建设。负责本系统警务管理和警务督察工作；完成县委、县人民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1614.34</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0.1</w:t>
            </w: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1864.44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250</w:t>
            </w: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spacing w:line="560" w:lineRule="exact"/>
              <w:jc w:val="left"/>
              <w:rPr>
                <w:rFonts w:ascii="楷体" w:hAnsi="楷体" w:eastAsia="楷体" w:cs="楷体"/>
                <w:szCs w:val="21"/>
              </w:rPr>
            </w:pP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1613.38</w:t>
            </w:r>
            <w:bookmarkStart w:id="0" w:name="_GoBack"/>
            <w:bookmarkEnd w:id="0"/>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298.86</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1912.24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11.63</w:t>
            </w: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10"/>
            <w:noWrap w:val="0"/>
            <w:vAlign w:val="center"/>
          </w:tcPr>
          <w:p>
            <w:pPr>
              <w:rPr>
                <w:rFonts w:hint="eastAsia" w:ascii="楷体" w:hAnsi="楷体" w:eastAsia="楷体" w:cs="楷体"/>
                <w:szCs w:val="21"/>
                <w:lang w:eastAsia="zh-CN"/>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43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hint="eastAsia" w:ascii="楷体" w:hAnsi="楷体" w:eastAsia="楷体" w:cs="楷体"/>
                <w:szCs w:val="21"/>
                <w:lang w:eastAsia="zh-CN"/>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10"/>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159.45</w:t>
            </w:r>
            <w:r>
              <w:rPr>
                <w:rFonts w:hint="eastAsia" w:ascii="楷体" w:hAnsi="楷体" w:eastAsia="楷体" w:cs="楷体"/>
                <w:szCs w:val="21"/>
              </w:rPr>
              <w:t>万元，实际采购金额</w:t>
            </w:r>
            <w:r>
              <w:rPr>
                <w:rFonts w:hint="eastAsia" w:ascii="楷体" w:hAnsi="楷体" w:eastAsia="楷体" w:cs="楷体"/>
                <w:szCs w:val="21"/>
                <w:lang w:val="en-US" w:eastAsia="zh-CN"/>
              </w:rPr>
              <w:t>78</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lang w:val="en-US" w:eastAsia="zh-CN"/>
              </w:rPr>
              <w:t>0</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lang w:val="en-US" w:eastAsia="zh-CN"/>
              </w:rPr>
              <w:t>0</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lang w:val="en-US" w:eastAsia="zh-CN"/>
              </w:rPr>
              <w:t>2021</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lang w:val="en-US" w:eastAsia="zh-CN"/>
              </w:rPr>
              <w:t>1</w:t>
            </w:r>
            <w:r>
              <w:rPr>
                <w:rFonts w:ascii="楷体" w:hAnsi="楷体" w:eastAsia="楷体" w:cs="楷体"/>
                <w:szCs w:val="21"/>
              </w:rPr>
              <w:t xml:space="preserve"> </w:t>
            </w:r>
            <w:r>
              <w:rPr>
                <w:rFonts w:hint="eastAsia" w:ascii="楷体" w:hAnsi="楷体" w:eastAsia="楷体" w:cs="楷体"/>
                <w:szCs w:val="21"/>
              </w:rPr>
              <w:t>月</w:t>
            </w:r>
            <w:r>
              <w:rPr>
                <w:rFonts w:ascii="楷体" w:hAnsi="楷体" w:eastAsia="楷体" w:cs="楷体"/>
                <w:szCs w:val="21"/>
              </w:rPr>
              <w:t xml:space="preserve"> </w:t>
            </w:r>
            <w:r>
              <w:rPr>
                <w:rFonts w:hint="eastAsia" w:ascii="楷体" w:hAnsi="楷体" w:eastAsia="楷体" w:cs="楷体"/>
                <w:szCs w:val="21"/>
                <w:lang w:val="en-US" w:eastAsia="zh-CN"/>
              </w:rPr>
              <w:t>25</w:t>
            </w:r>
            <w:r>
              <w:rPr>
                <w:rFonts w:ascii="楷体" w:hAnsi="楷体" w:eastAsia="楷体" w:cs="楷体"/>
                <w:szCs w:val="21"/>
              </w:rPr>
              <w:t xml:space="preserve">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hint="eastAsia" w:ascii="楷体" w:hAnsi="楷体" w:eastAsia="楷体" w:cs="楷体"/>
                <w:szCs w:val="21"/>
                <w:lang w:eastAsia="zh-CN"/>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1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10"/>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41"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1"/>
            <w:noWrap w:val="0"/>
            <w:vAlign w:val="center"/>
          </w:tcPr>
          <w:p>
            <w:pPr>
              <w:widowControl/>
              <w:ind w:firstLine="630" w:firstLineChars="30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1</w:t>
            </w:r>
            <w:r>
              <w:rPr>
                <w:rFonts w:hint="eastAsia" w:ascii="仿宋_GB2312" w:eastAsia="仿宋_GB2312" w:cs="Times New Roman"/>
                <w:kern w:val="0"/>
                <w:sz w:val="21"/>
                <w:szCs w:val="21"/>
                <w:lang w:val="en-US" w:eastAsia="zh-CN" w:bidi="ar-SA"/>
              </w:rPr>
              <w:t>.</w:t>
            </w:r>
            <w:r>
              <w:rPr>
                <w:rFonts w:hint="eastAsia" w:ascii="仿宋_GB2312" w:hAnsi="Times New Roman" w:eastAsia="仿宋_GB2312" w:cs="Times New Roman"/>
                <w:kern w:val="0"/>
                <w:sz w:val="21"/>
                <w:szCs w:val="21"/>
                <w:lang w:val="en-US" w:eastAsia="zh-CN" w:bidi="ar-SA"/>
              </w:rPr>
              <w:t>进一步加强干部队伍建设，提升干部队伍的政治素养和履职能力。</w:t>
            </w:r>
          </w:p>
          <w:p>
            <w:pPr>
              <w:pStyle w:val="6"/>
              <w:ind w:left="0" w:leftChars="0" w:firstLine="630" w:firstLineChars="300"/>
              <w:rPr>
                <w:rFonts w:hint="eastAsia" w:ascii="仿宋_GB2312"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2</w:t>
            </w:r>
            <w:r>
              <w:rPr>
                <w:rFonts w:hint="eastAsia" w:ascii="仿宋_GB2312" w:eastAsia="仿宋_GB2312" w:cs="Times New Roman"/>
                <w:kern w:val="0"/>
                <w:sz w:val="21"/>
                <w:szCs w:val="21"/>
                <w:lang w:val="en-US" w:eastAsia="zh-CN" w:bidi="ar-SA"/>
              </w:rPr>
              <w:t>.</w:t>
            </w:r>
            <w:r>
              <w:rPr>
                <w:rFonts w:hint="eastAsia" w:ascii="仿宋_GB2312" w:hAnsi="Times New Roman" w:eastAsia="仿宋_GB2312" w:cs="Times New Roman"/>
                <w:kern w:val="0"/>
                <w:sz w:val="21"/>
                <w:szCs w:val="21"/>
                <w:lang w:val="en-US" w:eastAsia="zh-CN" w:bidi="ar-SA"/>
              </w:rPr>
              <w:t>践行新时代“枫桥经验”，做实矛盾纠纷排查调处；围绕全面依法治国战略部署，全面推进依法治县工作；围绕法治隆回建设目标，切实加大法治宣传教育力度</w:t>
            </w:r>
            <w:r>
              <w:rPr>
                <w:rFonts w:hint="eastAsia" w:ascii="仿宋_GB2312" w:eastAsia="仿宋_GB2312" w:cs="Times New Roman"/>
                <w:kern w:val="0"/>
                <w:sz w:val="21"/>
                <w:szCs w:val="21"/>
                <w:lang w:val="en-US" w:eastAsia="zh-CN" w:bidi="ar-SA"/>
              </w:rPr>
              <w:t>。</w:t>
            </w:r>
          </w:p>
          <w:p>
            <w:pPr>
              <w:pStyle w:val="6"/>
              <w:ind w:left="0" w:leftChars="0" w:firstLine="630" w:firstLineChars="300"/>
              <w:rPr>
                <w:rFonts w:hint="eastAsia" w:ascii="仿宋_GB2312" w:eastAsia="仿宋_GB2312" w:cs="Times New Roman"/>
                <w:kern w:val="0"/>
                <w:sz w:val="21"/>
                <w:szCs w:val="21"/>
                <w:lang w:val="en-US" w:eastAsia="zh-CN" w:bidi="ar-SA"/>
              </w:rPr>
            </w:pPr>
            <w:r>
              <w:rPr>
                <w:rFonts w:hint="eastAsia" w:ascii="仿宋_GB2312" w:eastAsia="仿宋_GB2312" w:cs="Times New Roman"/>
                <w:kern w:val="0"/>
                <w:sz w:val="21"/>
                <w:szCs w:val="21"/>
                <w:lang w:val="en-US" w:eastAsia="zh-CN" w:bidi="ar-SA"/>
              </w:rPr>
              <w:t>3.突出便捷法律服务重点，着力完善公共法律服务体系建设；</w:t>
            </w:r>
            <w:r>
              <w:rPr>
                <w:rFonts w:hint="eastAsia" w:ascii="仿宋_GB2312" w:eastAsia="仿宋_GB2312" w:cs="Times New Roman"/>
                <w:b w:val="0"/>
                <w:bCs w:val="0"/>
                <w:kern w:val="0"/>
                <w:sz w:val="21"/>
                <w:szCs w:val="21"/>
                <w:lang w:val="en-US" w:eastAsia="zh-CN" w:bidi="ar-SA"/>
              </w:rPr>
              <w:t>加大行政执法协调与监督、规范性文件和行政经济合同管理，强化行政复议与应诉</w:t>
            </w:r>
            <w:r>
              <w:rPr>
                <w:rFonts w:hint="eastAsia" w:ascii="仿宋_GB2312" w:eastAsia="仿宋_GB2312" w:cs="Times New Roman"/>
                <w:kern w:val="0"/>
                <w:sz w:val="21"/>
                <w:szCs w:val="21"/>
                <w:lang w:val="en-US" w:eastAsia="zh-CN" w:bidi="ar-SA"/>
              </w:rPr>
              <w:t>，确保各项重点工作任务如期完成。</w:t>
            </w:r>
          </w:p>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697"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1"/>
            <w:noWrap w:val="0"/>
            <w:vAlign w:val="center"/>
          </w:tcPr>
          <w:p>
            <w:pPr>
              <w:jc w:val="center"/>
              <w:rPr>
                <w:rFonts w:hint="eastAsia" w:ascii="楷体" w:hAnsi="楷体" w:eastAsia="楷体" w:cs="楷体"/>
                <w:szCs w:val="21"/>
                <w:lang w:eastAsia="zh-CN"/>
              </w:rPr>
            </w:pPr>
            <w:r>
              <w:rPr>
                <w:rFonts w:hint="eastAsia" w:ascii="楷体" w:hAnsi="楷体" w:eastAsia="楷体" w:cs="楷体"/>
                <w:szCs w:val="21"/>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34"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1"/>
            <w:noWrap w:val="0"/>
            <w:vAlign w:val="center"/>
          </w:tcPr>
          <w:p>
            <w:pPr>
              <w:pStyle w:val="6"/>
              <w:ind w:left="0" w:leftChars="0" w:firstLine="0" w:firstLineChars="0"/>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问题：1、资产管理需进一步规范化、精细化。</w:t>
            </w:r>
          </w:p>
          <w:p>
            <w:pPr>
              <w:pStyle w:val="6"/>
              <w:ind w:left="0" w:leftChars="0" w:firstLine="630" w:firstLineChars="300"/>
              <w:rPr>
                <w:rFonts w:hint="default"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2、因单位除财政拨款外无任何收入，</w:t>
            </w:r>
            <w:r>
              <w:rPr>
                <w:rFonts w:hint="default" w:ascii="仿宋_GB2312" w:hAnsi="Times New Roman" w:eastAsia="仿宋_GB2312" w:cs="Times New Roman"/>
                <w:kern w:val="0"/>
                <w:sz w:val="21"/>
                <w:szCs w:val="21"/>
                <w:lang w:val="en-US" w:eastAsia="zh-CN" w:bidi="ar-SA"/>
              </w:rPr>
              <w:t>年度经费预算不足，不能确保司法行政工作正常运行</w:t>
            </w:r>
            <w:r>
              <w:rPr>
                <w:rFonts w:hint="eastAsia" w:ascii="仿宋_GB2312" w:hAnsi="Times New Roman" w:eastAsia="仿宋_GB2312" w:cs="Times New Roman"/>
                <w:kern w:val="0"/>
                <w:sz w:val="21"/>
                <w:szCs w:val="21"/>
                <w:lang w:val="en-US" w:eastAsia="zh-CN" w:bidi="ar-SA"/>
              </w:rPr>
              <w:t>。</w:t>
            </w:r>
          </w:p>
          <w:p>
            <w:pPr>
              <w:pStyle w:val="6"/>
              <w:ind w:left="0" w:leftChars="0" w:firstLine="0" w:firstLineChars="0"/>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建议：1、加强</w:t>
            </w:r>
            <w:r>
              <w:rPr>
                <w:rFonts w:hint="default" w:ascii="仿宋_GB2312" w:hAnsi="Times New Roman" w:eastAsia="仿宋_GB2312" w:cs="Times New Roman"/>
                <w:kern w:val="0"/>
                <w:sz w:val="21"/>
                <w:szCs w:val="21"/>
                <w:lang w:val="en-US" w:eastAsia="zh-CN" w:bidi="ar-SA"/>
              </w:rPr>
              <w:t>县司法局局机关及下辖司法所定期开展资产盘点工作，根据盘点结果，更新资产管理系统使用人、保管地点、使用状态等信息，并对资产实物进行贴标管理</w:t>
            </w:r>
            <w:r>
              <w:rPr>
                <w:rFonts w:hint="eastAsia" w:ascii="仿宋_GB2312" w:hAnsi="Times New Roman" w:eastAsia="仿宋_GB2312" w:cs="Times New Roman"/>
                <w:kern w:val="0"/>
                <w:sz w:val="21"/>
                <w:szCs w:val="21"/>
                <w:lang w:val="en-US" w:eastAsia="zh-CN" w:bidi="ar-SA"/>
              </w:rPr>
              <w:t>。</w:t>
            </w:r>
          </w:p>
          <w:p>
            <w:pPr>
              <w:pStyle w:val="6"/>
              <w:ind w:left="0" w:leftChars="0" w:firstLine="630" w:firstLineChars="300"/>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2、</w:t>
            </w:r>
            <w:r>
              <w:rPr>
                <w:rFonts w:hint="default" w:ascii="仿宋_GB2312" w:hAnsi="Times New Roman" w:eastAsia="仿宋_GB2312" w:cs="Times New Roman"/>
                <w:kern w:val="0"/>
                <w:sz w:val="21"/>
                <w:szCs w:val="21"/>
                <w:lang w:val="en-US" w:eastAsia="zh-CN" w:bidi="ar-SA"/>
              </w:rPr>
              <w:t>建议</w:t>
            </w:r>
            <w:r>
              <w:rPr>
                <w:rFonts w:hint="eastAsia" w:ascii="仿宋_GB2312" w:hAnsi="Times New Roman" w:eastAsia="仿宋_GB2312" w:cs="Times New Roman"/>
                <w:kern w:val="0"/>
                <w:sz w:val="21"/>
                <w:szCs w:val="21"/>
                <w:lang w:val="en-US" w:eastAsia="zh-CN" w:bidi="ar-SA"/>
              </w:rPr>
              <w:t>提高</w:t>
            </w:r>
            <w:r>
              <w:rPr>
                <w:rFonts w:hint="default" w:ascii="仿宋_GB2312" w:hAnsi="Times New Roman" w:eastAsia="仿宋_GB2312" w:cs="Times New Roman"/>
                <w:kern w:val="0"/>
                <w:sz w:val="21"/>
                <w:szCs w:val="21"/>
                <w:lang w:val="en-US" w:eastAsia="zh-CN" w:bidi="ar-SA"/>
              </w:rPr>
              <w:t>我局</w:t>
            </w:r>
            <w:r>
              <w:rPr>
                <w:rFonts w:hint="eastAsia" w:ascii="仿宋_GB2312" w:hAnsi="Times New Roman" w:eastAsia="仿宋_GB2312" w:cs="Times New Roman"/>
                <w:kern w:val="0"/>
                <w:sz w:val="21"/>
                <w:szCs w:val="21"/>
                <w:lang w:val="en-US" w:eastAsia="zh-CN" w:bidi="ar-SA"/>
              </w:rPr>
              <w:t>年度部门预算额度，将</w:t>
            </w:r>
            <w:r>
              <w:rPr>
                <w:rFonts w:hint="default" w:ascii="仿宋_GB2312" w:hAnsi="Times New Roman" w:eastAsia="仿宋_GB2312" w:cs="Times New Roman"/>
                <w:kern w:val="0"/>
                <w:sz w:val="21"/>
                <w:szCs w:val="21"/>
                <w:lang w:val="en-US" w:eastAsia="zh-CN" w:bidi="ar-SA"/>
              </w:rPr>
              <w:t>年度绩效考核奖；年度综治考核先进单位奖；省、市、县文明考核先进单位奖都纳入年度预算</w:t>
            </w:r>
            <w:r>
              <w:rPr>
                <w:rFonts w:hint="eastAsia" w:ascii="仿宋_GB2312" w:hAnsi="Times New Roman" w:eastAsia="仿宋_GB2312" w:cs="Times New Roman"/>
                <w:kern w:val="0"/>
                <w:sz w:val="21"/>
                <w:szCs w:val="21"/>
                <w:lang w:val="en-US" w:eastAsia="zh-CN" w:bidi="ar-SA"/>
              </w:rPr>
              <w:t>。</w:t>
            </w:r>
          </w:p>
          <w:p>
            <w:pPr>
              <w:pStyle w:val="3"/>
              <w:ind w:left="0" w:leftChars="0" w:firstLine="0" w:firstLineChars="0"/>
              <w:rPr>
                <w:rFonts w:hint="default"/>
                <w:lang w:val="en-US" w:eastAsia="zh-CN"/>
              </w:rPr>
            </w:pPr>
          </w:p>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974"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1"/>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ascii="宋体" w:hAnsi="宋体"/>
          <w:szCs w:val="21"/>
        </w:rPr>
        <w:t xml:space="preserve">                        </w:t>
      </w:r>
      <w:r>
        <w:rPr>
          <w:rFonts w:hint="eastAsia" w:ascii="宋体" w:hAnsi="宋体"/>
          <w:szCs w:val="21"/>
        </w:rPr>
        <w:t>联系电话：</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附件</w:t>
      </w:r>
      <w:r>
        <w:rPr>
          <w:rFonts w:ascii="黑体" w:hAnsi="宋体" w:eastAsia="黑体" w:cs="宋体"/>
          <w:kern w:val="0"/>
          <w:sz w:val="32"/>
          <w:szCs w:val="32"/>
        </w:rPr>
        <w:t>4</w:t>
      </w:r>
    </w:p>
    <w:p>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rPr>
        <w:t>部门整体支出绩效自评报告</w:t>
      </w:r>
    </w:p>
    <w:p>
      <w:pPr>
        <w:jc w:val="center"/>
        <w:rPr>
          <w:rFonts w:eastAsia="仿宋_GB2312"/>
          <w:sz w:val="32"/>
          <w:szCs w:val="32"/>
        </w:rPr>
      </w:pPr>
    </w:p>
    <w:p>
      <w:pPr>
        <w:ind w:firstLine="420" w:firstLineChars="200"/>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隆回县司法局</w:t>
      </w:r>
      <w:r>
        <w:rPr>
          <w:rFonts w:hint="eastAsia" w:ascii="仿宋" w:hAnsi="仿宋" w:eastAsia="仿宋" w:cs="仿宋"/>
          <w:bCs/>
          <w:sz w:val="28"/>
          <w:szCs w:val="28"/>
          <w:highlight w:val="none"/>
          <w:lang w:eastAsia="zh-CN"/>
        </w:rPr>
        <w:t>（</w:t>
      </w:r>
      <w:r>
        <w:rPr>
          <w:rFonts w:hint="eastAsia" w:ascii="仿宋" w:hAnsi="仿宋" w:eastAsia="仿宋" w:cs="仿宋"/>
          <w:color w:val="auto"/>
          <w:sz w:val="28"/>
          <w:szCs w:val="28"/>
          <w:lang w:val="en-US" w:eastAsia="zh-CN"/>
        </w:rPr>
        <w:t>以下简称“县司法局”</w:t>
      </w:r>
      <w:r>
        <w:rPr>
          <w:rFonts w:hint="eastAsia" w:ascii="仿宋" w:hAnsi="仿宋" w:eastAsia="仿宋" w:cs="仿宋"/>
          <w:bCs/>
          <w:sz w:val="28"/>
          <w:szCs w:val="28"/>
          <w:highlight w:val="none"/>
          <w:lang w:eastAsia="zh-CN"/>
        </w:rPr>
        <w:t>）</w:t>
      </w:r>
      <w:r>
        <w:rPr>
          <w:rFonts w:hint="eastAsia" w:ascii="仿宋" w:hAnsi="仿宋" w:eastAsia="仿宋" w:cs="仿宋"/>
          <w:sz w:val="28"/>
          <w:szCs w:val="28"/>
          <w:highlight w:val="none"/>
        </w:rPr>
        <w:t>内设局办公室、</w:t>
      </w:r>
      <w:r>
        <w:rPr>
          <w:rFonts w:hint="eastAsia" w:ascii="仿宋" w:hAnsi="仿宋" w:eastAsia="仿宋" w:cs="仿宋"/>
          <w:sz w:val="28"/>
          <w:szCs w:val="28"/>
          <w:highlight w:val="none"/>
          <w:lang w:val="en-US" w:eastAsia="zh-CN"/>
        </w:rPr>
        <w:t>社区矫正管理股</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行政复议与应诉股</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行政执法协调监督股</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法律和法律事务服务股</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普法和依法治理股</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人民参与和促进法制股</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公共法律服务管理股</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律师工作股</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装备财务保障股</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政工室</w:t>
      </w:r>
      <w:r>
        <w:rPr>
          <w:rFonts w:hint="eastAsia" w:ascii="仿宋" w:hAnsi="仿宋" w:eastAsia="仿宋" w:cs="仿宋"/>
          <w:sz w:val="28"/>
          <w:szCs w:val="28"/>
          <w:highlight w:val="none"/>
          <w:lang w:eastAsia="zh-CN"/>
        </w:rPr>
        <w:t>等</w:t>
      </w:r>
      <w:r>
        <w:rPr>
          <w:rFonts w:hint="eastAsia" w:ascii="仿宋" w:hAnsi="仿宋" w:eastAsia="仿宋" w:cs="仿宋"/>
          <w:sz w:val="28"/>
          <w:szCs w:val="28"/>
          <w:highlight w:val="none"/>
          <w:lang w:val="en-US" w:eastAsia="zh-CN"/>
        </w:rPr>
        <w:t>11个</w:t>
      </w:r>
      <w:r>
        <w:rPr>
          <w:rFonts w:hint="eastAsia" w:ascii="仿宋" w:hAnsi="仿宋" w:eastAsia="仿宋" w:cs="仿宋"/>
          <w:sz w:val="28"/>
          <w:szCs w:val="28"/>
          <w:highlight w:val="none"/>
          <w:lang w:eastAsia="zh-CN"/>
        </w:rPr>
        <w:t>职能</w:t>
      </w:r>
      <w:r>
        <w:rPr>
          <w:rFonts w:hint="eastAsia" w:ascii="仿宋" w:hAnsi="仿宋" w:eastAsia="仿宋" w:cs="仿宋"/>
          <w:sz w:val="28"/>
          <w:szCs w:val="28"/>
          <w:highlight w:val="none"/>
          <w:lang w:val="en-US" w:eastAsia="zh-CN"/>
        </w:rPr>
        <w:t>机构,</w:t>
      </w:r>
      <w:r>
        <w:rPr>
          <w:rFonts w:hint="eastAsia" w:ascii="仿宋" w:hAnsi="仿宋" w:eastAsia="仿宋" w:cs="仿宋"/>
          <w:sz w:val="28"/>
          <w:szCs w:val="28"/>
          <w:highlight w:val="none"/>
          <w:lang w:eastAsia="zh-CN"/>
        </w:rPr>
        <w:t>下辖法律援助中心、公证处2个二级机构及25个乡镇（街道）司法所。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隆回县司法局编制人数11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人，实际人数</w:t>
      </w:r>
      <w:r>
        <w:rPr>
          <w:rFonts w:hint="eastAsia" w:ascii="仿宋" w:hAnsi="仿宋" w:eastAsia="仿宋" w:cs="仿宋"/>
          <w:sz w:val="28"/>
          <w:szCs w:val="28"/>
          <w:highlight w:val="none"/>
          <w:lang w:val="en-US" w:eastAsia="zh-CN"/>
        </w:rPr>
        <w:t>138</w:t>
      </w:r>
      <w:r>
        <w:rPr>
          <w:rFonts w:hint="eastAsia" w:ascii="仿宋" w:hAnsi="仿宋" w:eastAsia="仿宋" w:cs="仿宋"/>
          <w:sz w:val="28"/>
          <w:szCs w:val="28"/>
          <w:highlight w:val="none"/>
        </w:rPr>
        <w:t>人（其中，在职114人，离退休24人），遗属补助1人，小车编制数3台，实际3台，房屋面积8680平方米。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2021</w:t>
      </w:r>
      <w:r>
        <w:rPr>
          <w:rFonts w:hint="eastAsia" w:ascii="Times New Roman" w:hAnsi="Times New Roman" w:eastAsia="仿宋_GB2312" w:cs="Times New Roman"/>
          <w:sz w:val="32"/>
          <w:szCs w:val="32"/>
        </w:rPr>
        <w:t>年的重点工作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1、精准开展普法宣传教育；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2、加强规范性文件审查备案和清理；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3、努力践行新时代“枫桥经验”，做实矛盾纠纷排查调处；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4、严格执法程序，规范执法环节，做好社区矫正工作；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5、精心开展公共法律服务；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（三）部门整体支出情况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pPr>
      <w:r>
        <w:rPr>
          <w:rFonts w:hint="eastAsia" w:ascii="仿宋" w:hAnsi="仿宋" w:eastAsia="仿宋" w:cs="仿宋"/>
          <w:sz w:val="28"/>
          <w:szCs w:val="28"/>
          <w:highlight w:val="none"/>
          <w:lang w:val="en-US" w:eastAsia="zh-CN"/>
        </w:rPr>
        <w:t>2021年度决算支出为1912.24万元。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年度</w:t>
      </w:r>
      <w:r>
        <w:rPr>
          <w:rFonts w:hint="eastAsia" w:ascii="仿宋" w:hAnsi="仿宋" w:eastAsia="仿宋" w:cs="仿宋"/>
          <w:sz w:val="30"/>
          <w:szCs w:val="30"/>
          <w:lang w:eastAsia="zh-CN"/>
        </w:rPr>
        <w:t>决算数为</w:t>
      </w:r>
      <w:r>
        <w:rPr>
          <w:rFonts w:hint="eastAsia" w:ascii="仿宋" w:hAnsi="仿宋" w:eastAsia="仿宋" w:cs="仿宋"/>
          <w:sz w:val="30"/>
          <w:szCs w:val="30"/>
          <w:lang w:val="en-US" w:eastAsia="zh-CN"/>
        </w:rPr>
        <w:t>1613.38</w:t>
      </w:r>
      <w:r>
        <w:rPr>
          <w:rFonts w:hint="eastAsia" w:ascii="仿宋" w:hAnsi="仿宋" w:eastAsia="仿宋" w:cs="仿宋"/>
          <w:sz w:val="30"/>
          <w:szCs w:val="30"/>
        </w:rPr>
        <w:t>万元，</w:t>
      </w:r>
      <w:r>
        <w:rPr>
          <w:rFonts w:hint="eastAsia" w:eastAsia="仿宋_GB2312"/>
          <w:sz w:val="32"/>
          <w:szCs w:val="32"/>
          <w:lang w:eastAsia="zh-CN"/>
        </w:rPr>
        <w:t>其中：人员经费</w:t>
      </w:r>
      <w:r>
        <w:rPr>
          <w:rFonts w:hint="eastAsia" w:ascii="仿宋" w:hAnsi="仿宋" w:eastAsia="仿宋" w:cs="仿宋"/>
          <w:sz w:val="30"/>
          <w:szCs w:val="30"/>
          <w:lang w:val="en-US" w:eastAsia="zh-CN"/>
        </w:rPr>
        <w:t>1465.64</w:t>
      </w:r>
      <w:r>
        <w:rPr>
          <w:rFonts w:hint="eastAsia" w:ascii="仿宋" w:hAnsi="仿宋" w:eastAsia="仿宋" w:cs="仿宋"/>
          <w:sz w:val="30"/>
          <w:szCs w:val="30"/>
          <w:lang w:eastAsia="zh-CN"/>
        </w:rPr>
        <w:t>万元，日常公用经费</w:t>
      </w:r>
      <w:r>
        <w:rPr>
          <w:rFonts w:hint="eastAsia" w:ascii="仿宋" w:hAnsi="仿宋" w:eastAsia="仿宋" w:cs="仿宋"/>
          <w:sz w:val="30"/>
          <w:szCs w:val="30"/>
          <w:lang w:val="en-US" w:eastAsia="zh-CN"/>
        </w:rPr>
        <w:t>147.74</w:t>
      </w:r>
      <w:r>
        <w:rPr>
          <w:rFonts w:hint="eastAsia" w:ascii="仿宋" w:hAnsi="仿宋" w:eastAsia="仿宋" w:cs="仿宋"/>
          <w:sz w:val="30"/>
          <w:szCs w:val="30"/>
          <w:lang w:eastAsia="zh-CN"/>
        </w:rPr>
        <w:t>万元。</w:t>
      </w:r>
      <w:r>
        <w:rPr>
          <w:rFonts w:hint="eastAsia" w:ascii="仿宋" w:hAnsi="仿宋" w:eastAsia="仿宋" w:cs="仿宋"/>
          <w:sz w:val="30"/>
          <w:szCs w:val="30"/>
        </w:rPr>
        <w:t>用于保障单位机构正常运转、完成日常工作任务而发生的各项支出，包括用于基本工资、津贴补贴等人员经费以及办公费、印刷费、水电费及办公设备购置等日常公用经费。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项目支出情况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年度决算数为</w:t>
      </w:r>
      <w:r>
        <w:rPr>
          <w:rFonts w:hint="eastAsia" w:ascii="仿宋" w:hAnsi="仿宋" w:eastAsia="仿宋" w:cs="仿宋"/>
          <w:sz w:val="30"/>
          <w:szCs w:val="30"/>
          <w:lang w:val="en-US" w:eastAsia="zh-CN"/>
        </w:rPr>
        <w:t>298.86</w:t>
      </w:r>
      <w:r>
        <w:rPr>
          <w:rFonts w:hint="eastAsia" w:ascii="仿宋" w:hAnsi="仿宋" w:eastAsia="仿宋" w:cs="仿宋"/>
          <w:sz w:val="30"/>
          <w:szCs w:val="30"/>
          <w:lang w:eastAsia="zh-CN"/>
        </w:rPr>
        <w:t>万元，用于单位为完成相关行政工作和事业发展目标所发生的各项支出。主要用于普法、社区矫正、法律援助、行政复议、人民调解等相关支出。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（三）</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 xml:space="preserve">     1</w:t>
      </w:r>
      <w:r>
        <w:rPr>
          <w:rFonts w:hint="eastAsia" w:eastAsia="仿宋_GB2312"/>
          <w:sz w:val="32"/>
          <w:szCs w:val="32"/>
        </w:rPr>
        <w:t>．因公出国（境）费用</w:t>
      </w:r>
      <w:r>
        <w:rPr>
          <w:rFonts w:hint="eastAsia" w:eastAsia="仿宋_GB2312"/>
          <w:sz w:val="32"/>
          <w:szCs w:val="32"/>
          <w:lang w:val="en-US" w:eastAsia="zh-CN"/>
        </w:rPr>
        <w:t>0万元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 xml:space="preserve">     2</w:t>
      </w:r>
      <w:r>
        <w:rPr>
          <w:rFonts w:hint="eastAsia" w:eastAsia="仿宋_GB2312"/>
          <w:sz w:val="32"/>
          <w:szCs w:val="32"/>
        </w:rPr>
        <w:t>．公务接待费</w:t>
      </w:r>
      <w:r>
        <w:rPr>
          <w:rFonts w:hint="eastAsia" w:eastAsia="仿宋_GB2312"/>
          <w:sz w:val="32"/>
          <w:szCs w:val="32"/>
          <w:lang w:val="en-US" w:eastAsia="zh-CN"/>
        </w:rPr>
        <w:t>2.99万元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 xml:space="preserve">     3</w:t>
      </w:r>
      <w:r>
        <w:rPr>
          <w:rFonts w:hint="eastAsia" w:eastAsia="仿宋_GB2312"/>
          <w:sz w:val="32"/>
          <w:szCs w:val="32"/>
        </w:rPr>
        <w:t>．公务用车购置及运行费</w:t>
      </w:r>
      <w:r>
        <w:rPr>
          <w:rFonts w:hint="eastAsia" w:eastAsia="仿宋_GB2312"/>
          <w:sz w:val="32"/>
          <w:szCs w:val="32"/>
          <w:lang w:val="en-US" w:eastAsia="zh-CN"/>
        </w:rPr>
        <w:t>8.64万元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三、部门整体支出绩效情况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精准开展普法宣传教育。全面发挥法治宣传志愿服务队和律师作用，回应群众需要，开展“送法下乡”“送法进企业”、妇女维权、国家安全教育、青少年法治宣传教育周、12.4宪法宣传周、防溺水、禁毒和反电诈法治宣传等活动。组织全县1.8万余名公职人员完成2021年度学法考试。县法治文化主题广场和村级法治文化广场建设稳步推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加强规范性文件审查备案和清理，共审查规范性文件9件，一般文件80件，执行“三统一”及备案“三率”100%。对涉及《长江流域保护法》和新修订的《行政处罚法》的规范性文件进行了专项清理。加大合同管理工作力度，共审查合同20个，其中政府合同12个，部门合同8个。聚焦执法建设，强化行政执法协调监督，出具行政执法监督函2件，开展2021年度案卷评查，逐步提高执法质量。开展证明事项告知承诺制清理工作，全面清理证明事项187项，其中实行告知承诺制的证明事项44项。践行行政复议便民理念，全心便民服务、全方位受理申请、办案全过程公开的“三全”措施经验做法在湖南司法行政网推介。共收到行政复议44件，结案41件，其中维持12件，撤销3件，确认违法2件，责令履行职责2件，和解11件，驳回申请5件，不予受理6件。严格落实行政应诉规则，代表县人民政府出庭应诉29件，已审结25件，胜诉24件，胜诉率96%。</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努力践行新时代“枫桥经验”，做实矛盾纠纷排查调处。坚持排查在先、关口前移，乡镇（街道）、村（社区）每月排查矛盾纠纷一次，做到对矛盾纠纷底数清、情况明。完善村（社区）法律顾问制度，夯实基层依法调解基础。持续推动人民调解员培训，7月依托省调解员示范培训班平台，对全县武装政法委员、司法所长进行了人民调解业务培训。扎实开展“迎建党百年 护和谐稳定”矛盾纠纷排查化解专项月活动和国庆期间矛盾纠纷排查化解月专项活动，实行每周一排查一报送制,做到早发现、早分析、早预防、早化解,共排查化解矛盾纠纷191件，为营造安全稳定的社会环境贡献了司法行政力量。县矛盾纠纷调处中心先后成功调处各类重大疑难复杂矛盾纠纷34件，涉及金额总计1000余万元。1-11月，全县各级人民调解委员会共排查调处矛盾纠纷4336件，调解成功4227件，调解成功率为97.5%。审核发放“以奖代补”资金40.7万元，有效调动了村级调解员的工作积极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严格执法程序，规范执法环节，做好社区矫正工作。今年，全县累计接收开展社会调查288例，累计接收各类矫正对象204人，累计解矫224人，目前在册社区矫正对象343人，无一人脱管、漏管，未发生任何有社会影响的重大案件，没有因社区矫正措施不力、工作管理不到位造成的矫正对象重新犯罪。管帮结合，做细安置帮教工作。对“回归”社会的刑满释放人员都由县安置帮教办统一接待，登记造册，由司法所建立档案，确保情况底数清，去向明。重点对象接返率达100%。目前在册安置帮教对象2933人。远程探视室正式运行，已开展探视96人次，有力帮助了在监罪犯改造。</w:t>
      </w:r>
    </w:p>
    <w:p>
      <w:pPr>
        <w:pStyle w:val="6"/>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精心开展公共法律服务。深入开展突出问题专项治理。根据司法部、省司法厅、市司法局有关部署要求，高标准推进律师行业突出问题专项治理，公证和司法鉴定行业突出问题专项治理工作。积极处理投诉事项，对投诉事项进行仔细调查，做出相应的处理和回复。通过一些列努力，全县法律服务行业各项工作取得了长足进步。全县律师共代理案件1418件，法律工作者代理案件547件。落实《2021年全省重点民生实事法律援助项目实施方案》任务，推广经济困难证明告知承诺制，共办理法律援助案件747件，超额完成上级分配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四、存在的问题</w:t>
      </w:r>
    </w:p>
    <w:p>
      <w:pPr>
        <w:pStyle w:val="6"/>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1、资产管理需进一步规范化、精细化。</w:t>
      </w:r>
    </w:p>
    <w:p>
      <w:pPr>
        <w:pStyle w:val="6"/>
        <w:rPr>
          <w:rFonts w:hint="default"/>
          <w:lang w:val="en-US" w:eastAsia="zh-CN"/>
        </w:rPr>
      </w:pPr>
      <w:r>
        <w:rPr>
          <w:rFonts w:hint="eastAsia" w:ascii="仿宋" w:hAnsi="仿宋" w:eastAsia="仿宋" w:cs="仿宋"/>
          <w:kern w:val="2"/>
          <w:sz w:val="28"/>
          <w:szCs w:val="28"/>
          <w:highlight w:val="none"/>
          <w:lang w:val="en-US" w:eastAsia="zh-CN" w:bidi="ar-SA"/>
        </w:rPr>
        <w:t>2、因单位除财政拨款外无任何收入，</w:t>
      </w:r>
      <w:r>
        <w:rPr>
          <w:rFonts w:hint="default" w:ascii="仿宋" w:hAnsi="仿宋" w:eastAsia="仿宋" w:cs="仿宋"/>
          <w:kern w:val="2"/>
          <w:sz w:val="28"/>
          <w:szCs w:val="28"/>
          <w:highlight w:val="none"/>
          <w:lang w:val="en-US" w:eastAsia="zh-CN" w:bidi="ar-SA"/>
        </w:rPr>
        <w:t>年度经费预算不足，不能确保司法行政工作正常运行。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五、改进措施和有关建议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1、加强</w:t>
      </w:r>
      <w:r>
        <w:rPr>
          <w:rFonts w:hint="default" w:ascii="仿宋" w:hAnsi="仿宋" w:eastAsia="仿宋" w:cs="仿宋"/>
          <w:sz w:val="28"/>
          <w:szCs w:val="28"/>
          <w:highlight w:val="none"/>
          <w:lang w:val="en-US" w:eastAsia="zh-CN"/>
        </w:rPr>
        <w:t>县司法局</w:t>
      </w:r>
      <w:r>
        <w:rPr>
          <w:rFonts w:hint="eastAsia" w:ascii="仿宋" w:hAnsi="仿宋" w:eastAsia="仿宋" w:cs="仿宋"/>
          <w:sz w:val="28"/>
          <w:szCs w:val="28"/>
          <w:highlight w:val="none"/>
          <w:lang w:val="en-US" w:eastAsia="zh-CN"/>
        </w:rPr>
        <w:t>本级</w:t>
      </w:r>
      <w:r>
        <w:rPr>
          <w:rFonts w:hint="default" w:ascii="仿宋" w:hAnsi="仿宋" w:eastAsia="仿宋" w:cs="仿宋"/>
          <w:sz w:val="28"/>
          <w:szCs w:val="28"/>
          <w:highlight w:val="none"/>
          <w:lang w:val="en-US" w:eastAsia="zh-CN"/>
        </w:rPr>
        <w:t>及下辖司法所定期开展资产盘点工作，根据盘点结果，更新资产管理系统使用人、保管地点、使用状态等信息，并对资产实物进行贴标管理</w:t>
      </w:r>
      <w:r>
        <w:rPr>
          <w:rFonts w:hint="eastAsia"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default" w:ascii="仿宋" w:hAnsi="仿宋" w:eastAsia="仿宋" w:cs="仿宋"/>
          <w:sz w:val="28"/>
          <w:szCs w:val="28"/>
          <w:highlight w:val="none"/>
          <w:lang w:val="en-US" w:eastAsia="zh-CN"/>
        </w:rPr>
        <w:t>建议</w:t>
      </w:r>
      <w:r>
        <w:rPr>
          <w:rFonts w:hint="eastAsia" w:ascii="仿宋" w:hAnsi="仿宋" w:eastAsia="仿宋" w:cs="仿宋"/>
          <w:sz w:val="28"/>
          <w:szCs w:val="28"/>
          <w:highlight w:val="none"/>
          <w:lang w:val="en-US" w:eastAsia="zh-CN"/>
        </w:rPr>
        <w:t>提高</w:t>
      </w:r>
      <w:r>
        <w:rPr>
          <w:rFonts w:hint="default" w:ascii="仿宋" w:hAnsi="仿宋" w:eastAsia="仿宋" w:cs="仿宋"/>
          <w:sz w:val="28"/>
          <w:szCs w:val="28"/>
          <w:highlight w:val="none"/>
          <w:lang w:val="en-US" w:eastAsia="zh-CN"/>
        </w:rPr>
        <w:t>我局</w:t>
      </w:r>
      <w:r>
        <w:rPr>
          <w:rFonts w:hint="eastAsia" w:ascii="仿宋" w:hAnsi="仿宋" w:eastAsia="仿宋" w:cs="仿宋"/>
          <w:sz w:val="28"/>
          <w:szCs w:val="28"/>
          <w:highlight w:val="none"/>
          <w:lang w:val="en-US" w:eastAsia="zh-CN"/>
        </w:rPr>
        <w:t>年度部门预算额度，将</w:t>
      </w:r>
      <w:r>
        <w:rPr>
          <w:rFonts w:hint="default" w:ascii="仿宋" w:hAnsi="仿宋" w:eastAsia="仿宋" w:cs="仿宋"/>
          <w:sz w:val="28"/>
          <w:szCs w:val="28"/>
          <w:highlight w:val="none"/>
          <w:lang w:val="en-US" w:eastAsia="zh-CN"/>
        </w:rPr>
        <w:t>年度绩效考核奖；年度综治考核先进单位奖；省、市、县文明考核先进单位奖都纳入年度预算</w:t>
      </w:r>
      <w:r>
        <w:rPr>
          <w:rFonts w:hint="eastAsia" w:ascii="仿宋" w:hAnsi="仿宋" w:eastAsia="仿宋" w:cs="仿宋"/>
          <w:sz w:val="28"/>
          <w:szCs w:val="28"/>
          <w:highlight w:val="none"/>
          <w:lang w:val="en-US" w:eastAsia="zh-CN"/>
        </w:rPr>
        <w:t>。</w:t>
      </w:r>
    </w:p>
    <w:p>
      <w:pPr>
        <w:ind w:firstLine="640" w:firstLineChars="200"/>
        <w:rPr>
          <w:rFonts w:hint="default" w:ascii="仿宋_GB2312" w:hAnsi="仿宋_GB2312" w:eastAsia="仿宋_GB2312" w:cs="仿宋_GB2312"/>
          <w:kern w:val="2"/>
          <w:sz w:val="32"/>
          <w:szCs w:val="32"/>
          <w:highlight w:val="none"/>
          <w:lang w:val="en-US" w:eastAsia="zh-CN" w:bidi="ar-SA"/>
        </w:rPr>
      </w:pPr>
    </w:p>
    <w:p>
      <w:pPr>
        <w:pStyle w:val="6"/>
        <w:rPr>
          <w:rFonts w:hint="eastAsia" w:eastAsia="黑体"/>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9749C"/>
    <w:multiLevelType w:val="singleLevel"/>
    <w:tmpl w:val="ECC974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92759"/>
    <w:rsid w:val="0644186E"/>
    <w:rsid w:val="06445D60"/>
    <w:rsid w:val="066606B5"/>
    <w:rsid w:val="07AD2313"/>
    <w:rsid w:val="082500FC"/>
    <w:rsid w:val="08412974"/>
    <w:rsid w:val="08880EF4"/>
    <w:rsid w:val="08A936FF"/>
    <w:rsid w:val="09A55BBE"/>
    <w:rsid w:val="0AB13EC9"/>
    <w:rsid w:val="0B584096"/>
    <w:rsid w:val="0C0369A6"/>
    <w:rsid w:val="0D2C5A88"/>
    <w:rsid w:val="0ED97325"/>
    <w:rsid w:val="0F1B7339"/>
    <w:rsid w:val="0F423341"/>
    <w:rsid w:val="11292A0B"/>
    <w:rsid w:val="11924EB2"/>
    <w:rsid w:val="11A92759"/>
    <w:rsid w:val="11C66B50"/>
    <w:rsid w:val="12254719"/>
    <w:rsid w:val="125C1B64"/>
    <w:rsid w:val="131B2827"/>
    <w:rsid w:val="138A3509"/>
    <w:rsid w:val="14A800EA"/>
    <w:rsid w:val="15F829AC"/>
    <w:rsid w:val="19613AB3"/>
    <w:rsid w:val="1B625754"/>
    <w:rsid w:val="1CD777BF"/>
    <w:rsid w:val="1E7828DC"/>
    <w:rsid w:val="1E7F010E"/>
    <w:rsid w:val="1FDB5818"/>
    <w:rsid w:val="20B8530E"/>
    <w:rsid w:val="2208041A"/>
    <w:rsid w:val="235B27CC"/>
    <w:rsid w:val="246F5C6D"/>
    <w:rsid w:val="268F2EB8"/>
    <w:rsid w:val="26D20FF7"/>
    <w:rsid w:val="2A8D5961"/>
    <w:rsid w:val="2AE8703B"/>
    <w:rsid w:val="2B7D59D5"/>
    <w:rsid w:val="2FE37DD1"/>
    <w:rsid w:val="30043681"/>
    <w:rsid w:val="32052280"/>
    <w:rsid w:val="3307027A"/>
    <w:rsid w:val="33F16F60"/>
    <w:rsid w:val="35991BEF"/>
    <w:rsid w:val="361F7E93"/>
    <w:rsid w:val="38A92848"/>
    <w:rsid w:val="398375D4"/>
    <w:rsid w:val="39DC7D6B"/>
    <w:rsid w:val="3B2319C9"/>
    <w:rsid w:val="3B4541EE"/>
    <w:rsid w:val="3C1E28BD"/>
    <w:rsid w:val="3D9F5C7F"/>
    <w:rsid w:val="3DDF6AE4"/>
    <w:rsid w:val="3EAA48DB"/>
    <w:rsid w:val="3F034E6B"/>
    <w:rsid w:val="3FC8114B"/>
    <w:rsid w:val="3FE21E53"/>
    <w:rsid w:val="428E13AB"/>
    <w:rsid w:val="44C304A5"/>
    <w:rsid w:val="47047D08"/>
    <w:rsid w:val="488C5052"/>
    <w:rsid w:val="48F84495"/>
    <w:rsid w:val="4A6A3171"/>
    <w:rsid w:val="4B814144"/>
    <w:rsid w:val="4CC528E0"/>
    <w:rsid w:val="4D5D6FBD"/>
    <w:rsid w:val="4F2204BE"/>
    <w:rsid w:val="4F9A0018"/>
    <w:rsid w:val="502869FF"/>
    <w:rsid w:val="51A451BA"/>
    <w:rsid w:val="51C41CDE"/>
    <w:rsid w:val="52D4387D"/>
    <w:rsid w:val="53146370"/>
    <w:rsid w:val="53204D14"/>
    <w:rsid w:val="554271C4"/>
    <w:rsid w:val="556F56B7"/>
    <w:rsid w:val="57F916BB"/>
    <w:rsid w:val="5875340D"/>
    <w:rsid w:val="594E54C3"/>
    <w:rsid w:val="5A2C4F47"/>
    <w:rsid w:val="5A642DFF"/>
    <w:rsid w:val="5ABE7F7E"/>
    <w:rsid w:val="5CF36FE3"/>
    <w:rsid w:val="609A4358"/>
    <w:rsid w:val="62D04A78"/>
    <w:rsid w:val="62E0001C"/>
    <w:rsid w:val="636E4ABC"/>
    <w:rsid w:val="650E3579"/>
    <w:rsid w:val="67564D51"/>
    <w:rsid w:val="686439EC"/>
    <w:rsid w:val="68D979E8"/>
    <w:rsid w:val="696B330A"/>
    <w:rsid w:val="69B8584F"/>
    <w:rsid w:val="69FF347E"/>
    <w:rsid w:val="6A026ACA"/>
    <w:rsid w:val="6B6934B9"/>
    <w:rsid w:val="6C8A28A2"/>
    <w:rsid w:val="6D54763D"/>
    <w:rsid w:val="6DBF34CC"/>
    <w:rsid w:val="6DC522E8"/>
    <w:rsid w:val="6F751AEC"/>
    <w:rsid w:val="6FCA62DC"/>
    <w:rsid w:val="6FEF5D43"/>
    <w:rsid w:val="717563C9"/>
    <w:rsid w:val="72F1592E"/>
    <w:rsid w:val="73B2330F"/>
    <w:rsid w:val="758B13BC"/>
    <w:rsid w:val="793C6E26"/>
    <w:rsid w:val="79C06130"/>
    <w:rsid w:val="7D6D1BFB"/>
    <w:rsid w:val="7E3239CA"/>
    <w:rsid w:val="7ED206C5"/>
    <w:rsid w:val="7F657C66"/>
    <w:rsid w:val="7FC57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after="200" w:line="276" w:lineRule="auto"/>
    </w:pPr>
    <w:rPr>
      <w:rFonts w:ascii="Arial" w:hAnsi="Arial" w:eastAsia="宋体" w:cs="Times New Roman"/>
      <w:sz w:val="24"/>
      <w:szCs w:val="24"/>
    </w:rPr>
  </w:style>
  <w:style w:type="paragraph" w:styleId="3">
    <w:name w:val="index 6"/>
    <w:basedOn w:val="1"/>
    <w:next w:val="1"/>
    <w:qFormat/>
    <w:uiPriority w:val="0"/>
    <w:pPr>
      <w:ind w:left="2100"/>
    </w:pPr>
  </w:style>
  <w:style w:type="paragraph" w:styleId="4">
    <w:name w:val="Body Text Indent"/>
    <w:basedOn w:val="1"/>
    <w:qFormat/>
    <w:uiPriority w:val="0"/>
    <w:pPr>
      <w:ind w:firstLine="640" w:firstLineChars="200"/>
    </w:pPr>
    <w:rPr>
      <w:sz w:val="32"/>
    </w:rPr>
  </w:style>
  <w:style w:type="paragraph" w:styleId="5">
    <w:name w:val="Normal (Web)"/>
    <w:basedOn w:val="1"/>
    <w:qFormat/>
    <w:uiPriority w:val="0"/>
    <w:pPr>
      <w:spacing w:before="100" w:beforeAutospacing="1" w:after="100" w:afterAutospacing="1"/>
      <w:jc w:val="left"/>
    </w:pPr>
    <w:rPr>
      <w:rFonts w:ascii="Calibri" w:hAnsi="Calibri" w:cs="宋体"/>
      <w:kern w:val="0"/>
      <w:sz w:val="24"/>
    </w:rPr>
  </w:style>
  <w:style w:type="paragraph" w:styleId="6">
    <w:name w:val="Body Text First Indent 2"/>
    <w:basedOn w:val="4"/>
    <w:next w:val="3"/>
    <w:qFormat/>
    <w:uiPriority w:val="99"/>
    <w:pPr>
      <w:ind w:firstLine="420" w:firstLineChars="200"/>
    </w:pPr>
  </w:style>
  <w:style w:type="character" w:customStyle="1" w:styleId="9">
    <w:name w:val="NormalCharacter"/>
    <w:semiHidden/>
    <w:qFormat/>
    <w:uiPriority w:val="0"/>
    <w:rPr>
      <w:kern w:val="2"/>
      <w:sz w:val="21"/>
      <w:szCs w:val="24"/>
      <w:lang w:val="en-US" w:eastAsia="zh-CN" w:bidi="ar-SA"/>
    </w:rPr>
  </w:style>
  <w:style w:type="paragraph" w:customStyle="1" w:styleId="10">
    <w:name w:val="Body Text First Indent 21"/>
    <w:basedOn w:val="4"/>
    <w:qFormat/>
    <w:uiPriority w:val="0"/>
    <w:pPr>
      <w:spacing w:after="0"/>
      <w:ind w:left="0" w:leftChars="0" w:firstLine="420" w:firstLineChars="200"/>
    </w:pPr>
    <w:rPr>
      <w:sz w:val="32"/>
    </w:rPr>
  </w:style>
  <w:style w:type="paragraph" w:customStyle="1"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default" w:ascii="微软雅黑" w:hAnsi="微软雅黑" w:eastAsia="微软雅黑" w:cs="微软雅黑"/>
      <w:kern w:val="0"/>
      <w:sz w:val="21"/>
      <w:szCs w:val="21"/>
      <w:lang w:val="en-US" w:eastAsia="zh-CN"/>
    </w:rPr>
  </w:style>
  <w:style w:type="paragraph" w:customStyle="1" w:styleId="12">
    <w:name w:val="Body Text First Indent 2"/>
    <w:basedOn w:val="4"/>
    <w:qFormat/>
    <w:uiPriority w:val="0"/>
    <w:pPr>
      <w:spacing w:before="100" w:beforeAutospacing="1" w:after="0"/>
      <w:ind w:left="0" w:firstLine="420" w:firstLineChars="200"/>
    </w:pPr>
    <w:rPr>
      <w:rFonts w:hint="default" w:ascii="Calibri" w:hAnsi="Calibri" w:eastAsia="宋体" w:cs="Times New Roman"/>
    </w:rPr>
  </w:style>
  <w:style w:type="paragraph" w:customStyle="1" w:styleId="13">
    <w:name w:val="UserStyle_0"/>
    <w:basedOn w:val="1"/>
    <w:qFormat/>
    <w:uiPriority w:val="0"/>
    <w:pPr>
      <w:ind w:firstLine="420" w:firstLineChars="200"/>
      <w:textAlignment w:val="baseline"/>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131</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2022-04-25T06:50:00Z</dcterms:created>
  <dc:creator>Administrator</dc:creator>
  <cp:lastModifiedBy>Administrator</cp:lastModifiedBy>
  <cp:lastPrinted>2022-05-09T02:05:20Z</cp:lastPrinted>
  <dcterms:modified xsi:type="dcterms:W3CDTF">2022-05-09T02:10:19Z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77546F2E61394B4AB970E71B7F88B2F4</vt:lpwstr>
  </property>
</Properties>
</file>