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textAlignment w:val="auto"/>
        <w:rPr>
          <w:rFonts w:ascii="方正仿宋简体" w:hAnsi="宋体" w:eastAsia="方正仿宋简体" w:cs="宋体"/>
          <w:kern w:val="0"/>
          <w:sz w:val="32"/>
          <w:szCs w:val="32"/>
        </w:rPr>
      </w:pPr>
    </w:p>
    <w:p>
      <w:pPr>
        <w:spacing w:line="600" w:lineRule="exact"/>
        <w:jc w:val="center"/>
        <w:rPr>
          <w:rFonts w:ascii="方正小标宋简体" w:eastAsia="方正小标宋简体"/>
          <w:bCs/>
          <w:kern w:val="0"/>
          <w:sz w:val="36"/>
          <w:szCs w:val="36"/>
        </w:rPr>
      </w:pPr>
      <w:r>
        <w:rPr>
          <w:rFonts w:hint="eastAsia" w:ascii="方正小标宋简体" w:eastAsia="方正小标宋简体"/>
          <w:bCs/>
          <w:kern w:val="0"/>
          <w:sz w:val="36"/>
          <w:szCs w:val="36"/>
        </w:rPr>
        <w:t>部门整体支出绩效自评基础数据表</w:t>
      </w:r>
    </w:p>
    <w:tbl>
      <w:tblPr>
        <w:tblStyle w:val="9"/>
        <w:tblW w:w="91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
        <w:gridCol w:w="533"/>
        <w:gridCol w:w="1168"/>
        <w:gridCol w:w="2245"/>
        <w:gridCol w:w="732"/>
        <w:gridCol w:w="434"/>
        <w:gridCol w:w="1125"/>
        <w:gridCol w:w="111"/>
        <w:gridCol w:w="1028"/>
        <w:gridCol w:w="570"/>
        <w:gridCol w:w="1017"/>
        <w:gridCol w:w="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7" w:type="dxa"/>
          <w:trHeight w:val="480" w:hRule="atLeast"/>
          <w:jc w:val="center"/>
        </w:trPr>
        <w:tc>
          <w:tcPr>
            <w:tcW w:w="9071" w:type="dxa"/>
            <w:gridSpan w:val="11"/>
            <w:tcBorders>
              <w:top w:val="nil"/>
              <w:left w:val="nil"/>
              <w:bottom w:val="nil"/>
              <w:right w:val="nil"/>
            </w:tcBorders>
            <w:noWrap w:val="0"/>
            <w:vAlign w:val="center"/>
          </w:tcPr>
          <w:p>
            <w:pPr>
              <w:spacing w:line="600" w:lineRule="exact"/>
              <w:jc w:val="center"/>
              <w:rPr>
                <w:rFonts w:ascii="黑体" w:hAnsi="黑体" w:eastAsia="黑体" w:cs="黑体"/>
              </w:rPr>
            </w:pPr>
            <w:r>
              <w:rPr>
                <w:rFonts w:hint="eastAsia" w:ascii="黑体" w:hAnsi="黑体" w:eastAsia="黑体" w:cs="黑体"/>
                <w:sz w:val="24"/>
              </w:rPr>
              <w:t>（</w:t>
            </w:r>
            <w:r>
              <w:rPr>
                <w:rFonts w:hint="eastAsia" w:ascii="黑体" w:hAnsi="黑体" w:eastAsia="黑体" w:cs="黑体"/>
                <w:sz w:val="24"/>
                <w:lang w:eastAsia="zh-CN"/>
              </w:rPr>
              <w:t>2021</w:t>
            </w:r>
            <w:r>
              <w:rPr>
                <w:rFonts w:hint="eastAsia" w:ascii="黑体" w:hAnsi="黑体" w:eastAsia="黑体" w:cs="黑体"/>
                <w:sz w:val="24"/>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036" w:hRule="exact"/>
          <w:jc w:val="center"/>
        </w:trPr>
        <w:tc>
          <w:tcPr>
            <w:tcW w:w="533"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基本情况</w:t>
            </w: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单位名称（盖章）</w:t>
            </w:r>
          </w:p>
        </w:tc>
        <w:tc>
          <w:tcPr>
            <w:tcW w:w="7299" w:type="dxa"/>
            <w:gridSpan w:val="9"/>
            <w:noWrap w:val="0"/>
            <w:vAlign w:val="top"/>
          </w:tcPr>
          <w:p>
            <w:pPr>
              <w:spacing w:line="540" w:lineRule="exact"/>
              <w:jc w:val="left"/>
              <w:rPr>
                <w:rFonts w:hint="eastAsia" w:ascii="楷体" w:hAnsi="楷体" w:eastAsia="楷体" w:cs="楷体"/>
                <w:szCs w:val="21"/>
                <w:lang w:eastAsia="zh-CN"/>
              </w:rPr>
            </w:pPr>
            <w:r>
              <w:rPr>
                <w:rFonts w:hint="eastAsia" w:ascii="楷体" w:hAnsi="楷体" w:eastAsia="楷体" w:cs="楷体"/>
                <w:szCs w:val="21"/>
                <w:lang w:eastAsia="zh-CN"/>
              </w:rPr>
              <w:t>隆回县人大常委会办公室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466"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编制人数</w:t>
            </w:r>
          </w:p>
        </w:tc>
        <w:tc>
          <w:tcPr>
            <w:tcW w:w="2977" w:type="dxa"/>
            <w:gridSpan w:val="2"/>
            <w:noWrap w:val="0"/>
            <w:vAlign w:val="top"/>
          </w:tcPr>
          <w:p>
            <w:pPr>
              <w:spacing w:line="540" w:lineRule="exact"/>
              <w:ind w:firstLine="105" w:firstLineChars="50"/>
              <w:jc w:val="left"/>
              <w:rPr>
                <w:rFonts w:hint="default" w:ascii="楷体" w:hAnsi="楷体" w:eastAsia="楷体" w:cs="楷体"/>
                <w:szCs w:val="21"/>
                <w:lang w:val="en-US" w:eastAsia="zh-CN"/>
              </w:rPr>
            </w:pPr>
            <w:r>
              <w:rPr>
                <w:rFonts w:hint="eastAsia" w:ascii="楷体" w:hAnsi="楷体" w:eastAsia="楷体" w:cs="楷体"/>
                <w:szCs w:val="21"/>
                <w:lang w:val="en-US" w:eastAsia="zh-CN"/>
              </w:rPr>
              <w:t>65</w:t>
            </w:r>
          </w:p>
        </w:tc>
        <w:tc>
          <w:tcPr>
            <w:tcW w:w="1559" w:type="dxa"/>
            <w:gridSpan w:val="2"/>
            <w:noWrap w:val="0"/>
            <w:vAlign w:val="center"/>
          </w:tcPr>
          <w:p>
            <w:pPr>
              <w:ind w:firstLine="105" w:firstLineChars="50"/>
              <w:jc w:val="center"/>
              <w:rPr>
                <w:rFonts w:ascii="楷体" w:hAnsi="楷体" w:eastAsia="楷体" w:cs="楷体"/>
                <w:szCs w:val="21"/>
              </w:rPr>
            </w:pPr>
            <w:r>
              <w:rPr>
                <w:rFonts w:hint="eastAsia" w:ascii="楷体" w:hAnsi="楷体" w:eastAsia="楷体" w:cs="楷体"/>
                <w:szCs w:val="21"/>
              </w:rPr>
              <w:t>实有人数</w:t>
            </w:r>
          </w:p>
        </w:tc>
        <w:tc>
          <w:tcPr>
            <w:tcW w:w="2763" w:type="dxa"/>
            <w:gridSpan w:val="5"/>
            <w:noWrap w:val="0"/>
            <w:vAlign w:val="top"/>
          </w:tcPr>
          <w:p>
            <w:pPr>
              <w:spacing w:line="540" w:lineRule="exact"/>
              <w:ind w:firstLine="105" w:firstLineChars="50"/>
              <w:jc w:val="left"/>
              <w:rPr>
                <w:rFonts w:hint="default" w:ascii="楷体" w:hAnsi="楷体" w:eastAsia="楷体" w:cs="楷体"/>
                <w:szCs w:val="21"/>
                <w:lang w:val="en-US" w:eastAsia="zh-CN"/>
              </w:rPr>
            </w:pPr>
            <w:r>
              <w:rPr>
                <w:rFonts w:hint="eastAsia" w:ascii="楷体" w:hAnsi="楷体" w:eastAsia="楷体" w:cs="楷体"/>
                <w:szCs w:val="21"/>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7624"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部门职能概述</w:t>
            </w:r>
          </w:p>
        </w:tc>
        <w:tc>
          <w:tcPr>
            <w:tcW w:w="7299" w:type="dxa"/>
            <w:gridSpan w:val="9"/>
            <w:noWrap w:val="0"/>
            <w:vAlign w:val="top"/>
          </w:tcPr>
          <w:p>
            <w:pPr>
              <w:spacing w:line="340" w:lineRule="exact"/>
              <w:jc w:val="left"/>
              <w:rPr>
                <w:rFonts w:hint="eastAsia" w:ascii="楷体" w:hAnsi="楷体" w:eastAsia="楷体" w:cs="楷体"/>
                <w:szCs w:val="21"/>
              </w:rPr>
            </w:pPr>
            <w:r>
              <w:rPr>
                <w:rFonts w:hint="eastAsia" w:ascii="楷体" w:hAnsi="楷体" w:eastAsia="楷体" w:cs="楷体"/>
                <w:szCs w:val="21"/>
              </w:rPr>
              <w:t>县人大常委会是县人民代表大会的常设机关，对县人民代表大会负责并报告工作。</w:t>
            </w:r>
          </w:p>
          <w:p>
            <w:pPr>
              <w:spacing w:line="340" w:lineRule="exact"/>
              <w:jc w:val="left"/>
              <w:rPr>
                <w:rFonts w:hint="eastAsia" w:ascii="楷体" w:hAnsi="楷体" w:eastAsia="楷体" w:cs="楷体"/>
                <w:szCs w:val="21"/>
              </w:rPr>
            </w:pPr>
            <w:r>
              <w:rPr>
                <w:rFonts w:hint="eastAsia" w:ascii="楷体" w:hAnsi="楷体" w:eastAsia="楷体" w:cs="楷体"/>
                <w:szCs w:val="21"/>
              </w:rPr>
              <w:t xml:space="preserve">    县人大常委会行使下列职权：</w:t>
            </w:r>
          </w:p>
          <w:p>
            <w:pPr>
              <w:spacing w:line="340" w:lineRule="exact"/>
              <w:jc w:val="left"/>
              <w:rPr>
                <w:rFonts w:ascii="楷体" w:hAnsi="楷体" w:eastAsia="楷体" w:cs="楷体"/>
                <w:szCs w:val="21"/>
              </w:rPr>
            </w:pPr>
            <w:r>
              <w:rPr>
                <w:rFonts w:hint="eastAsia" w:ascii="楷体" w:hAnsi="楷体" w:eastAsia="楷体" w:cs="楷体"/>
                <w:szCs w:val="21"/>
              </w:rPr>
              <w:t xml:space="preserve">    1、在本行政区内保证宪法、法律、行政法规和上级人民代表大会及其常委会决议的遵守和执行。2、领导、主持县人民代表大会代表的选举。 3、召集县人民代表大会会议。4、讨论、决定本县内政治、经济、教育、科学、文化、卫生、环境和资源保护、民政、民族等工作的重大事项。 5、根据县人民政府建议，决定对本县内国民经济和社会发展计划预算的部分变更。6、监督县人民政府、人民法院、人民检察院的工作，联系县人民代表大会代表，受理人民群众对上述机关和国家工作人员的申诉和意见。7、撤销乡镇人民代表大会及人大主席团的不适当的决议。8、撤销县人民政府的不适当的决议和命令。9、在县人民代表大会闭会期间，决定副县长的个别任免。10、在县长、人民法院院长、人民检察院检察长因故不能担任职务的时候，从县人民政府、人民法院、人民检察院副职领导人员中决定代理的人选。决定代理检察长，需报市检察院和人大常委会备案。11、根据县长的提名，决定县人民政府办公室主任、各序列局局长的任免。按照人民法院组织法和人民检察院组织法的规定，任免人民法院副院长、庭长、副庭长、审判委员会委员、审判员、任免人民检察院副检察长、检察委员会委员、检察员。12、在县人民代表大会闭会期间，决定撤销个别副县长。 13、决定撤销由它任命的县人民政府其他组成人员和人民法院副院长、庭长、副庭长、审判委员会委员、审判员、人民检察院副检察长、检察委员会委员、检察员。14、在县人民代表大会闭会期间，补选市人民代表大会出缺的代表和罢免个别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72"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vMerge w:val="restart"/>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年度收入（万元）</w:t>
            </w:r>
          </w:p>
        </w:tc>
        <w:tc>
          <w:tcPr>
            <w:tcW w:w="2245" w:type="dxa"/>
            <w:noWrap w:val="0"/>
            <w:vAlign w:val="center"/>
          </w:tcPr>
          <w:p>
            <w:pPr>
              <w:jc w:val="center"/>
              <w:rPr>
                <w:rFonts w:ascii="楷体" w:hAnsi="楷体" w:eastAsia="楷体" w:cs="楷体"/>
                <w:szCs w:val="21"/>
              </w:rPr>
            </w:pPr>
            <w:r>
              <w:rPr>
                <w:rFonts w:hint="eastAsia" w:ascii="楷体" w:hAnsi="楷体" w:eastAsia="楷体" w:cs="楷体"/>
                <w:szCs w:val="21"/>
              </w:rPr>
              <w:t>县财政预算安排</w:t>
            </w:r>
          </w:p>
        </w:tc>
        <w:tc>
          <w:tcPr>
            <w:tcW w:w="1166"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1260.36</w:t>
            </w:r>
          </w:p>
        </w:tc>
        <w:tc>
          <w:tcPr>
            <w:tcW w:w="1236" w:type="dxa"/>
            <w:gridSpan w:val="2"/>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非税收入</w:t>
            </w:r>
          </w:p>
        </w:tc>
        <w:tc>
          <w:tcPr>
            <w:tcW w:w="1028" w:type="dxa"/>
            <w:noWrap w:val="0"/>
            <w:vAlign w:val="center"/>
          </w:tcPr>
          <w:p>
            <w:pPr>
              <w:spacing w:line="560" w:lineRule="exact"/>
              <w:jc w:val="center"/>
              <w:rPr>
                <w:rFonts w:hint="default" w:ascii="楷体" w:hAnsi="楷体" w:eastAsia="楷体" w:cs="楷体"/>
                <w:szCs w:val="21"/>
                <w:lang w:val="en-US" w:eastAsia="zh-CN"/>
              </w:rPr>
            </w:pPr>
            <w:r>
              <w:rPr>
                <w:rFonts w:hint="eastAsia" w:ascii="楷体" w:hAnsi="楷体" w:eastAsia="楷体" w:cs="楷体"/>
                <w:szCs w:val="21"/>
                <w:lang w:val="en-US" w:eastAsia="zh-CN"/>
              </w:rPr>
              <w:t>44.94</w:t>
            </w:r>
          </w:p>
        </w:tc>
        <w:tc>
          <w:tcPr>
            <w:tcW w:w="570"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合计</w:t>
            </w:r>
          </w:p>
        </w:tc>
        <w:tc>
          <w:tcPr>
            <w:tcW w:w="1054" w:type="dxa"/>
            <w:gridSpan w:val="2"/>
            <w:vMerge w:val="restart"/>
            <w:noWrap w:val="0"/>
            <w:vAlign w:val="top"/>
          </w:tcPr>
          <w:p>
            <w:pPr>
              <w:spacing w:line="560" w:lineRule="exact"/>
              <w:jc w:val="left"/>
              <w:rPr>
                <w:rFonts w:hint="default" w:ascii="楷体" w:hAnsi="楷体" w:eastAsia="楷体" w:cs="楷体"/>
                <w:sz w:val="21"/>
                <w:szCs w:val="21"/>
                <w:shd w:val="clear" w:color="FFFFFF" w:fill="D9D9D9"/>
                <w:lang w:val="en-US" w:eastAsia="zh-CN"/>
              </w:rPr>
            </w:pPr>
            <w:r>
              <w:rPr>
                <w:rFonts w:hint="eastAsia" w:ascii="楷体" w:hAnsi="楷体" w:eastAsia="楷体" w:cs="楷体"/>
                <w:szCs w:val="21"/>
                <w:lang w:val="en-US" w:eastAsia="zh-CN"/>
              </w:rPr>
              <w:t>1319.69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55"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vMerge w:val="continue"/>
            <w:noWrap w:val="0"/>
            <w:vAlign w:val="center"/>
          </w:tcPr>
          <w:p>
            <w:pPr>
              <w:spacing w:line="240" w:lineRule="atLeast"/>
              <w:jc w:val="center"/>
              <w:rPr>
                <w:rFonts w:ascii="楷体" w:hAnsi="楷体" w:eastAsia="楷体" w:cs="楷体"/>
                <w:szCs w:val="21"/>
              </w:rPr>
            </w:pPr>
          </w:p>
        </w:tc>
        <w:tc>
          <w:tcPr>
            <w:tcW w:w="2245" w:type="dxa"/>
            <w:noWrap w:val="0"/>
            <w:vAlign w:val="center"/>
          </w:tcPr>
          <w:p>
            <w:pPr>
              <w:jc w:val="center"/>
              <w:rPr>
                <w:rFonts w:ascii="楷体" w:hAnsi="楷体" w:eastAsia="楷体" w:cs="楷体"/>
                <w:szCs w:val="21"/>
              </w:rPr>
            </w:pPr>
            <w:r>
              <w:rPr>
                <w:rFonts w:hint="eastAsia" w:ascii="楷体" w:hAnsi="楷体" w:eastAsia="楷体" w:cs="楷体"/>
                <w:szCs w:val="21"/>
              </w:rPr>
              <w:t>中央省市安排资金</w:t>
            </w:r>
          </w:p>
        </w:tc>
        <w:tc>
          <w:tcPr>
            <w:tcW w:w="1166" w:type="dxa"/>
            <w:gridSpan w:val="2"/>
            <w:noWrap w:val="0"/>
            <w:vAlign w:val="center"/>
          </w:tcPr>
          <w:p>
            <w:pPr>
              <w:jc w:val="center"/>
              <w:rPr>
                <w:rFonts w:ascii="楷体" w:hAnsi="楷体" w:eastAsia="楷体" w:cs="楷体"/>
                <w:szCs w:val="21"/>
              </w:rPr>
            </w:pPr>
          </w:p>
        </w:tc>
        <w:tc>
          <w:tcPr>
            <w:tcW w:w="1236" w:type="dxa"/>
            <w:gridSpan w:val="2"/>
            <w:noWrap w:val="0"/>
            <w:vAlign w:val="center"/>
          </w:tcPr>
          <w:p>
            <w:pPr>
              <w:spacing w:line="560" w:lineRule="exact"/>
              <w:jc w:val="center"/>
              <w:rPr>
                <w:rFonts w:hint="eastAsia" w:ascii="楷体" w:hAnsi="楷体" w:eastAsia="楷体" w:cs="楷体"/>
                <w:szCs w:val="21"/>
              </w:rPr>
            </w:pPr>
            <w:r>
              <w:rPr>
                <w:rFonts w:hint="eastAsia" w:ascii="楷体" w:hAnsi="楷体" w:eastAsia="楷体" w:cs="楷体"/>
                <w:szCs w:val="21"/>
              </w:rPr>
              <w:t>其他收入</w:t>
            </w:r>
          </w:p>
        </w:tc>
        <w:tc>
          <w:tcPr>
            <w:tcW w:w="1028" w:type="dxa"/>
            <w:noWrap w:val="0"/>
            <w:vAlign w:val="center"/>
          </w:tcPr>
          <w:p>
            <w:pPr>
              <w:spacing w:line="560" w:lineRule="exact"/>
              <w:jc w:val="center"/>
              <w:rPr>
                <w:rFonts w:hint="default" w:ascii="楷体" w:hAnsi="楷体" w:eastAsia="楷体" w:cs="楷体"/>
                <w:szCs w:val="21"/>
                <w:lang w:val="en-US" w:eastAsia="zh-CN"/>
              </w:rPr>
            </w:pPr>
            <w:r>
              <w:rPr>
                <w:rFonts w:hint="eastAsia" w:ascii="楷体" w:hAnsi="楷体" w:eastAsia="楷体" w:cs="楷体"/>
                <w:szCs w:val="21"/>
                <w:lang w:val="en-US" w:eastAsia="zh-CN"/>
              </w:rPr>
              <w:t>14.39</w:t>
            </w:r>
          </w:p>
        </w:tc>
        <w:tc>
          <w:tcPr>
            <w:tcW w:w="570" w:type="dxa"/>
            <w:vMerge w:val="continue"/>
            <w:noWrap w:val="0"/>
            <w:vAlign w:val="center"/>
          </w:tcPr>
          <w:p>
            <w:pPr>
              <w:spacing w:line="560" w:lineRule="exact"/>
              <w:jc w:val="center"/>
              <w:rPr>
                <w:rFonts w:ascii="楷体" w:hAnsi="楷体" w:eastAsia="楷体" w:cs="楷体"/>
                <w:szCs w:val="21"/>
              </w:rPr>
            </w:pPr>
          </w:p>
        </w:tc>
        <w:tc>
          <w:tcPr>
            <w:tcW w:w="1054" w:type="dxa"/>
            <w:gridSpan w:val="2"/>
            <w:vMerge w:val="continue"/>
            <w:noWrap w:val="0"/>
            <w:vAlign w:val="top"/>
          </w:tcPr>
          <w:p>
            <w:pPr>
              <w:spacing w:line="56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60"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vMerge w:val="restart"/>
            <w:noWrap w:val="0"/>
            <w:vAlign w:val="center"/>
          </w:tcPr>
          <w:p>
            <w:pPr>
              <w:jc w:val="center"/>
              <w:rPr>
                <w:rFonts w:ascii="楷体" w:hAnsi="楷体" w:eastAsia="楷体" w:cs="楷体"/>
                <w:szCs w:val="21"/>
              </w:rPr>
            </w:pPr>
            <w:r>
              <w:rPr>
                <w:rFonts w:hint="eastAsia" w:ascii="楷体" w:hAnsi="楷体" w:eastAsia="楷体" w:cs="楷体"/>
                <w:szCs w:val="21"/>
              </w:rPr>
              <w:t>年度支出</w:t>
            </w:r>
          </w:p>
          <w:p>
            <w:pPr>
              <w:jc w:val="center"/>
              <w:rPr>
                <w:rFonts w:ascii="楷体" w:hAnsi="楷体" w:eastAsia="楷体" w:cs="楷体"/>
                <w:szCs w:val="21"/>
              </w:rPr>
            </w:pPr>
            <w:r>
              <w:rPr>
                <w:rFonts w:hint="eastAsia" w:ascii="楷体" w:hAnsi="楷体" w:eastAsia="楷体" w:cs="楷体"/>
                <w:szCs w:val="21"/>
              </w:rPr>
              <w:t>（万元）</w:t>
            </w:r>
          </w:p>
        </w:tc>
        <w:tc>
          <w:tcPr>
            <w:tcW w:w="2245" w:type="dxa"/>
            <w:noWrap w:val="0"/>
            <w:vAlign w:val="center"/>
          </w:tcPr>
          <w:p>
            <w:pPr>
              <w:jc w:val="center"/>
              <w:rPr>
                <w:rFonts w:ascii="楷体" w:hAnsi="楷体" w:eastAsia="楷体" w:cs="楷体"/>
                <w:szCs w:val="21"/>
              </w:rPr>
            </w:pPr>
            <w:r>
              <w:rPr>
                <w:rFonts w:hint="eastAsia" w:ascii="楷体" w:hAnsi="楷体" w:eastAsia="楷体" w:cs="楷体"/>
                <w:szCs w:val="21"/>
              </w:rPr>
              <w:t>基本支出</w:t>
            </w:r>
          </w:p>
        </w:tc>
        <w:tc>
          <w:tcPr>
            <w:tcW w:w="1166"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1388.58</w:t>
            </w:r>
          </w:p>
        </w:tc>
        <w:tc>
          <w:tcPr>
            <w:tcW w:w="1236" w:type="dxa"/>
            <w:gridSpan w:val="2"/>
            <w:vMerge w:val="restart"/>
            <w:noWrap w:val="0"/>
            <w:vAlign w:val="center"/>
          </w:tcPr>
          <w:p>
            <w:pPr>
              <w:jc w:val="center"/>
              <w:rPr>
                <w:rFonts w:ascii="楷体" w:hAnsi="楷体" w:eastAsia="楷体" w:cs="楷体"/>
                <w:szCs w:val="21"/>
              </w:rPr>
            </w:pPr>
            <w:r>
              <w:rPr>
                <w:rFonts w:hint="eastAsia" w:ascii="楷体" w:hAnsi="楷体" w:eastAsia="楷体" w:cs="楷体"/>
                <w:szCs w:val="21"/>
              </w:rPr>
              <w:t>项目支出</w:t>
            </w:r>
          </w:p>
        </w:tc>
        <w:tc>
          <w:tcPr>
            <w:tcW w:w="1028" w:type="dxa"/>
            <w:vMerge w:val="restart"/>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161.58</w:t>
            </w:r>
          </w:p>
        </w:tc>
        <w:tc>
          <w:tcPr>
            <w:tcW w:w="570" w:type="dxa"/>
            <w:vMerge w:val="restart"/>
            <w:noWrap w:val="0"/>
            <w:vAlign w:val="center"/>
          </w:tcPr>
          <w:p>
            <w:pPr>
              <w:jc w:val="center"/>
              <w:rPr>
                <w:rFonts w:ascii="楷体" w:hAnsi="楷体" w:eastAsia="楷体" w:cs="楷体"/>
                <w:szCs w:val="21"/>
              </w:rPr>
            </w:pPr>
            <w:r>
              <w:rPr>
                <w:rFonts w:hint="eastAsia" w:ascii="楷体" w:hAnsi="楷体" w:eastAsia="楷体" w:cs="楷体"/>
                <w:szCs w:val="21"/>
              </w:rPr>
              <w:t>合计</w:t>
            </w:r>
          </w:p>
        </w:tc>
        <w:tc>
          <w:tcPr>
            <w:tcW w:w="1054" w:type="dxa"/>
            <w:gridSpan w:val="2"/>
            <w:vMerge w:val="restart"/>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1550.16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708"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vMerge w:val="continue"/>
            <w:noWrap w:val="0"/>
            <w:vAlign w:val="center"/>
          </w:tcPr>
          <w:p>
            <w:pPr>
              <w:jc w:val="center"/>
              <w:rPr>
                <w:rFonts w:ascii="楷体" w:hAnsi="楷体" w:eastAsia="楷体" w:cs="楷体"/>
                <w:szCs w:val="21"/>
              </w:rPr>
            </w:pPr>
          </w:p>
        </w:tc>
        <w:tc>
          <w:tcPr>
            <w:tcW w:w="2245" w:type="dxa"/>
            <w:noWrap w:val="0"/>
            <w:tcMar>
              <w:left w:w="0" w:type="dxa"/>
              <w:right w:w="0" w:type="dxa"/>
            </w:tcMar>
            <w:vAlign w:val="center"/>
          </w:tcPr>
          <w:p>
            <w:pPr>
              <w:jc w:val="center"/>
              <w:rPr>
                <w:rFonts w:ascii="楷体" w:hAnsi="楷体" w:eastAsia="楷体" w:cs="楷体"/>
                <w:szCs w:val="21"/>
              </w:rPr>
            </w:pPr>
            <w:r>
              <w:rPr>
                <w:rFonts w:hint="eastAsia" w:ascii="楷体" w:hAnsi="楷体" w:eastAsia="楷体" w:cs="楷体"/>
                <w:szCs w:val="21"/>
              </w:rPr>
              <w:t>其中三公经费支出</w:t>
            </w:r>
          </w:p>
        </w:tc>
        <w:tc>
          <w:tcPr>
            <w:tcW w:w="1166"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2.79</w:t>
            </w:r>
          </w:p>
        </w:tc>
        <w:tc>
          <w:tcPr>
            <w:tcW w:w="1236" w:type="dxa"/>
            <w:gridSpan w:val="2"/>
            <w:vMerge w:val="continue"/>
            <w:noWrap w:val="0"/>
            <w:vAlign w:val="top"/>
          </w:tcPr>
          <w:p>
            <w:pPr>
              <w:jc w:val="center"/>
              <w:rPr>
                <w:rFonts w:ascii="楷体" w:hAnsi="楷体" w:eastAsia="楷体" w:cs="楷体"/>
                <w:szCs w:val="21"/>
              </w:rPr>
            </w:pPr>
          </w:p>
        </w:tc>
        <w:tc>
          <w:tcPr>
            <w:tcW w:w="1028" w:type="dxa"/>
            <w:vMerge w:val="continue"/>
            <w:noWrap w:val="0"/>
            <w:vAlign w:val="top"/>
          </w:tcPr>
          <w:p>
            <w:pPr>
              <w:jc w:val="center"/>
              <w:rPr>
                <w:rFonts w:ascii="楷体" w:hAnsi="楷体" w:eastAsia="楷体" w:cs="楷体"/>
                <w:szCs w:val="21"/>
              </w:rPr>
            </w:pPr>
          </w:p>
        </w:tc>
        <w:tc>
          <w:tcPr>
            <w:tcW w:w="570" w:type="dxa"/>
            <w:vMerge w:val="continue"/>
            <w:noWrap w:val="0"/>
            <w:vAlign w:val="center"/>
          </w:tcPr>
          <w:p>
            <w:pPr>
              <w:jc w:val="center"/>
              <w:rPr>
                <w:rFonts w:ascii="楷体" w:hAnsi="楷体" w:eastAsia="楷体" w:cs="楷体"/>
                <w:szCs w:val="21"/>
              </w:rPr>
            </w:pPr>
          </w:p>
        </w:tc>
        <w:tc>
          <w:tcPr>
            <w:tcW w:w="1054" w:type="dxa"/>
            <w:gridSpan w:val="2"/>
            <w:vMerge w:val="continue"/>
            <w:noWrap w:val="0"/>
            <w:vAlign w:val="center"/>
          </w:tcPr>
          <w:p>
            <w:pPr>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816" w:hRule="exact"/>
          <w:jc w:val="center"/>
        </w:trPr>
        <w:tc>
          <w:tcPr>
            <w:tcW w:w="533"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实施情况</w:t>
            </w: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财政供养人员控制情况</w:t>
            </w:r>
          </w:p>
        </w:tc>
        <w:tc>
          <w:tcPr>
            <w:tcW w:w="7299" w:type="dxa"/>
            <w:gridSpan w:val="9"/>
            <w:noWrap w:val="0"/>
            <w:vAlign w:val="center"/>
          </w:tcPr>
          <w:p>
            <w:pPr>
              <w:rPr>
                <w:rFonts w:ascii="楷体" w:hAnsi="楷体" w:eastAsia="楷体" w:cs="楷体"/>
                <w:szCs w:val="21"/>
              </w:rPr>
            </w:pPr>
            <w:r>
              <w:rPr>
                <w:rFonts w:hint="eastAsia" w:ascii="楷体" w:hAnsi="楷体" w:eastAsia="楷体" w:cs="楷体"/>
                <w:szCs w:val="21"/>
              </w:rPr>
              <w:t>是否存在超编超配人员：</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437"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三公经费管理情况</w:t>
            </w:r>
          </w:p>
        </w:tc>
        <w:tc>
          <w:tcPr>
            <w:tcW w:w="7299" w:type="dxa"/>
            <w:gridSpan w:val="9"/>
            <w:noWrap w:val="0"/>
            <w:vAlign w:val="center"/>
          </w:tcPr>
          <w:p>
            <w:pPr>
              <w:rPr>
                <w:rFonts w:ascii="楷体" w:hAnsi="楷体" w:eastAsia="楷体" w:cs="楷体"/>
                <w:szCs w:val="21"/>
              </w:rPr>
            </w:pPr>
            <w:r>
              <w:rPr>
                <w:rFonts w:hint="eastAsia" w:ascii="楷体" w:hAnsi="楷体" w:eastAsia="楷体" w:cs="楷体"/>
                <w:szCs w:val="21"/>
              </w:rPr>
              <w:t>是否制定“三公”经费管理办法：是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招待费用是否明确招待标准和招待人数：是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公务用车购置运行费是否比上年度下降</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三公经费是否比年度下降：是□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125"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非税收入完成情况</w:t>
            </w:r>
          </w:p>
        </w:tc>
        <w:tc>
          <w:tcPr>
            <w:tcW w:w="7299" w:type="dxa"/>
            <w:gridSpan w:val="9"/>
            <w:noWrap w:val="0"/>
            <w:vAlign w:val="center"/>
          </w:tcPr>
          <w:p>
            <w:pPr>
              <w:rPr>
                <w:rFonts w:ascii="楷体" w:hAnsi="楷体" w:eastAsia="楷体" w:cs="楷体"/>
                <w:szCs w:val="21"/>
              </w:rPr>
            </w:pPr>
            <w:r>
              <w:rPr>
                <w:rFonts w:hint="eastAsia" w:ascii="楷体" w:hAnsi="楷体" w:eastAsia="楷体" w:cs="楷体"/>
                <w:szCs w:val="21"/>
              </w:rPr>
              <w:t>年度非税收入是否完成</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是否实行收支两条线管理：是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有无截留、坐支、转移等现象</w:t>
            </w:r>
            <w:r>
              <w:rPr>
                <w:rFonts w:ascii="楷体" w:hAnsi="楷体" w:eastAsia="楷体" w:cs="楷体"/>
                <w:szCs w:val="21"/>
              </w:rPr>
              <w:t>:</w:t>
            </w:r>
            <w:r>
              <w:rPr>
                <w:rFonts w:hint="eastAsia" w:ascii="楷体" w:hAnsi="楷体" w:eastAsia="楷体" w:cs="楷体"/>
                <w:szCs w:val="21"/>
              </w:rPr>
              <w:t>有□</w:t>
            </w:r>
            <w:r>
              <w:rPr>
                <w:rFonts w:ascii="楷体" w:hAnsi="楷体" w:eastAsia="楷体" w:cs="楷体"/>
                <w:szCs w:val="21"/>
              </w:rPr>
              <w:t xml:space="preserve">     </w:t>
            </w:r>
            <w:r>
              <w:rPr>
                <w:rFonts w:hint="eastAsia" w:ascii="楷体" w:hAnsi="楷体" w:eastAsia="楷体" w:cs="楷体"/>
                <w:szCs w:val="21"/>
              </w:rPr>
              <w:t>无</w:t>
            </w:r>
            <w:r>
              <w:rPr>
                <w:rFonts w:hint="eastAsia" w:ascii="楷体" w:hAnsi="楷体" w:eastAsia="楷体" w:cs="楷体"/>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814"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政府采购及金额</w:t>
            </w:r>
          </w:p>
        </w:tc>
        <w:tc>
          <w:tcPr>
            <w:tcW w:w="7299" w:type="dxa"/>
            <w:gridSpan w:val="9"/>
            <w:noWrap w:val="0"/>
            <w:vAlign w:val="center"/>
          </w:tcPr>
          <w:p>
            <w:pPr>
              <w:spacing w:line="360" w:lineRule="exact"/>
              <w:rPr>
                <w:rFonts w:ascii="楷体" w:hAnsi="楷体" w:eastAsia="楷体" w:cs="楷体"/>
                <w:szCs w:val="21"/>
              </w:rPr>
            </w:pPr>
            <w:r>
              <w:rPr>
                <w:rFonts w:hint="eastAsia" w:ascii="楷体" w:hAnsi="楷体" w:eastAsia="楷体" w:cs="楷体"/>
                <w:szCs w:val="21"/>
              </w:rPr>
              <w:t>年度是否制定了政府采购计划：是</w:t>
            </w:r>
            <w:r>
              <w:rPr>
                <w:rFonts w:ascii="楷体" w:hAnsi="楷体" w:eastAsia="楷体" w:cs="楷体"/>
                <w:szCs w:val="21"/>
              </w:rPr>
              <w:t xml:space="preserve"> </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spacing w:line="360" w:lineRule="exact"/>
              <w:rPr>
                <w:rFonts w:ascii="楷体" w:hAnsi="楷体" w:eastAsia="楷体" w:cs="楷体"/>
                <w:szCs w:val="21"/>
              </w:rPr>
            </w:pPr>
            <w:r>
              <w:rPr>
                <w:rFonts w:hint="eastAsia" w:ascii="楷体" w:hAnsi="楷体" w:eastAsia="楷体" w:cs="楷体"/>
                <w:szCs w:val="21"/>
              </w:rPr>
              <w:t>应采购金额</w:t>
            </w:r>
            <w:r>
              <w:rPr>
                <w:rFonts w:ascii="楷体" w:hAnsi="楷体" w:eastAsia="楷体" w:cs="楷体"/>
                <w:szCs w:val="21"/>
              </w:rPr>
              <w:t xml:space="preserve"> </w:t>
            </w:r>
            <w:r>
              <w:rPr>
                <w:rFonts w:hint="eastAsia" w:ascii="楷体" w:hAnsi="楷体" w:eastAsia="楷体" w:cs="楷体"/>
                <w:szCs w:val="21"/>
                <w:lang w:val="en-US" w:eastAsia="zh-CN"/>
              </w:rPr>
              <w:t>5</w:t>
            </w:r>
            <w:r>
              <w:rPr>
                <w:rFonts w:hint="eastAsia" w:ascii="楷体" w:hAnsi="楷体" w:eastAsia="楷体" w:cs="楷体"/>
                <w:szCs w:val="21"/>
              </w:rPr>
              <w:t>万元，实际采购金额</w:t>
            </w:r>
            <w:r>
              <w:rPr>
                <w:rFonts w:hint="eastAsia" w:ascii="楷体" w:hAnsi="楷体" w:eastAsia="楷体" w:cs="楷体"/>
                <w:szCs w:val="21"/>
                <w:lang w:val="en-US" w:eastAsia="zh-CN"/>
              </w:rPr>
              <w:t>7.86</w:t>
            </w:r>
            <w:r>
              <w:rPr>
                <w:rFonts w:hint="eastAsia" w:ascii="楷体" w:hAnsi="楷体" w:eastAsia="楷体" w:cs="楷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740"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预算执行</w:t>
            </w:r>
          </w:p>
        </w:tc>
        <w:tc>
          <w:tcPr>
            <w:tcW w:w="7299" w:type="dxa"/>
            <w:gridSpan w:val="9"/>
            <w:noWrap w:val="0"/>
            <w:vAlign w:val="center"/>
          </w:tcPr>
          <w:p>
            <w:pPr>
              <w:rPr>
                <w:rFonts w:ascii="楷体" w:hAnsi="楷体" w:eastAsia="楷体" w:cs="楷体"/>
                <w:szCs w:val="21"/>
              </w:rPr>
            </w:pPr>
            <w:r>
              <w:rPr>
                <w:rFonts w:hint="eastAsia" w:ascii="楷体" w:hAnsi="楷体" w:eastAsia="楷体" w:cs="楷体"/>
                <w:szCs w:val="21"/>
              </w:rPr>
              <w:t>本年度是否追加了预算</w:t>
            </w:r>
            <w:r>
              <w:rPr>
                <w:rFonts w:ascii="楷体" w:hAnsi="楷体" w:eastAsia="楷体" w:cs="楷体"/>
                <w:szCs w:val="21"/>
              </w:rPr>
              <w:t>:</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r>
              <w:rPr>
                <w:rFonts w:ascii="楷体" w:hAnsi="楷体" w:eastAsia="楷体" w:cs="楷体"/>
                <w:szCs w:val="21"/>
              </w:rPr>
              <w:t xml:space="preserve">, </w:t>
            </w:r>
            <w:r>
              <w:rPr>
                <w:rFonts w:hint="eastAsia" w:ascii="楷体" w:hAnsi="楷体" w:eastAsia="楷体" w:cs="楷体"/>
                <w:szCs w:val="21"/>
              </w:rPr>
              <w:t>追加金额</w:t>
            </w:r>
            <w:r>
              <w:rPr>
                <w:rFonts w:ascii="楷体" w:hAnsi="楷体" w:eastAsia="楷体" w:cs="楷体"/>
                <w:szCs w:val="21"/>
              </w:rPr>
              <w:t xml:space="preserve">  </w:t>
            </w:r>
            <w:r>
              <w:rPr>
                <w:rFonts w:hint="eastAsia" w:ascii="楷体" w:hAnsi="楷体" w:eastAsia="楷体" w:cs="楷体"/>
                <w:szCs w:val="21"/>
                <w:lang w:val="en-US" w:eastAsia="zh-CN"/>
              </w:rPr>
              <w:t>324.41</w:t>
            </w:r>
            <w:r>
              <w:rPr>
                <w:rFonts w:ascii="楷体" w:hAnsi="楷体" w:eastAsia="楷体" w:cs="楷体"/>
                <w:szCs w:val="21"/>
              </w:rPr>
              <w:t xml:space="preserve"> </w:t>
            </w:r>
            <w:r>
              <w:rPr>
                <w:rFonts w:hint="eastAsia" w:ascii="楷体" w:hAnsi="楷体" w:eastAsia="楷体" w:cs="楷体"/>
                <w:szCs w:val="21"/>
              </w:rPr>
              <w:t>万元</w:t>
            </w:r>
          </w:p>
          <w:p>
            <w:pPr>
              <w:rPr>
                <w:rFonts w:ascii="楷体" w:hAnsi="楷体" w:eastAsia="楷体" w:cs="楷体"/>
                <w:szCs w:val="21"/>
              </w:rPr>
            </w:pPr>
            <w:r>
              <w:rPr>
                <w:rFonts w:hint="eastAsia" w:ascii="楷体" w:hAnsi="楷体" w:eastAsia="楷体" w:cs="楷体"/>
                <w:szCs w:val="21"/>
              </w:rPr>
              <w:t>本年度是否有结余</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r>
              <w:rPr>
                <w:rFonts w:ascii="楷体" w:hAnsi="楷体" w:eastAsia="楷体" w:cs="楷体"/>
                <w:szCs w:val="21"/>
              </w:rPr>
              <w:t>,</w:t>
            </w:r>
            <w:r>
              <w:rPr>
                <w:rFonts w:hint="eastAsia" w:ascii="楷体" w:hAnsi="楷体" w:eastAsia="楷体" w:cs="楷体"/>
                <w:szCs w:val="21"/>
              </w:rPr>
              <w:t>结余金额</w:t>
            </w:r>
            <w:r>
              <w:rPr>
                <w:rFonts w:ascii="楷体" w:hAnsi="楷体" w:eastAsia="楷体" w:cs="楷体"/>
                <w:szCs w:val="21"/>
              </w:rPr>
              <w:t xml:space="preserve">  </w:t>
            </w:r>
            <w:r>
              <w:rPr>
                <w:rFonts w:hint="eastAsia" w:ascii="楷体" w:hAnsi="楷体" w:eastAsia="楷体" w:cs="楷体"/>
                <w:szCs w:val="21"/>
                <w:lang w:val="en-US" w:eastAsia="zh-CN"/>
              </w:rPr>
              <w:t xml:space="preserve">48.43 </w:t>
            </w:r>
            <w:r>
              <w:rPr>
                <w:rFonts w:hint="eastAsia" w:ascii="楷体" w:hAnsi="楷体" w:eastAsia="楷体" w:cs="楷体"/>
                <w:szCs w:val="21"/>
              </w:rPr>
              <w:t>万元</w:t>
            </w:r>
          </w:p>
          <w:p>
            <w:pPr>
              <w:jc w:val="left"/>
              <w:rPr>
                <w:rFonts w:ascii="楷体" w:hAnsi="楷体" w:eastAsia="楷体" w:cs="楷体"/>
                <w:szCs w:val="21"/>
              </w:rPr>
            </w:pPr>
            <w:r>
              <w:rPr>
                <w:rFonts w:hint="eastAsia" w:ascii="楷体" w:hAnsi="楷体" w:eastAsia="楷体" w:cs="楷体"/>
                <w:szCs w:val="21"/>
              </w:rPr>
              <w:t>预决算信息是否公开</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公开时间</w:t>
            </w:r>
            <w:r>
              <w:rPr>
                <w:rFonts w:ascii="楷体" w:hAnsi="楷体" w:eastAsia="楷体" w:cs="楷体"/>
                <w:szCs w:val="21"/>
              </w:rPr>
              <w:t xml:space="preserve">: </w:t>
            </w:r>
            <w:r>
              <w:rPr>
                <w:rFonts w:hint="eastAsia" w:ascii="楷体" w:hAnsi="楷体" w:eastAsia="楷体" w:cs="楷体"/>
                <w:szCs w:val="21"/>
                <w:lang w:val="en-US" w:eastAsia="zh-CN"/>
              </w:rPr>
              <w:t>2021</w:t>
            </w:r>
            <w:r>
              <w:rPr>
                <w:rFonts w:ascii="楷体" w:hAnsi="楷体" w:eastAsia="楷体" w:cs="楷体"/>
                <w:szCs w:val="21"/>
              </w:rPr>
              <w:t xml:space="preserve"> </w:t>
            </w:r>
            <w:r>
              <w:rPr>
                <w:rFonts w:hint="eastAsia" w:ascii="楷体" w:hAnsi="楷体" w:eastAsia="楷体" w:cs="楷体"/>
                <w:szCs w:val="21"/>
              </w:rPr>
              <w:t>年</w:t>
            </w:r>
            <w:r>
              <w:rPr>
                <w:rFonts w:ascii="楷体" w:hAnsi="楷体" w:eastAsia="楷体" w:cs="楷体"/>
                <w:szCs w:val="21"/>
              </w:rPr>
              <w:t xml:space="preserve">  </w:t>
            </w:r>
            <w:r>
              <w:rPr>
                <w:rFonts w:hint="eastAsia" w:ascii="楷体" w:hAnsi="楷体" w:eastAsia="楷体" w:cs="楷体"/>
                <w:szCs w:val="21"/>
                <w:lang w:val="en-US" w:eastAsia="zh-CN"/>
              </w:rPr>
              <w:t>1</w:t>
            </w:r>
            <w:r>
              <w:rPr>
                <w:rFonts w:ascii="楷体" w:hAnsi="楷体" w:eastAsia="楷体" w:cs="楷体"/>
                <w:szCs w:val="21"/>
              </w:rPr>
              <w:t xml:space="preserve"> </w:t>
            </w:r>
            <w:r>
              <w:rPr>
                <w:rFonts w:hint="eastAsia" w:ascii="楷体" w:hAnsi="楷体" w:eastAsia="楷体" w:cs="楷体"/>
                <w:szCs w:val="21"/>
              </w:rPr>
              <w:t>月</w:t>
            </w:r>
            <w:r>
              <w:rPr>
                <w:rFonts w:ascii="楷体" w:hAnsi="楷体" w:eastAsia="楷体" w:cs="楷体"/>
                <w:szCs w:val="21"/>
              </w:rPr>
              <w:t xml:space="preserve"> </w:t>
            </w:r>
            <w:r>
              <w:rPr>
                <w:rFonts w:hint="eastAsia" w:ascii="楷体" w:hAnsi="楷体" w:eastAsia="楷体" w:cs="楷体"/>
                <w:szCs w:val="21"/>
                <w:lang w:val="en-US" w:eastAsia="zh-CN"/>
              </w:rPr>
              <w:t>18</w:t>
            </w:r>
            <w:r>
              <w:rPr>
                <w:rFonts w:hint="eastAsia" w:ascii="楷体" w:hAnsi="楷体" w:eastAsia="楷体" w:cs="楷体"/>
                <w:szCs w:val="21"/>
              </w:rPr>
              <w:t>日</w:t>
            </w:r>
          </w:p>
          <w:p>
            <w:pPr>
              <w:jc w:val="left"/>
              <w:rPr>
                <w:rFonts w:ascii="楷体" w:hAnsi="楷体" w:eastAsia="楷体" w:cs="楷体"/>
                <w:szCs w:val="21"/>
              </w:rPr>
            </w:pPr>
            <w:r>
              <w:rPr>
                <w:rFonts w:hint="eastAsia" w:ascii="楷体" w:hAnsi="楷体" w:eastAsia="楷体" w:cs="楷体"/>
                <w:szCs w:val="21"/>
              </w:rPr>
              <w:t>公开方式</w:t>
            </w:r>
            <w:r>
              <w:rPr>
                <w:rFonts w:ascii="楷体" w:hAnsi="楷体" w:eastAsia="楷体" w:cs="楷体"/>
                <w:szCs w:val="21"/>
              </w:rPr>
              <w:t>:</w:t>
            </w:r>
            <w:r>
              <w:rPr>
                <w:rFonts w:hint="eastAsia" w:ascii="楷体" w:hAnsi="楷体" w:eastAsia="楷体" w:cs="楷体"/>
                <w:szCs w:val="21"/>
              </w:rPr>
              <w:t>门户网站</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单位内部□</w:t>
            </w:r>
            <w:r>
              <w:rPr>
                <w:rFonts w:ascii="楷体" w:hAnsi="楷体" w:eastAsia="楷体" w:cs="楷体"/>
                <w:szCs w:val="21"/>
              </w:rPr>
              <w:t xml:space="preserve">      </w:t>
            </w:r>
            <w:r>
              <w:rPr>
                <w:rFonts w:hint="eastAsia" w:ascii="楷体" w:hAnsi="楷体" w:eastAsia="楷体" w:cs="楷体"/>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997"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rPr>
                <w:rFonts w:ascii="楷体" w:hAnsi="楷体" w:eastAsia="楷体" w:cs="楷体"/>
                <w:szCs w:val="21"/>
              </w:rPr>
            </w:pPr>
            <w:r>
              <w:rPr>
                <w:rFonts w:hint="eastAsia" w:ascii="楷体" w:hAnsi="楷体" w:eastAsia="楷体" w:cs="楷体"/>
                <w:szCs w:val="21"/>
              </w:rPr>
              <w:t>财务管理</w:t>
            </w:r>
          </w:p>
        </w:tc>
        <w:tc>
          <w:tcPr>
            <w:tcW w:w="7299" w:type="dxa"/>
            <w:gridSpan w:val="9"/>
            <w:noWrap w:val="0"/>
            <w:vAlign w:val="center"/>
          </w:tcPr>
          <w:p>
            <w:pPr>
              <w:rPr>
                <w:rFonts w:ascii="楷体" w:hAnsi="楷体" w:eastAsia="楷体" w:cs="楷体"/>
                <w:szCs w:val="21"/>
              </w:rPr>
            </w:pPr>
            <w:r>
              <w:rPr>
                <w:rFonts w:hint="eastAsia" w:ascii="楷体" w:hAnsi="楷体" w:eastAsia="楷体" w:cs="楷体"/>
                <w:szCs w:val="21"/>
              </w:rPr>
              <w:t>是否制定财务管理、会计核算等制度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会计机构是否按规定设置</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会计人员是否持证上岗</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Arial" w:hAnsi="Arial" w:cs="Arial"/>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997"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400" w:lineRule="exact"/>
              <w:rPr>
                <w:rFonts w:ascii="楷体" w:hAnsi="楷体" w:eastAsia="楷体" w:cs="楷体"/>
                <w:szCs w:val="21"/>
              </w:rPr>
            </w:pPr>
            <w:r>
              <w:rPr>
                <w:rFonts w:hint="eastAsia" w:ascii="楷体" w:hAnsi="楷体" w:eastAsia="楷体" w:cs="楷体"/>
                <w:szCs w:val="21"/>
              </w:rPr>
              <w:t>资金管理</w:t>
            </w:r>
          </w:p>
        </w:tc>
        <w:tc>
          <w:tcPr>
            <w:tcW w:w="7299" w:type="dxa"/>
            <w:gridSpan w:val="9"/>
            <w:noWrap w:val="0"/>
            <w:vAlign w:val="center"/>
          </w:tcPr>
          <w:p>
            <w:pPr>
              <w:rPr>
                <w:rFonts w:ascii="楷体" w:hAnsi="楷体" w:eastAsia="楷体" w:cs="楷体"/>
                <w:szCs w:val="21"/>
              </w:rPr>
            </w:pPr>
            <w:r>
              <w:rPr>
                <w:rFonts w:hint="eastAsia" w:ascii="楷体" w:hAnsi="楷体" w:eastAsia="楷体" w:cs="楷体"/>
                <w:szCs w:val="21"/>
              </w:rPr>
              <w:t>是否制定资金管理办法</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资金拨付有完整的审批程序</w:t>
            </w:r>
            <w:r>
              <w:rPr>
                <w:rFonts w:ascii="楷体" w:hAnsi="楷体" w:eastAsia="楷体" w:cs="楷体"/>
                <w:szCs w:val="21"/>
              </w:rPr>
              <w:t xml:space="preserve">: </w:t>
            </w:r>
            <w:r>
              <w:rPr>
                <w:rFonts w:hint="eastAsia" w:ascii="楷体" w:hAnsi="楷体" w:eastAsia="楷体" w:cs="楷体"/>
                <w:szCs w:val="21"/>
              </w:rPr>
              <w:t>有</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无□</w:t>
            </w:r>
          </w:p>
          <w:p>
            <w:pPr>
              <w:ind w:left="3885" w:hanging="3885" w:hangingChars="1850"/>
              <w:rPr>
                <w:rFonts w:ascii="楷体" w:hAnsi="楷体" w:eastAsia="楷体" w:cs="楷体"/>
                <w:szCs w:val="21"/>
              </w:rPr>
            </w:pPr>
            <w:r>
              <w:rPr>
                <w:rFonts w:hint="eastAsia" w:ascii="楷体" w:hAnsi="楷体" w:eastAsia="楷体" w:cs="楷体"/>
                <w:szCs w:val="21"/>
              </w:rPr>
              <w:t>资金使用是否存在违规使用资金、乱发津补贴奖金现象：是□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1280"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资产管理</w:t>
            </w:r>
          </w:p>
        </w:tc>
        <w:tc>
          <w:tcPr>
            <w:tcW w:w="7299" w:type="dxa"/>
            <w:gridSpan w:val="9"/>
            <w:noWrap w:val="0"/>
            <w:vAlign w:val="center"/>
          </w:tcPr>
          <w:p>
            <w:pPr>
              <w:rPr>
                <w:rFonts w:ascii="楷体" w:hAnsi="楷体" w:eastAsia="楷体" w:cs="楷体"/>
                <w:szCs w:val="21"/>
              </w:rPr>
            </w:pPr>
            <w:r>
              <w:rPr>
                <w:rFonts w:hint="eastAsia" w:ascii="楷体" w:hAnsi="楷体" w:eastAsia="楷体" w:cs="楷体"/>
                <w:szCs w:val="21"/>
              </w:rPr>
              <w:t>是否制定资产管理制度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资产管理、保存、处置是否合理规范</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资产是否产权清晰、两证齐全：是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账、表、实、卡是否相符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561"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职责履行</w:t>
            </w:r>
          </w:p>
        </w:tc>
        <w:tc>
          <w:tcPr>
            <w:tcW w:w="7299" w:type="dxa"/>
            <w:gridSpan w:val="9"/>
            <w:noWrap w:val="0"/>
            <w:vAlign w:val="top"/>
          </w:tcPr>
          <w:p>
            <w:pPr>
              <w:spacing w:line="560" w:lineRule="exact"/>
              <w:jc w:val="left"/>
              <w:rPr>
                <w:rFonts w:ascii="楷体" w:hAnsi="楷体" w:eastAsia="楷体" w:cs="楷体"/>
                <w:szCs w:val="21"/>
              </w:rPr>
            </w:pPr>
            <w:r>
              <w:rPr>
                <w:rFonts w:hint="eastAsia" w:ascii="楷体" w:hAnsi="楷体" w:eastAsia="楷体" w:cs="楷体"/>
                <w:szCs w:val="21"/>
              </w:rPr>
              <w:t>重点工作是否全部完成且质量达标</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spacing w:line="56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542" w:hRule="atLeast"/>
          <w:jc w:val="center"/>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部门</w:t>
            </w:r>
          </w:p>
          <w:p>
            <w:pPr>
              <w:spacing w:line="320" w:lineRule="exact"/>
              <w:jc w:val="center"/>
              <w:rPr>
                <w:rFonts w:ascii="楷体" w:hAnsi="楷体" w:eastAsia="楷体" w:cs="楷体"/>
                <w:szCs w:val="21"/>
              </w:rPr>
            </w:pPr>
            <w:r>
              <w:rPr>
                <w:rFonts w:hint="eastAsia" w:ascii="楷体" w:hAnsi="楷体" w:eastAsia="楷体" w:cs="楷体"/>
                <w:szCs w:val="21"/>
              </w:rPr>
              <w:t>主要绩效</w:t>
            </w:r>
          </w:p>
        </w:tc>
        <w:tc>
          <w:tcPr>
            <w:tcW w:w="8467" w:type="dxa"/>
            <w:gridSpan w:val="10"/>
            <w:noWrap w:val="0"/>
            <w:vAlign w:val="top"/>
          </w:tcPr>
          <w:p>
            <w:pPr>
              <w:ind w:firstLine="420" w:firstLineChars="200"/>
              <w:rPr>
                <w:rFonts w:hint="eastAsia" w:ascii="楷体" w:hAnsi="楷体" w:eastAsia="楷体" w:cs="楷体"/>
                <w:szCs w:val="21"/>
                <w:lang w:val="en-US" w:eastAsia="zh-CN"/>
              </w:rPr>
            </w:pPr>
            <w:r>
              <w:rPr>
                <w:rFonts w:hint="eastAsia" w:ascii="楷体" w:hAnsi="楷体" w:eastAsia="楷体" w:cs="楷体"/>
                <w:szCs w:val="21"/>
                <w:lang w:val="en-US" w:eastAsia="zh-CN"/>
              </w:rPr>
              <w:t>一是始终坚持党的领导，切实增强政治定力。进一步健全完善县人大常委会学习制度，深入学习党的十九届六中全会精神、中央人大工作会议精神、习近平总书记在湖南考察时的重要讲话精神、习近平总书记关于坚持和完善人民代表大会制度的重要思想以及省委、市委、县委的一系列决策部署等，切实做到履行法定职责与为民办实事有机结合、服务经济社会高质量发展与开创人大工作新局面有机结合。</w:t>
            </w:r>
          </w:p>
          <w:p>
            <w:pPr>
              <w:ind w:firstLine="420" w:firstLineChars="200"/>
              <w:rPr>
                <w:rFonts w:hint="eastAsia" w:ascii="楷体" w:hAnsi="楷体" w:eastAsia="楷体" w:cs="楷体"/>
                <w:szCs w:val="21"/>
                <w:lang w:val="en-US" w:eastAsia="zh-CN"/>
              </w:rPr>
            </w:pPr>
            <w:r>
              <w:rPr>
                <w:rFonts w:hint="eastAsia" w:ascii="楷体" w:hAnsi="楷体" w:eastAsia="楷体" w:cs="楷体"/>
                <w:szCs w:val="21"/>
                <w:lang w:val="en-US" w:eastAsia="zh-CN"/>
              </w:rPr>
              <w:t>二是始终坚持依法监督，切实提高履职成效。聚焦教育事业发展，跟踪督办《义务教育法》贯彻实施审议意见落实情况，持续推动化解大班额、教师缺编、“双减”、学生食堂“四统”等义务教育重点难点问题；实地察看北山垃圾填埋场的库容量、坝体、污水处理系统、渗滤液收集井、填埋气发电项目等，要求环保、城管等部门要加强日常监管，规范流程操作,深入思考满库后垃圾处理问题；实地察看县城自来水第二水源地的保护情况及新水厂的建设、供水情况，要求住建、环保部门要加强水源地保护、加大检测频率、更换检测机构、挑选检测时段，确保不出任何安全事故；积极向市人大常委会进行立法项目申报，《邵阳市隆回县虎形山花瑶风景名胜区管理条例》已纳入市人大立法项目库。坚持依法选举，圆满完成县乡两级人大换届工作，顺利选举产生了新一届市、县、乡三级人大代表和国家机关领导人员，县乡两级所有组织提名人选均满票当选。</w:t>
            </w:r>
          </w:p>
          <w:p>
            <w:pPr>
              <w:ind w:firstLine="420" w:firstLineChars="200"/>
              <w:rPr>
                <w:rFonts w:hint="default" w:ascii="楷体" w:hAnsi="楷体" w:eastAsia="楷体" w:cs="楷体"/>
                <w:szCs w:val="21"/>
                <w:lang w:val="en-US"/>
              </w:rPr>
            </w:pPr>
            <w:r>
              <w:rPr>
                <w:rFonts w:hint="eastAsia" w:ascii="楷体" w:hAnsi="楷体" w:eastAsia="楷体" w:cs="楷体"/>
                <w:szCs w:val="21"/>
                <w:lang w:val="en-US" w:eastAsia="zh-CN"/>
              </w:rPr>
              <w:t>三是始终坚持优化服务，切实改进代表工作。加强代表联系群众工作室建设，完善硬件设施，丰富日常活动，全年代表在工作室收集群众意见400余件。2021年县十六届人大六次会议期间收到代表建议187件，全部交办至县人民政府，通过主任会议交办、县政府领导领办、县人大领导现场督办等方式，加大了代表建议办理力度，三阁司镇中心小学交通安全隐患、智丰产业园施工手续、梨子园小学交通安全隐患、南麻公路提质、高罗公路改造等一批人民群众关心的热点难点问题得到有效解决。加强对基层人大工作的联系指导，换届期间，每周召开一次乡镇人大主席学习交流会、编印选举工作资料、制定选举方案模板、要求乡镇人大工作者逐村指导、安排人员专项督查，确保了选举工作有条不紊，圆满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697" w:hRule="atLeast"/>
          <w:jc w:val="center"/>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自评结论</w:t>
            </w:r>
          </w:p>
        </w:tc>
        <w:tc>
          <w:tcPr>
            <w:tcW w:w="8467" w:type="dxa"/>
            <w:gridSpan w:val="10"/>
            <w:noWrap w:val="0"/>
            <w:vAlign w:val="center"/>
          </w:tcPr>
          <w:p>
            <w:pPr>
              <w:jc w:val="center"/>
              <w:rPr>
                <w:rFonts w:hint="eastAsia" w:ascii="楷体" w:hAnsi="楷体" w:eastAsia="楷体" w:cs="楷体"/>
                <w:szCs w:val="21"/>
                <w:lang w:eastAsia="zh-CN"/>
              </w:rPr>
            </w:pPr>
            <w:r>
              <w:rPr>
                <w:rFonts w:hint="eastAsia" w:ascii="楷体" w:hAnsi="楷体" w:eastAsia="楷体" w:cs="楷体"/>
                <w:szCs w:val="21"/>
                <w:lang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534" w:hRule="atLeast"/>
          <w:jc w:val="center"/>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问题与建议</w:t>
            </w:r>
          </w:p>
        </w:tc>
        <w:tc>
          <w:tcPr>
            <w:tcW w:w="8467" w:type="dxa"/>
            <w:gridSpan w:val="10"/>
            <w:noWrap w:val="0"/>
            <w:vAlign w:val="center"/>
          </w:tcPr>
          <w:p>
            <w:pPr>
              <w:jc w:val="both"/>
              <w:rPr>
                <w:rFonts w:hint="eastAsia" w:ascii="楷体" w:hAnsi="楷体" w:eastAsia="楷体" w:cs="楷体"/>
                <w:szCs w:val="21"/>
                <w:lang w:val="en-US" w:eastAsia="zh-CN"/>
              </w:rPr>
            </w:pPr>
            <w:r>
              <w:rPr>
                <w:rFonts w:hint="eastAsia" w:ascii="楷体" w:hAnsi="楷体" w:eastAsia="楷体" w:cs="楷体"/>
                <w:szCs w:val="21"/>
                <w:lang w:val="en-US" w:eastAsia="zh-CN"/>
              </w:rPr>
              <w:t>预算编制有待细化。预算编制细化程度不足，预算支出安排合理性需进一步提高，预算执行力度需进一步加强。</w:t>
            </w:r>
          </w:p>
          <w:p>
            <w:pPr>
              <w:jc w:val="both"/>
              <w:rPr>
                <w:rFonts w:hint="eastAsia" w:ascii="楷体" w:hAnsi="楷体" w:eastAsia="楷体" w:cs="楷体"/>
                <w:szCs w:val="21"/>
                <w:lang w:val="en-US" w:eastAsia="zh-CN"/>
              </w:rPr>
            </w:pPr>
            <w:r>
              <w:rPr>
                <w:rFonts w:hint="eastAsia" w:ascii="楷体" w:hAnsi="楷体" w:eastAsia="楷体" w:cs="楷体"/>
                <w:szCs w:val="21"/>
                <w:lang w:val="en-US" w:eastAsia="zh-CN"/>
              </w:rPr>
              <w:t>建议：1.加强预算管理。单位不断强化预算意识，实行部门综合预算管理，结合单位业务情况，进行科学合理分配细化，部门预算经批复后，跟踪预算执行进度，及时组织收入，科学合理安排支出。加强对预算执行过程的控制和结果的反馈，对预算执行差异及时分析成因和影响，并及时向领导反馈，促进预算目标的全面完成</w:t>
            </w:r>
          </w:p>
          <w:p>
            <w:pPr>
              <w:jc w:val="both"/>
              <w:rPr>
                <w:rFonts w:hint="eastAsia" w:ascii="楷体" w:hAnsi="楷体" w:eastAsia="楷体" w:cs="楷体"/>
                <w:szCs w:val="21"/>
                <w:lang w:val="en-US" w:eastAsia="zh-CN"/>
              </w:rPr>
            </w:pPr>
            <w:r>
              <w:rPr>
                <w:rFonts w:hint="eastAsia" w:ascii="楷体" w:hAnsi="楷体" w:eastAsia="楷体" w:cs="楷体"/>
                <w:szCs w:val="21"/>
                <w:lang w:val="en-US" w:eastAsia="zh-CN"/>
              </w:rPr>
              <w:t>2.加强内控管理。各委室各部门要充分认识贯彻实施《内控规范》的重要意义，并将其作为当前及今后一项重要的基础性、常态化工作来抓，精心组织落实，做到边学习、边完善、边规范、边执行，逐步建立规范内部控制规范体系。各委室负责人作为内控规范实施的第一责任人，要高度重视，切实担负起领导责任，带头组织推动内控规范实施，做到任务到岗、责任到人。各委室要按照统一部署，主动开展工作，加强沟通、相互协调、密切配合，全面提升风险防控和内部管理水平。采取多种方式积极做好内部控制规范体系建设的宣传培训工作，要调动一切有利因素，确保按时完成内部控制建设工作各项任务。</w:t>
            </w:r>
          </w:p>
          <w:p>
            <w:pPr>
              <w:jc w:val="both"/>
              <w:rPr>
                <w:rFonts w:ascii="楷体" w:hAnsi="楷体" w:eastAsia="楷体" w:cs="楷体"/>
                <w:szCs w:val="21"/>
              </w:rPr>
            </w:pPr>
            <w:r>
              <w:rPr>
                <w:rFonts w:hint="eastAsia" w:ascii="楷体" w:hAnsi="楷体" w:eastAsia="楷体" w:cs="楷体"/>
                <w:szCs w:val="21"/>
                <w:lang w:val="en-US" w:eastAsia="zh-CN"/>
              </w:rPr>
              <w:t>3.加强资产负债管理严格执行现行固定资产管理制度，对固定资产的增减变动等及时入账，确保账面上能真实、完整的反映单位的固定资产情况。及时进行无债务申报，控制债务风险。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974" w:hRule="atLeast"/>
          <w:jc w:val="center"/>
        </w:trPr>
        <w:tc>
          <w:tcPr>
            <w:tcW w:w="533" w:type="dxa"/>
            <w:noWrap w:val="0"/>
            <w:vAlign w:val="top"/>
          </w:tcPr>
          <w:p>
            <w:pPr>
              <w:spacing w:line="320" w:lineRule="exact"/>
              <w:jc w:val="center"/>
              <w:rPr>
                <w:rFonts w:ascii="楷体" w:hAnsi="楷体" w:eastAsia="楷体" w:cs="楷体"/>
                <w:szCs w:val="21"/>
              </w:rPr>
            </w:pPr>
            <w:r>
              <w:rPr>
                <w:rFonts w:hint="eastAsia" w:ascii="楷体" w:hAnsi="楷体" w:eastAsia="楷体" w:cs="楷体"/>
                <w:szCs w:val="21"/>
              </w:rPr>
              <w:t>主管部门意见</w:t>
            </w:r>
          </w:p>
        </w:tc>
        <w:tc>
          <w:tcPr>
            <w:tcW w:w="8467" w:type="dxa"/>
            <w:gridSpan w:val="10"/>
            <w:noWrap w:val="0"/>
            <w:vAlign w:val="top"/>
          </w:tcPr>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r>
              <w:rPr>
                <w:rFonts w:hint="eastAsia" w:ascii="楷体" w:hAnsi="楷体" w:eastAsia="楷体" w:cs="楷体"/>
                <w:szCs w:val="21"/>
              </w:rPr>
              <w:t>主管部门（盖章）：</w:t>
            </w:r>
          </w:p>
        </w:tc>
      </w:tr>
    </w:tbl>
    <w:p>
      <w:pPr>
        <w:rPr>
          <w:rFonts w:ascii="宋体"/>
          <w:szCs w:val="21"/>
        </w:rPr>
      </w:pPr>
    </w:p>
    <w:p>
      <w:pPr>
        <w:ind w:firstLine="420" w:firstLineChars="200"/>
        <w:rPr>
          <w:szCs w:val="21"/>
        </w:rPr>
      </w:pPr>
      <w:r>
        <w:rPr>
          <w:rFonts w:hint="eastAsia" w:ascii="宋体" w:hAnsi="宋体"/>
          <w:szCs w:val="21"/>
        </w:rPr>
        <w:t>填报人：</w:t>
      </w:r>
      <w:r>
        <w:rPr>
          <w:rFonts w:ascii="宋体" w:hAnsi="宋体"/>
          <w:szCs w:val="21"/>
        </w:rPr>
        <w:t xml:space="preserve">  </w:t>
      </w:r>
      <w:r>
        <w:rPr>
          <w:rFonts w:hint="eastAsia" w:ascii="宋体" w:hAnsi="宋体"/>
          <w:szCs w:val="21"/>
          <w:lang w:eastAsia="zh-CN"/>
        </w:rPr>
        <w:t>肖晶</w:t>
      </w:r>
      <w:r>
        <w:rPr>
          <w:rFonts w:ascii="宋体" w:hAnsi="宋体"/>
          <w:szCs w:val="21"/>
        </w:rPr>
        <w:t xml:space="preserve">             </w:t>
      </w:r>
      <w:r>
        <w:rPr>
          <w:rFonts w:hint="eastAsia" w:ascii="宋体" w:hAnsi="宋体"/>
          <w:szCs w:val="21"/>
        </w:rPr>
        <w:t>联系电话：</w:t>
      </w:r>
      <w:r>
        <w:rPr>
          <w:rFonts w:hint="eastAsia" w:ascii="宋体" w:hAnsi="宋体"/>
          <w:szCs w:val="21"/>
          <w:lang w:val="en-US" w:eastAsia="zh-CN"/>
        </w:rPr>
        <w:t>18711007909</w:t>
      </w:r>
      <w:r>
        <w:rPr>
          <w:rFonts w:ascii="宋体" w:hAnsi="宋体"/>
          <w:szCs w:val="21"/>
        </w:rPr>
        <w:t xml:space="preserve">       </w:t>
      </w:r>
      <w:r>
        <w:rPr>
          <w:rFonts w:hint="eastAsia" w:ascii="宋体" w:hAnsi="宋体"/>
          <w:szCs w:val="21"/>
        </w:rPr>
        <w:t>时间：</w:t>
      </w:r>
      <w:r>
        <w:rPr>
          <w:rFonts w:ascii="宋体" w:hAnsi="宋体"/>
          <w:szCs w:val="21"/>
        </w:rPr>
        <w:t xml:space="preserve"> </w:t>
      </w:r>
      <w:r>
        <w:rPr>
          <w:rFonts w:hint="eastAsia" w:ascii="宋体" w:hAnsi="宋体"/>
          <w:szCs w:val="21"/>
          <w:lang w:val="en-US" w:eastAsia="zh-CN"/>
        </w:rPr>
        <w:t>2022</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lang w:val="en-US" w:eastAsia="zh-CN"/>
        </w:rPr>
        <w:t>5</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lang w:val="en-US" w:eastAsia="zh-CN"/>
        </w:rPr>
        <w:t>7</w:t>
      </w:r>
      <w:r>
        <w:rPr>
          <w:rFonts w:ascii="宋体" w:hAnsi="宋体"/>
          <w:szCs w:val="21"/>
        </w:rPr>
        <w:t xml:space="preserve"> </w:t>
      </w:r>
      <w:r>
        <w:rPr>
          <w:rFonts w:hint="eastAsia" w:ascii="宋体" w:hAnsi="宋体"/>
          <w:szCs w:val="21"/>
        </w:rPr>
        <w:t>日</w:t>
      </w:r>
    </w:p>
    <w:p>
      <w:pPr>
        <w:spacing w:line="560" w:lineRule="exact"/>
        <w:rPr>
          <w:rFonts w:eastAsia="黑体"/>
          <w:kern w:val="0"/>
        </w:rPr>
      </w:pPr>
      <w:r>
        <w:rPr>
          <w:rFonts w:hint="eastAsia" w:eastAsia="黑体"/>
          <w:kern w:val="0"/>
        </w:rPr>
        <w:t>注：自评结论填“优、良、中、差”。</w:t>
      </w:r>
    </w:p>
    <w:p>
      <w:pPr>
        <w:spacing w:line="560" w:lineRule="exact"/>
        <w:rPr>
          <w:rFonts w:eastAsia="黑体"/>
          <w:kern w:val="0"/>
        </w:rPr>
      </w:pPr>
    </w:p>
    <w:p>
      <w:pPr>
        <w:spacing w:line="560" w:lineRule="exact"/>
        <w:rPr>
          <w:rFonts w:ascii="黑体" w:hAnsi="宋体" w:eastAsia="黑体" w:cs="宋体"/>
          <w:kern w:val="0"/>
          <w:sz w:val="32"/>
          <w:szCs w:val="32"/>
        </w:rPr>
      </w:pPr>
    </w:p>
    <w:p>
      <w:pPr>
        <w:spacing w:line="600" w:lineRule="exact"/>
        <w:jc w:val="center"/>
        <w:rPr>
          <w:rFonts w:hint="eastAsia" w:ascii="黑体" w:hAnsi="黑体" w:eastAsia="黑体" w:cs="黑体"/>
          <w:b/>
          <w:bCs w:val="0"/>
          <w:kern w:val="0"/>
          <w:sz w:val="36"/>
          <w:szCs w:val="36"/>
        </w:rPr>
      </w:pPr>
      <w:r>
        <w:rPr>
          <w:rFonts w:hint="eastAsia" w:ascii="黑体" w:hAnsi="黑体" w:eastAsia="黑体" w:cs="黑体"/>
          <w:b/>
          <w:bCs w:val="0"/>
          <w:kern w:val="0"/>
          <w:sz w:val="36"/>
          <w:szCs w:val="36"/>
        </w:rPr>
        <w:t>部门整体支出绩效自评报告</w:t>
      </w:r>
    </w:p>
    <w:p>
      <w:pPr>
        <w:ind w:firstLine="420" w:firstLineChars="200"/>
      </w:pPr>
    </w:p>
    <w:p>
      <w:pPr>
        <w:pStyle w:val="2"/>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黑体" w:hAnsi="黑体" w:eastAsia="黑体"/>
          <w:b/>
          <w:bCs/>
          <w:sz w:val="32"/>
          <w:szCs w:val="32"/>
        </w:rPr>
      </w:pPr>
      <w:r>
        <w:rPr>
          <w:rFonts w:hint="eastAsia" w:ascii="黑体" w:hAnsi="黑体" w:eastAsia="黑体"/>
          <w:b/>
          <w:bCs/>
          <w:sz w:val="32"/>
          <w:szCs w:val="32"/>
        </w:rPr>
        <w:t>一、部门概况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（一）部门基本情况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1．主要职能。</w:t>
      </w:r>
    </w:p>
    <w:p>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县人大常委会是县人民代表大会的常设机关，对县人民代表大会负责并报告工作。</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rPr>
        <w:t xml:space="preserve">    县人大常委会行使下列职权： </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在本行政区内保证宪法、法律、行政法规和上级人民代表大会及其常委会决议的遵守和执行。</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领导、主持县人民代表大会代表的选举。</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召集县人民代表大会会议。</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讨论、决定本县内政治、经济、教育、科学、文化、卫生、环境和资源保护、民政、民族等工作的重大事项。</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根据县人民政府建议，决定对本县内国民经济和社会发展计划预算的部分变更。</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监督县人民政府、</w:t>
      </w:r>
      <w:r>
        <w:rPr>
          <w:rFonts w:hint="eastAsia" w:ascii="仿宋" w:hAnsi="仿宋" w:eastAsia="仿宋" w:cs="仿宋"/>
          <w:sz w:val="30"/>
          <w:szCs w:val="30"/>
          <w:lang w:eastAsia="zh-CN"/>
        </w:rPr>
        <w:t>县监察委员会、</w:t>
      </w:r>
      <w:r>
        <w:rPr>
          <w:rFonts w:hint="eastAsia" w:ascii="仿宋" w:hAnsi="仿宋" w:eastAsia="仿宋" w:cs="仿宋"/>
          <w:sz w:val="30"/>
          <w:szCs w:val="30"/>
        </w:rPr>
        <w:t>人民法院、人民检察院的工作，联系县人民代表大会代表，受理人民群众对上述机关和国家工作人员的申诉和意见。</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撤销乡镇人民代表大会及人大主席团的不适当的决议。</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撤销县人民政府的不适当的决议和命令。</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在县人民代表大会闭会期间，决定副县长的个别任免。</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在县长、</w:t>
      </w:r>
      <w:r>
        <w:rPr>
          <w:rFonts w:hint="eastAsia" w:ascii="仿宋" w:hAnsi="仿宋" w:eastAsia="仿宋" w:cs="仿宋"/>
          <w:sz w:val="30"/>
          <w:szCs w:val="30"/>
          <w:lang w:eastAsia="zh-CN"/>
        </w:rPr>
        <w:t>县监察委员会主任、</w:t>
      </w:r>
      <w:r>
        <w:rPr>
          <w:rFonts w:hint="eastAsia" w:ascii="仿宋" w:hAnsi="仿宋" w:eastAsia="仿宋" w:cs="仿宋"/>
          <w:sz w:val="30"/>
          <w:szCs w:val="30"/>
        </w:rPr>
        <w:t>人民法院院长、人民检察院检察长因故不能担任职务的时候，从县人民政府、人民法院、人民检察院副职领导人员中决定代理的人选。</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根据县长的提名，决定县人民政府办公室主任、各序列局局长的任免</w:t>
      </w:r>
      <w:r>
        <w:rPr>
          <w:rFonts w:hint="eastAsia" w:ascii="仿宋" w:hAnsi="仿宋" w:eastAsia="仿宋" w:cs="仿宋"/>
          <w:sz w:val="30"/>
          <w:szCs w:val="30"/>
          <w:lang w:eastAsia="zh-CN"/>
        </w:rPr>
        <w:t>。根据县监察委员会主任的提名，决定任免县监察委员会副主任、委员</w:t>
      </w:r>
      <w:r>
        <w:rPr>
          <w:rFonts w:hint="eastAsia" w:ascii="仿宋" w:hAnsi="仿宋" w:eastAsia="仿宋" w:cs="仿宋"/>
          <w:sz w:val="30"/>
          <w:szCs w:val="30"/>
        </w:rPr>
        <w:t>。按照人民法院组织法和人民检察院组织法的规定，任免</w:t>
      </w:r>
      <w:r>
        <w:rPr>
          <w:rFonts w:hint="eastAsia" w:ascii="仿宋" w:hAnsi="仿宋" w:eastAsia="仿宋" w:cs="仿宋"/>
          <w:sz w:val="30"/>
          <w:szCs w:val="30"/>
          <w:lang w:eastAsia="zh-CN"/>
        </w:rPr>
        <w:t>县</w:t>
      </w:r>
      <w:r>
        <w:rPr>
          <w:rFonts w:hint="eastAsia" w:ascii="仿宋" w:hAnsi="仿宋" w:eastAsia="仿宋" w:cs="仿宋"/>
          <w:sz w:val="30"/>
          <w:szCs w:val="30"/>
        </w:rPr>
        <w:t>人民法院副院长、庭长、副庭长、审判委员会委员、审判员</w:t>
      </w:r>
      <w:r>
        <w:rPr>
          <w:rFonts w:hint="eastAsia" w:ascii="仿宋" w:hAnsi="仿宋" w:eastAsia="仿宋" w:cs="仿宋"/>
          <w:sz w:val="30"/>
          <w:szCs w:val="30"/>
          <w:lang w:eastAsia="zh-CN"/>
        </w:rPr>
        <w:t>，</w:t>
      </w:r>
      <w:r>
        <w:rPr>
          <w:rFonts w:hint="eastAsia" w:ascii="仿宋" w:hAnsi="仿宋" w:eastAsia="仿宋" w:cs="仿宋"/>
          <w:sz w:val="30"/>
          <w:szCs w:val="30"/>
        </w:rPr>
        <w:t>任</w:t>
      </w:r>
      <w:r>
        <w:rPr>
          <w:rFonts w:hint="eastAsia" w:ascii="仿宋" w:hAnsi="仿宋" w:eastAsia="仿宋" w:cs="仿宋"/>
          <w:sz w:val="30"/>
          <w:szCs w:val="30"/>
          <w:lang w:eastAsia="zh-CN"/>
        </w:rPr>
        <w:t>县</w:t>
      </w:r>
      <w:r>
        <w:rPr>
          <w:rFonts w:hint="eastAsia" w:ascii="仿宋" w:hAnsi="仿宋" w:eastAsia="仿宋" w:cs="仿宋"/>
          <w:sz w:val="30"/>
          <w:szCs w:val="30"/>
        </w:rPr>
        <w:t>免人民检察院副检察长、检察委员会委员、检察员。</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在县人民代表大会闭会期间，决定撤销个别副县长。</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决定撤销由它任命的县人民政府其他组成人员</w:t>
      </w:r>
      <w:r>
        <w:rPr>
          <w:rFonts w:hint="eastAsia" w:ascii="仿宋" w:hAnsi="仿宋" w:eastAsia="仿宋" w:cs="仿宋"/>
          <w:sz w:val="30"/>
          <w:szCs w:val="30"/>
          <w:lang w:eastAsia="zh-CN"/>
        </w:rPr>
        <w:t>，县监察委员会副主任、委员，</w:t>
      </w:r>
      <w:r>
        <w:rPr>
          <w:rFonts w:hint="eastAsia" w:ascii="仿宋" w:hAnsi="仿宋" w:eastAsia="仿宋" w:cs="仿宋"/>
          <w:sz w:val="30"/>
          <w:szCs w:val="30"/>
        </w:rPr>
        <w:t>人民法院副院长、庭长、副庭长、审判委员会委员、审判员</w:t>
      </w:r>
      <w:r>
        <w:rPr>
          <w:rFonts w:hint="eastAsia" w:ascii="仿宋" w:hAnsi="仿宋" w:eastAsia="仿宋" w:cs="仿宋"/>
          <w:sz w:val="30"/>
          <w:szCs w:val="30"/>
          <w:lang w:eastAsia="zh-CN"/>
        </w:rPr>
        <w:t>，县</w:t>
      </w:r>
      <w:r>
        <w:rPr>
          <w:rFonts w:hint="eastAsia" w:ascii="仿宋" w:hAnsi="仿宋" w:eastAsia="仿宋" w:cs="仿宋"/>
          <w:sz w:val="30"/>
          <w:szCs w:val="30"/>
        </w:rPr>
        <w:t>人民检察院副检察长、检察委员会委员、检察员。</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00" w:firstLineChars="200"/>
        <w:textAlignment w:val="auto"/>
        <w:rPr>
          <w:rFonts w:hint="default" w:ascii="仿宋" w:hAnsi="仿宋" w:eastAsia="仿宋" w:cs="仿宋"/>
          <w:sz w:val="30"/>
          <w:szCs w:val="30"/>
          <w:lang w:val="en"/>
        </w:rPr>
      </w:pPr>
      <w:r>
        <w:rPr>
          <w:rFonts w:hint="eastAsia" w:ascii="仿宋" w:hAnsi="仿宋" w:eastAsia="仿宋" w:cs="仿宋"/>
          <w:sz w:val="30"/>
          <w:szCs w:val="30"/>
        </w:rPr>
        <w:t>在县人民代表大会闭会期间，补选市人民代表大会出缺的代表和罢免个别代表。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2021年末实有人数98人，其中在职65人，退休33人。遗属补助1人。</w:t>
      </w:r>
      <w:r>
        <w:rPr>
          <w:rFonts w:hint="eastAsia" w:ascii="仿宋" w:hAnsi="仿宋" w:eastAsia="仿宋"/>
          <w:sz w:val="32"/>
          <w:szCs w:val="32"/>
        </w:rPr>
        <w:t>小车</w:t>
      </w:r>
      <w:r>
        <w:rPr>
          <w:rFonts w:hint="eastAsia" w:ascii="仿宋" w:hAnsi="仿宋" w:eastAsia="仿宋" w:cs="仿宋"/>
          <w:sz w:val="30"/>
          <w:szCs w:val="30"/>
        </w:rPr>
        <w:t>编制数0台，实际0台</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房屋面积2970平方米。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textAlignment w:val="auto"/>
        <w:rPr>
          <w:rFonts w:hint="eastAsia" w:eastAsia="仿宋_GB2312"/>
          <w:sz w:val="32"/>
          <w:szCs w:val="32"/>
        </w:rPr>
      </w:pPr>
      <w:r>
        <w:rPr>
          <w:rFonts w:hint="eastAsia" w:ascii="仿宋" w:hAnsi="仿宋" w:eastAsia="仿宋" w:cs="仿宋"/>
          <w:sz w:val="30"/>
          <w:szCs w:val="30"/>
        </w:rPr>
        <w:t>（二）</w:t>
      </w:r>
      <w:r>
        <w:rPr>
          <w:rFonts w:hint="eastAsia" w:ascii="仿宋" w:hAnsi="仿宋" w:eastAsia="仿宋" w:cs="仿宋"/>
          <w:sz w:val="30"/>
          <w:szCs w:val="30"/>
          <w:lang w:eastAsia="zh-CN"/>
        </w:rPr>
        <w:t>2021</w:t>
      </w:r>
      <w:r>
        <w:rPr>
          <w:rFonts w:hint="eastAsia" w:ascii="仿宋" w:hAnsi="仿宋" w:eastAsia="仿宋" w:cs="仿宋"/>
          <w:sz w:val="30"/>
          <w:szCs w:val="30"/>
        </w:rPr>
        <w:t>年</w:t>
      </w:r>
      <w:r>
        <w:rPr>
          <w:rFonts w:hint="eastAsia" w:eastAsia="仿宋_GB2312"/>
          <w:sz w:val="32"/>
          <w:szCs w:val="32"/>
        </w:rPr>
        <w:t>的重点工作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强化理论武装。进一步健全完善县人大常委会学习制度，深入学习党的十九届六中全会精神、中央人大工作会议精神、习近平总书记在湖南考察时的重要讲话精神、习近平总书记关于坚持和完善人民代表大会制度的重要思想以及省委、市委、县委的一系列决策部署等，</w:t>
      </w:r>
      <w:r>
        <w:rPr>
          <w:rFonts w:hint="default" w:ascii="仿宋" w:hAnsi="仿宋" w:eastAsia="仿宋" w:cs="仿宋"/>
          <w:sz w:val="30"/>
          <w:szCs w:val="30"/>
          <w:lang w:val="en-US" w:eastAsia="zh-CN"/>
        </w:rPr>
        <w:t>切实做到</w:t>
      </w:r>
      <w:r>
        <w:rPr>
          <w:rFonts w:hint="eastAsia" w:ascii="仿宋" w:hAnsi="仿宋" w:eastAsia="仿宋" w:cs="仿宋"/>
          <w:sz w:val="30"/>
          <w:szCs w:val="30"/>
          <w:lang w:val="en-US" w:eastAsia="zh-CN"/>
        </w:rPr>
        <w:t>履行法定职责与为</w:t>
      </w:r>
      <w:r>
        <w:rPr>
          <w:rFonts w:hint="default" w:ascii="仿宋" w:hAnsi="仿宋" w:eastAsia="仿宋" w:cs="仿宋"/>
          <w:sz w:val="30"/>
          <w:szCs w:val="30"/>
          <w:lang w:val="en-US" w:eastAsia="zh-CN"/>
        </w:rPr>
        <w:t>民</w:t>
      </w:r>
      <w:r>
        <w:rPr>
          <w:rFonts w:hint="eastAsia" w:ascii="仿宋" w:hAnsi="仿宋" w:eastAsia="仿宋" w:cs="仿宋"/>
          <w:sz w:val="30"/>
          <w:szCs w:val="30"/>
          <w:lang w:val="en-US" w:eastAsia="zh-CN"/>
        </w:rPr>
        <w:t>办实事</w:t>
      </w:r>
      <w:r>
        <w:rPr>
          <w:rFonts w:hint="default" w:ascii="仿宋" w:hAnsi="仿宋" w:eastAsia="仿宋" w:cs="仿宋"/>
          <w:sz w:val="30"/>
          <w:szCs w:val="30"/>
          <w:lang w:val="en-US" w:eastAsia="zh-CN"/>
        </w:rPr>
        <w:t>有机结合</w:t>
      </w:r>
      <w:r>
        <w:rPr>
          <w:rFonts w:hint="eastAsia" w:ascii="仿宋" w:hAnsi="仿宋" w:eastAsia="仿宋" w:cs="仿宋"/>
          <w:sz w:val="30"/>
          <w:szCs w:val="30"/>
          <w:lang w:val="en-US" w:eastAsia="zh-CN"/>
        </w:rPr>
        <w:t>、服务经济社会高质量发展与开创人大工作新局面</w:t>
      </w:r>
      <w:r>
        <w:rPr>
          <w:rFonts w:hint="default" w:ascii="仿宋" w:hAnsi="仿宋" w:eastAsia="仿宋" w:cs="仿宋"/>
          <w:sz w:val="30"/>
          <w:szCs w:val="30"/>
          <w:lang w:val="en-US" w:eastAsia="zh-CN"/>
        </w:rPr>
        <w:t>有机结合</w:t>
      </w:r>
      <w:r>
        <w:rPr>
          <w:rFonts w:hint="eastAsia" w:ascii="仿宋" w:hAnsi="仿宋" w:eastAsia="仿宋" w:cs="仿宋"/>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提升监督质效。聚焦党中央重大决策部署，聚焦人民群众所思所盼所愿，用好宪法赋予人大的监督权，确保法律法规得到有效实施，确保行政权、监察权、审判权、检察权依法正确行使，完成党中央赋予各级人大的重大任务和履职要求。加强对法律法规贯彻实施情况监督，听取和审议县检察院公益诉讼工作，听取县监察委员会专项工作报告、规范性文件备案审查工作情况汇报，开展员额法官、员额检察官履职评议试点工作，改进执法检查方式方法，发挥好执法检查“法律巡视”监督利剑作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3.密切联系群众。加强代表联系群众工作室建设，完善硬件设施，丰富日常活动。结合</w:t>
      </w:r>
      <w:r>
        <w:rPr>
          <w:rFonts w:hint="default" w:ascii="仿宋" w:hAnsi="仿宋" w:eastAsia="仿宋" w:cs="仿宋"/>
          <w:sz w:val="30"/>
          <w:szCs w:val="30"/>
          <w:lang w:val="en-US" w:eastAsia="zh-CN"/>
        </w:rPr>
        <w:t>省市人大工作的</w:t>
      </w:r>
      <w:r>
        <w:rPr>
          <w:rFonts w:hint="eastAsia" w:ascii="仿宋" w:hAnsi="仿宋" w:eastAsia="仿宋" w:cs="仿宋"/>
          <w:sz w:val="30"/>
          <w:szCs w:val="30"/>
          <w:lang w:val="en-US" w:eastAsia="zh-CN"/>
        </w:rPr>
        <w:t>安排，有序组织新任人大干部和人大代表参加履职能力培训。努力推进县委和“一府一委两院”领导班子成员和部门主要负责人联系人大代表工作，进一步明确常委会领导对联系乡镇人大重要工作和活动指导和参与的要求。</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部门整体支出情况</w:t>
      </w:r>
    </w:p>
    <w:p>
      <w:pPr>
        <w:pStyle w:val="12"/>
        <w:spacing w:line="520" w:lineRule="exact"/>
        <w:ind w:firstLine="750" w:firstLineChars="250"/>
        <w:rPr>
          <w:rFonts w:hint="default"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本年支出合计1550.1645万元，其中：基本支出1388.5845万元，占89.58%；项目支出161.58万元，占10.42%；上缴上级支出0万元，占0%；经营支出0万元，占0%；对附属单位补助支出0万元，占0%。</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黑体" w:hAnsi="黑体" w:eastAsia="黑体"/>
          <w:b/>
          <w:bCs/>
          <w:sz w:val="32"/>
          <w:szCs w:val="32"/>
        </w:rPr>
      </w:pPr>
      <w:r>
        <w:rPr>
          <w:rFonts w:hint="eastAsia" w:ascii="黑体" w:hAnsi="黑体" w:eastAsia="黑体"/>
          <w:b/>
          <w:bCs/>
          <w:sz w:val="32"/>
          <w:szCs w:val="32"/>
        </w:rPr>
        <w:t>二、部门整体支出管理及使用情况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（一）基本支出情况</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2021年本单位基本支出1388.58万元，是指为保障单位机构正常运转、完成日常工作任务而发生的各项支出，包括用于基本工资、津贴补贴等人员经费以及办公费、印刷费、水电费及办公设备购置等日常公用经费。</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项目支出情况</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2021年本单位项目支出161.58万元，是指单位为完成选定行政工作或事业发展目标而发生的支出，包括有关事业发展专项、专项业务费、基本建设支出等。其中：人大换届支出78万元，主要用于人大换届工作等方面开支；县人大代表活动费等专项经费支出162万元，主要用于含工作评议、民族团结进步行、三湘健康环保农产品质量安全行、财政监督、执法检查、常委会公报、代表表彰、监察司法监督、代表意见办理、网站运行及维护、规范性文件备案审查、例会、信访、省市代表活动经费等81万，员额检察官、法官履职评议10万，人大代表活动经费47万,大专委会经费24万等。</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eastAsia" w:eastAsia="仿宋_GB2312"/>
          <w:sz w:val="32"/>
          <w:szCs w:val="32"/>
        </w:rPr>
      </w:pPr>
      <w:r>
        <w:rPr>
          <w:rFonts w:eastAsia="仿宋_GB2312"/>
          <w:sz w:val="32"/>
          <w:szCs w:val="32"/>
        </w:rPr>
        <w:t>“</w:t>
      </w:r>
      <w:r>
        <w:rPr>
          <w:rFonts w:hint="eastAsia" w:eastAsia="仿宋_GB2312"/>
          <w:sz w:val="32"/>
          <w:szCs w:val="32"/>
        </w:rPr>
        <w:t>三公</w:t>
      </w:r>
      <w:r>
        <w:rPr>
          <w:rFonts w:eastAsia="仿宋_GB2312"/>
          <w:sz w:val="32"/>
          <w:szCs w:val="32"/>
        </w:rPr>
        <w:t>”</w:t>
      </w:r>
      <w:r>
        <w:rPr>
          <w:rFonts w:hint="eastAsia" w:eastAsia="仿宋_GB2312"/>
          <w:sz w:val="32"/>
          <w:szCs w:val="32"/>
        </w:rPr>
        <w:t>经费情况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2021年“三公”经费决算数为2.79万元。其中：因公出国（境）费0万元，因公出国（境）0批次0人次。公务用车购置及运行费决算数为0万元（公务用车购置费0万元，公务用车购置0台。公务用车运行费0万元，公务车辆保有0辆），公务接待费决算数为2.79万元。</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00" w:firstLineChars="200"/>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2021年“三公”经费决算2.79万元，2020年决算数为2.1 万元，增加0.69万元，是因为国、省、市来隆专题调研次数增加。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黑体" w:hAnsi="黑体" w:eastAsia="黑体"/>
          <w:b/>
          <w:bCs/>
          <w:sz w:val="32"/>
          <w:szCs w:val="32"/>
        </w:rPr>
      </w:pPr>
      <w:r>
        <w:rPr>
          <w:rFonts w:hint="eastAsia" w:ascii="黑体" w:hAnsi="黑体" w:eastAsia="黑体"/>
          <w:b/>
          <w:bCs/>
          <w:sz w:val="32"/>
          <w:szCs w:val="32"/>
        </w:rPr>
        <w:t>三、部门整体支出绩效情况</w:t>
      </w:r>
    </w:p>
    <w:p>
      <w:pPr>
        <w:keepNext w:val="0"/>
        <w:keepLines w:val="0"/>
        <w:pageBreakBefore w:val="0"/>
        <w:widowControl w:val="0"/>
        <w:suppressLineNumbers w:val="0"/>
        <w:kinsoku/>
        <w:wordWrap/>
        <w:overflowPunct w:val="0"/>
        <w:topLinePunct w:val="0"/>
        <w:autoSpaceDE/>
        <w:autoSpaceDN/>
        <w:bidi w:val="0"/>
        <w:spacing w:line="560" w:lineRule="exact"/>
        <w:ind w:firstLine="600" w:firstLineChars="200"/>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一是始终坚持党的领导，切实增强政治定力。</w:t>
      </w:r>
      <w:r>
        <w:rPr>
          <w:rFonts w:hint="eastAsia" w:ascii="仿宋" w:hAnsi="仿宋" w:eastAsia="仿宋" w:cs="仿宋"/>
          <w:sz w:val="30"/>
          <w:szCs w:val="30"/>
          <w:lang w:eastAsia="zh-CN"/>
        </w:rPr>
        <w:t>进一步健全完善县</w:t>
      </w:r>
      <w:r>
        <w:rPr>
          <w:rFonts w:hint="eastAsia" w:ascii="仿宋" w:hAnsi="仿宋" w:eastAsia="仿宋" w:cs="仿宋"/>
          <w:sz w:val="30"/>
          <w:szCs w:val="30"/>
          <w:lang w:val="en-US" w:eastAsia="zh-CN"/>
        </w:rPr>
        <w:t>人大常委会</w:t>
      </w:r>
      <w:r>
        <w:rPr>
          <w:rFonts w:hint="eastAsia" w:ascii="仿宋" w:hAnsi="仿宋" w:eastAsia="仿宋" w:cs="仿宋"/>
          <w:sz w:val="30"/>
          <w:szCs w:val="30"/>
          <w:lang w:eastAsia="zh-CN"/>
        </w:rPr>
        <w:t>学习制度，深入学习党的十九届</w:t>
      </w:r>
      <w:r>
        <w:rPr>
          <w:rFonts w:hint="eastAsia" w:ascii="仿宋" w:hAnsi="仿宋" w:eastAsia="仿宋" w:cs="仿宋"/>
          <w:sz w:val="30"/>
          <w:szCs w:val="30"/>
          <w:lang w:val="en-US" w:eastAsia="zh-CN"/>
        </w:rPr>
        <w:t>六中</w:t>
      </w:r>
      <w:r>
        <w:rPr>
          <w:rFonts w:hint="eastAsia" w:ascii="仿宋" w:hAnsi="仿宋" w:eastAsia="仿宋" w:cs="仿宋"/>
          <w:sz w:val="30"/>
          <w:szCs w:val="30"/>
          <w:lang w:eastAsia="zh-CN"/>
        </w:rPr>
        <w:t>全会精神、</w:t>
      </w:r>
      <w:r>
        <w:rPr>
          <w:rFonts w:hint="eastAsia" w:ascii="仿宋" w:hAnsi="仿宋" w:eastAsia="仿宋" w:cs="仿宋"/>
          <w:sz w:val="30"/>
          <w:szCs w:val="30"/>
          <w:lang w:val="en-US" w:eastAsia="zh-CN"/>
        </w:rPr>
        <w:t>中央人大工作会议精神、</w:t>
      </w:r>
      <w:r>
        <w:rPr>
          <w:rFonts w:hint="eastAsia" w:ascii="仿宋" w:hAnsi="仿宋" w:eastAsia="仿宋" w:cs="仿宋"/>
          <w:sz w:val="30"/>
          <w:szCs w:val="30"/>
          <w:lang w:eastAsia="zh-CN"/>
        </w:rPr>
        <w:t>习</w:t>
      </w:r>
      <w:r>
        <w:rPr>
          <w:rFonts w:hint="eastAsia" w:ascii="仿宋" w:hAnsi="仿宋" w:eastAsia="仿宋" w:cs="仿宋"/>
          <w:sz w:val="30"/>
          <w:szCs w:val="30"/>
          <w:lang w:val="en-US" w:eastAsia="zh-CN"/>
        </w:rPr>
        <w:t>近平</w:t>
      </w:r>
      <w:r>
        <w:rPr>
          <w:rFonts w:hint="eastAsia" w:ascii="仿宋" w:hAnsi="仿宋" w:eastAsia="仿宋" w:cs="仿宋"/>
          <w:sz w:val="30"/>
          <w:szCs w:val="30"/>
          <w:lang w:eastAsia="zh-CN"/>
        </w:rPr>
        <w:t>总书记在湖南考察时的重要讲话精神、</w:t>
      </w:r>
      <w:r>
        <w:rPr>
          <w:rFonts w:hint="eastAsia" w:ascii="仿宋" w:hAnsi="仿宋" w:eastAsia="仿宋" w:cs="仿宋"/>
          <w:sz w:val="30"/>
          <w:szCs w:val="30"/>
          <w:lang w:val="en-US" w:eastAsia="zh-CN"/>
        </w:rPr>
        <w:t>习近平总书记关于坚持和完善人民代表大会制度的重要思想</w:t>
      </w:r>
      <w:r>
        <w:rPr>
          <w:rFonts w:hint="eastAsia" w:ascii="仿宋" w:hAnsi="仿宋" w:eastAsia="仿宋" w:cs="仿宋"/>
          <w:sz w:val="30"/>
          <w:szCs w:val="30"/>
          <w:lang w:eastAsia="zh-CN"/>
        </w:rPr>
        <w:t>以及</w:t>
      </w:r>
      <w:r>
        <w:rPr>
          <w:rFonts w:hint="eastAsia" w:ascii="仿宋" w:hAnsi="仿宋" w:eastAsia="仿宋" w:cs="仿宋"/>
          <w:sz w:val="30"/>
          <w:szCs w:val="30"/>
          <w:lang w:val="en-US" w:eastAsia="zh-CN"/>
        </w:rPr>
        <w:t>省委、市委、</w:t>
      </w:r>
      <w:r>
        <w:rPr>
          <w:rFonts w:hint="eastAsia" w:ascii="仿宋" w:hAnsi="仿宋" w:eastAsia="仿宋" w:cs="仿宋"/>
          <w:sz w:val="30"/>
          <w:szCs w:val="30"/>
          <w:lang w:eastAsia="zh-CN"/>
        </w:rPr>
        <w:t>县委的一系列决策部署等，</w:t>
      </w:r>
      <w:r>
        <w:rPr>
          <w:rFonts w:hint="default" w:ascii="仿宋" w:hAnsi="仿宋" w:eastAsia="仿宋" w:cs="仿宋"/>
          <w:sz w:val="30"/>
          <w:szCs w:val="30"/>
          <w:lang w:eastAsia="zh-CN"/>
        </w:rPr>
        <w:t>切实做到</w:t>
      </w:r>
      <w:r>
        <w:rPr>
          <w:rFonts w:hint="eastAsia" w:ascii="仿宋" w:hAnsi="仿宋" w:eastAsia="仿宋" w:cs="仿宋"/>
          <w:sz w:val="30"/>
          <w:szCs w:val="30"/>
          <w:lang w:val="en-US" w:eastAsia="zh-CN"/>
        </w:rPr>
        <w:t>履行法定职责与为</w:t>
      </w:r>
      <w:r>
        <w:rPr>
          <w:rFonts w:hint="default" w:ascii="仿宋" w:hAnsi="仿宋" w:eastAsia="仿宋" w:cs="仿宋"/>
          <w:sz w:val="30"/>
          <w:szCs w:val="30"/>
          <w:lang w:eastAsia="zh-CN"/>
        </w:rPr>
        <w:t>民</w:t>
      </w:r>
      <w:r>
        <w:rPr>
          <w:rFonts w:hint="eastAsia" w:ascii="仿宋" w:hAnsi="仿宋" w:eastAsia="仿宋" w:cs="仿宋"/>
          <w:sz w:val="30"/>
          <w:szCs w:val="30"/>
          <w:lang w:val="en-US" w:eastAsia="zh-CN"/>
        </w:rPr>
        <w:t>办实事</w:t>
      </w:r>
      <w:r>
        <w:rPr>
          <w:rFonts w:hint="default" w:ascii="仿宋" w:hAnsi="仿宋" w:eastAsia="仿宋" w:cs="仿宋"/>
          <w:sz w:val="30"/>
          <w:szCs w:val="30"/>
          <w:lang w:eastAsia="zh-CN"/>
        </w:rPr>
        <w:t>有机结合</w:t>
      </w:r>
      <w:r>
        <w:rPr>
          <w:rFonts w:hint="eastAsia" w:ascii="仿宋" w:hAnsi="仿宋" w:eastAsia="仿宋" w:cs="仿宋"/>
          <w:sz w:val="30"/>
          <w:szCs w:val="30"/>
          <w:lang w:val="en-US" w:eastAsia="zh-CN"/>
        </w:rPr>
        <w:t>、服务经济社会高质量发展与开创人大工作新局面</w:t>
      </w:r>
      <w:r>
        <w:rPr>
          <w:rFonts w:hint="default" w:ascii="仿宋" w:hAnsi="仿宋" w:eastAsia="仿宋" w:cs="仿宋"/>
          <w:sz w:val="30"/>
          <w:szCs w:val="30"/>
          <w:lang w:val="en-US" w:eastAsia="zh-CN"/>
        </w:rPr>
        <w:t>有机结合</w:t>
      </w:r>
      <w:r>
        <w:rPr>
          <w:rFonts w:hint="eastAsia" w:ascii="仿宋" w:hAnsi="仿宋" w:eastAsia="仿宋" w:cs="仿宋"/>
          <w:sz w:val="30"/>
          <w:szCs w:val="30"/>
          <w:lang w:val="en-US" w:eastAsia="zh-CN"/>
        </w:rPr>
        <w:t>。认真落实党建工作“一岗双责”，坚持党建工作与业务工作同部署、同督促、同落实，定期听取党建工作汇报，持续开展党史学习教育</w:t>
      </w:r>
      <w:bookmarkStart w:id="0" w:name="_GoBack"/>
      <w:bookmarkEnd w:id="0"/>
      <w:r>
        <w:rPr>
          <w:rFonts w:hint="eastAsia" w:ascii="仿宋" w:hAnsi="仿宋" w:eastAsia="仿宋" w:cs="仿宋"/>
          <w:sz w:val="30"/>
          <w:szCs w:val="30"/>
          <w:lang w:val="en-US" w:eastAsia="zh-CN"/>
        </w:rPr>
        <w:t xml:space="preserve">，全面加强党组的管党治党能力。严格落实“三会一课”制度，全年共召开14次党组会议、12次党员大会，所有党员按时足额缴纳党费，所有处级领导都以普通党员身份参加支部活动，党组成员积极参加双重组织生活会及主题党日活动，主动到联点乡镇、代表活动小组上党课，深化了人大党员干部的思想和行动自觉。                                                                                                                                                                                                                           </w:t>
      </w:r>
    </w:p>
    <w:p>
      <w:pPr>
        <w:keepNext w:val="0"/>
        <w:keepLines w:val="0"/>
        <w:pageBreakBefore w:val="0"/>
        <w:widowControl w:val="0"/>
        <w:suppressLineNumbers w:val="0"/>
        <w:kinsoku/>
        <w:wordWrap/>
        <w:overflowPunct w:val="0"/>
        <w:topLinePunct w:val="0"/>
        <w:autoSpaceDE/>
        <w:autoSpaceDN/>
        <w:bidi w:val="0"/>
        <w:spacing w:line="560" w:lineRule="exact"/>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是始终坚持依法监督，切实提高履职成效。聚焦教育事业发展，跟踪督办《义务教育法》贯彻实施审议意见落实情况，持续推动化解大班额、教师缺编、“双减”、学生食堂“四统”等义务教育重点难点问题；实地察看北山垃圾填埋场的库容量、坝体、污水处理系统、渗滤液收集井、填埋气发电项目等，要求环保、城管等部门要加强日常监管，规范流程操作,深入思考满库后垃圾处理问题；实地察看县城自来水第二水源地的保护情况及新水厂的建设、供水情况，要求住建、环保部门要加强水源地保护、加大检测频率、更换检测机构、挑选检测时段，确保不出任何安全事故；听取和审议县人民政府关于安全应急工作情况的汇报，提出进一步理顺机制，建立顺畅的综合应急体系，加强应急专业队伍建设，提高应急处置能力等建议；跟踪监督《禁毒法》贯彻实施审议意见的落实；积极向市人大常委会进行立法项目申报，《邵阳市隆回县虎形山花瑶风景名胜区管理条例》已纳入市人大立法项目库。通过依法监督、有效监督、正确监督，督促相关部门改进了工作、提升了质效，发挥了人大在推动发展、保障民生、促进法治等方面的积极作用。坚持依法选举，圆满完成县乡两级人大换届工作，顺利选举产生了新一届市、县、乡三级人大代表和国家机关领导人员，县乡两级所有组织提名人选均满票当选。</w:t>
      </w:r>
    </w:p>
    <w:p>
      <w:pPr>
        <w:keepNext w:val="0"/>
        <w:keepLines w:val="0"/>
        <w:pageBreakBefore w:val="0"/>
        <w:widowControl w:val="0"/>
        <w:suppressLineNumbers w:val="0"/>
        <w:kinsoku/>
        <w:wordWrap/>
        <w:overflowPunct w:val="0"/>
        <w:topLinePunct w:val="0"/>
        <w:autoSpaceDE/>
        <w:autoSpaceDN/>
        <w:bidi w:val="0"/>
        <w:spacing w:line="560" w:lineRule="exact"/>
        <w:ind w:firstLine="600" w:firstLineChars="200"/>
        <w:jc w:val="both"/>
        <w:textAlignment w:val="auto"/>
        <w:rPr>
          <w:rFonts w:ascii="黑体" w:hAnsi="黑体" w:eastAsia="黑体"/>
          <w:sz w:val="32"/>
          <w:szCs w:val="32"/>
        </w:rPr>
      </w:pPr>
      <w:r>
        <w:rPr>
          <w:rFonts w:hint="eastAsia" w:ascii="仿宋" w:hAnsi="仿宋" w:eastAsia="仿宋" w:cs="仿宋"/>
          <w:sz w:val="30"/>
          <w:szCs w:val="30"/>
          <w:lang w:val="en-US" w:eastAsia="zh-CN"/>
        </w:rPr>
        <w:t>三是始终坚持优化服务，切实改进代表工作。加强代表联系群众工作室建设，完善硬件设施，丰富日常活动</w:t>
      </w:r>
      <w:r>
        <w:rPr>
          <w:rFonts w:hint="default" w:ascii="仿宋" w:hAnsi="仿宋" w:eastAsia="仿宋" w:cs="仿宋"/>
          <w:sz w:val="30"/>
          <w:szCs w:val="30"/>
          <w:lang w:val="en-US" w:eastAsia="zh-CN"/>
        </w:rPr>
        <w:t>，全年</w:t>
      </w:r>
      <w:r>
        <w:rPr>
          <w:rFonts w:hint="eastAsia" w:ascii="仿宋" w:hAnsi="仿宋" w:eastAsia="仿宋" w:cs="仿宋"/>
          <w:sz w:val="30"/>
          <w:szCs w:val="30"/>
          <w:lang w:val="en-US" w:eastAsia="zh-CN"/>
        </w:rPr>
        <w:t>代表在工作室收集群众意见400</w:t>
      </w:r>
      <w:r>
        <w:rPr>
          <w:rFonts w:hint="default" w:ascii="仿宋" w:hAnsi="仿宋" w:eastAsia="仿宋" w:cs="仿宋"/>
          <w:sz w:val="30"/>
          <w:szCs w:val="30"/>
          <w:lang w:val="en-US" w:eastAsia="zh-CN"/>
        </w:rPr>
        <w:t>余</w:t>
      </w:r>
      <w:r>
        <w:rPr>
          <w:rFonts w:hint="eastAsia" w:ascii="仿宋" w:hAnsi="仿宋" w:eastAsia="仿宋" w:cs="仿宋"/>
          <w:sz w:val="30"/>
          <w:szCs w:val="30"/>
          <w:lang w:val="en-US" w:eastAsia="zh-CN"/>
        </w:rPr>
        <w:t>件，拓宽代表知情知政权，邀请代表参与常委会各项工作、列席常委会会议，为代表执行职务拓宽了渠道、创造了条件。</w:t>
      </w:r>
      <w:r>
        <w:rPr>
          <w:rFonts w:hint="default" w:ascii="仿宋" w:hAnsi="仿宋" w:eastAsia="仿宋" w:cs="仿宋"/>
          <w:sz w:val="30"/>
          <w:szCs w:val="30"/>
          <w:lang w:val="en-US" w:eastAsia="zh-CN"/>
        </w:rPr>
        <w:t>2021年县十六届人大六次会议期间收到代表建议18</w:t>
      </w:r>
      <w:r>
        <w:rPr>
          <w:rFonts w:hint="eastAsia" w:ascii="仿宋" w:hAnsi="仿宋" w:eastAsia="仿宋" w:cs="仿宋"/>
          <w:sz w:val="30"/>
          <w:szCs w:val="30"/>
          <w:lang w:val="en-US" w:eastAsia="zh-CN"/>
        </w:rPr>
        <w:t>7</w:t>
      </w:r>
      <w:r>
        <w:rPr>
          <w:rFonts w:hint="default" w:ascii="仿宋" w:hAnsi="仿宋" w:eastAsia="仿宋" w:cs="仿宋"/>
          <w:sz w:val="30"/>
          <w:szCs w:val="30"/>
          <w:lang w:val="en-US" w:eastAsia="zh-CN"/>
        </w:rPr>
        <w:t>件，全部交办至县人民政府</w:t>
      </w:r>
      <w:r>
        <w:rPr>
          <w:rFonts w:hint="eastAsia" w:ascii="仿宋" w:hAnsi="仿宋" w:eastAsia="仿宋" w:cs="仿宋"/>
          <w:sz w:val="30"/>
          <w:szCs w:val="30"/>
          <w:lang w:val="en-US" w:eastAsia="zh-CN"/>
        </w:rPr>
        <w:t>，</w:t>
      </w:r>
      <w:r>
        <w:rPr>
          <w:rFonts w:hint="default" w:ascii="仿宋" w:hAnsi="仿宋" w:eastAsia="仿宋" w:cs="仿宋"/>
          <w:sz w:val="30"/>
          <w:szCs w:val="30"/>
          <w:lang w:val="en-US" w:eastAsia="zh-CN"/>
        </w:rPr>
        <w:t>通过主任会议交办、县政府领导领办、县人大领导现场督办等方式，加大了代表建议办理力度，三阁</w:t>
      </w:r>
      <w:r>
        <w:rPr>
          <w:rFonts w:hint="eastAsia" w:ascii="仿宋" w:hAnsi="仿宋" w:eastAsia="仿宋" w:cs="仿宋"/>
          <w:sz w:val="30"/>
          <w:szCs w:val="30"/>
          <w:lang w:val="en-US" w:eastAsia="zh-CN"/>
        </w:rPr>
        <w:t>司</w:t>
      </w:r>
      <w:r>
        <w:rPr>
          <w:rFonts w:hint="default" w:ascii="仿宋" w:hAnsi="仿宋" w:eastAsia="仿宋" w:cs="仿宋"/>
          <w:sz w:val="30"/>
          <w:szCs w:val="30"/>
          <w:lang w:val="en-US" w:eastAsia="zh-CN"/>
        </w:rPr>
        <w:t>镇中心小学交通安全隐患、智丰产业园施工手续、梨子园小学交通安全隐患、南麻公路提质、高罗公路改造等</w:t>
      </w:r>
      <w:r>
        <w:rPr>
          <w:rFonts w:hint="eastAsia" w:ascii="仿宋" w:hAnsi="仿宋" w:eastAsia="仿宋" w:cs="仿宋"/>
          <w:sz w:val="30"/>
          <w:szCs w:val="30"/>
          <w:lang w:val="en-US" w:eastAsia="zh-CN"/>
        </w:rPr>
        <w:t>一批人民群众关心的热点难点问题得到有效解决。加强对基层人大工作的联系指导，</w:t>
      </w:r>
      <w:r>
        <w:rPr>
          <w:rFonts w:hint="default" w:ascii="仿宋" w:hAnsi="仿宋" w:eastAsia="仿宋" w:cs="仿宋"/>
          <w:sz w:val="30"/>
          <w:szCs w:val="30"/>
          <w:lang w:val="en-US" w:eastAsia="zh-CN"/>
        </w:rPr>
        <w:t>换届期间，每周召开一次乡镇人大主席学习交流会、编印选举工作资料、制定选举方案模板、要求乡镇人大工作者逐村指导、安排人员专项督查，确保了选举工作有条不紊，圆满成功。</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b/>
          <w:bCs/>
          <w:sz w:val="32"/>
          <w:szCs w:val="32"/>
        </w:rPr>
      </w:pPr>
      <w:r>
        <w:rPr>
          <w:rFonts w:hint="eastAsia" w:ascii="黑体" w:hAnsi="黑体" w:eastAsia="黑体"/>
          <w:b/>
          <w:bCs/>
          <w:sz w:val="32"/>
          <w:szCs w:val="32"/>
        </w:rPr>
        <w:t>存在的问题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仿宋" w:hAnsi="仿宋" w:eastAsia="仿宋" w:cs="仿宋"/>
          <w:kern w:val="2"/>
          <w:sz w:val="30"/>
          <w:szCs w:val="30"/>
          <w:lang w:val="en-US" w:eastAsia="zh-CN" w:bidi="ar-SA"/>
        </w:rPr>
      </w:pPr>
      <w:r>
        <w:rPr>
          <w:rFonts w:hint="eastAsia"/>
          <w:lang w:val="en-US" w:eastAsia="zh-CN"/>
        </w:rPr>
        <w:t xml:space="preserve">   </w:t>
      </w:r>
      <w:r>
        <w:rPr>
          <w:rFonts w:hint="eastAsia" w:ascii="仿宋" w:hAnsi="仿宋" w:eastAsia="仿宋" w:cs="仿宋"/>
          <w:kern w:val="2"/>
          <w:sz w:val="30"/>
          <w:szCs w:val="30"/>
          <w:lang w:val="en-US" w:eastAsia="zh-CN" w:bidi="ar-SA"/>
        </w:rPr>
        <w:t>预算编制有待细化。预算编制细化程度不足，预算支出安排合理性需进一步提高，预算执行力度需进一步加强。</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3" w:firstLineChars="200"/>
        <w:textAlignment w:val="auto"/>
        <w:rPr>
          <w:rFonts w:hint="eastAsia" w:ascii="黑体" w:hAnsi="黑体" w:eastAsia="黑体"/>
          <w:b/>
          <w:bCs/>
          <w:sz w:val="32"/>
          <w:szCs w:val="32"/>
        </w:rPr>
      </w:pPr>
      <w:r>
        <w:rPr>
          <w:rFonts w:hint="eastAsia" w:ascii="黑体" w:hAnsi="黑体" w:eastAsia="黑体"/>
          <w:b/>
          <w:bCs/>
          <w:sz w:val="32"/>
          <w:szCs w:val="32"/>
        </w:rPr>
        <w:t>改进措施和有关建议</w:t>
      </w:r>
    </w:p>
    <w:p>
      <w:pPr>
        <w:keepNext w:val="0"/>
        <w:keepLines w:val="0"/>
        <w:pageBreakBefore w:val="0"/>
        <w:widowControl w:val="0"/>
        <w:suppressLineNumbers w:val="0"/>
        <w:kinsoku/>
        <w:wordWrap/>
        <w:overflowPunct w:val="0"/>
        <w:topLinePunct w:val="0"/>
        <w:autoSpaceDE/>
        <w:autoSpaceDN/>
        <w:bidi w:val="0"/>
        <w:spacing w:line="560" w:lineRule="exact"/>
        <w:ind w:firstLine="600" w:firstLineChars="200"/>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加强预算管理。单位不断强化预算意识，实行部门综合预算管理，结合单位业务情况，进行科学合理分配细化，部门预算经批复后，跟踪预算执行进度，及时组织收入，科学合理安排支出。加强对预算执行过程的控制和结果的反馈，对预算执行差异及时分析成因和影响，并及时向领导反馈，促进预算目标的全面完成。</w:t>
      </w:r>
    </w:p>
    <w:p>
      <w:pPr>
        <w:keepNext w:val="0"/>
        <w:keepLines w:val="0"/>
        <w:pageBreakBefore w:val="0"/>
        <w:widowControl w:val="0"/>
        <w:suppressLineNumbers w:val="0"/>
        <w:kinsoku/>
        <w:wordWrap/>
        <w:overflowPunct w:val="0"/>
        <w:topLinePunct w:val="0"/>
        <w:autoSpaceDE/>
        <w:autoSpaceDN/>
        <w:bidi w:val="0"/>
        <w:spacing w:line="560" w:lineRule="exact"/>
        <w:ind w:firstLine="600" w:firstLineChars="200"/>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加强内控管理。各委室各部门要充分认识贯彻实施《内控规范》的重要意义，并将其作为当前及今后一项重要的基础性、常态化工作来抓，精心组织落实，做到边学习、边完善、边规范、边执行，逐步建立规范内部控制规范体系。各委室负责人作为内控规范实施的第一责任人，要高度重视，切实担负起领导责任，带头组织推动内控规范实施，做到任务到岗、责任到人。各委室要按照统一部署，主动开展工作，加强沟通、相互协调、密切配合，全面提升风险防控和内部管理水平。采取多种方式积极做好内部控制规范体系建设的宣传培训工作，要调动一切有利因素，确保按时完成内部控制建设工作各项任务。</w:t>
      </w:r>
    </w:p>
    <w:p>
      <w:pPr>
        <w:keepNext w:val="0"/>
        <w:keepLines w:val="0"/>
        <w:pageBreakBefore w:val="0"/>
        <w:widowControl w:val="0"/>
        <w:suppressLineNumbers w:val="0"/>
        <w:kinsoku/>
        <w:wordWrap/>
        <w:overflowPunct w:val="0"/>
        <w:topLinePunct w:val="0"/>
        <w:autoSpaceDE/>
        <w:autoSpaceDN/>
        <w:bidi w:val="0"/>
        <w:spacing w:line="560" w:lineRule="exact"/>
        <w:ind w:firstLine="600" w:firstLineChars="200"/>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3.加强资产负债管理严格执行现行固定资产管理制度，对固定资产的增减变动等及时入账，确保账面上能真实、完整的反映单位的固定资产情况。及时进行无债务申报，控制债务风险。</w:t>
      </w:r>
    </w:p>
    <w:p>
      <w:pPr>
        <w:pStyle w:val="2"/>
        <w:numPr>
          <w:ilvl w:val="0"/>
          <w:numId w:val="0"/>
        </w:numPr>
        <w:ind w:leftChars="200"/>
        <w:rPr>
          <w:rFonts w:hint="default" w:eastAsia="宋体"/>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eastAsia="仿宋_GB2312"/>
          <w:sz w:val="32"/>
          <w:szCs w:val="32"/>
        </w:rPr>
      </w:pPr>
    </w:p>
    <w:p>
      <w:pPr>
        <w:spacing w:line="560" w:lineRule="exact"/>
        <w:rPr>
          <w:rFonts w:ascii="黑体" w:hAnsi="宋体" w:eastAsia="黑体" w:cs="宋体"/>
          <w:kern w:val="0"/>
          <w:sz w:val="32"/>
          <w:szCs w:val="32"/>
        </w:rPr>
      </w:pPr>
    </w:p>
    <w:p>
      <w:pPr>
        <w:spacing w:line="560" w:lineRule="exact"/>
        <w:rPr>
          <w:rFonts w:ascii="黑体" w:hAnsi="宋体" w:eastAsia="黑体" w:cs="宋体"/>
          <w:kern w:val="0"/>
          <w:sz w:val="32"/>
          <w:szCs w:val="32"/>
        </w:rPr>
      </w:pPr>
    </w:p>
    <w:p/>
    <w:p/>
    <w:p/>
    <w:sectPr>
      <w:headerReference r:id="rId3" w:type="default"/>
      <w:footerReference r:id="rId4" w:type="default"/>
      <w:footerReference r:id="rId5" w:type="even"/>
      <w:pgSz w:w="11905" w:h="16837"/>
      <w:pgMar w:top="1418" w:right="1588" w:bottom="1418" w:left="1588" w:header="720" w:footer="1701" w:gutter="0"/>
      <w:pgNumType w:fmt="numberInDash"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简体">
    <w:altName w:val="Arial Unicode MS"/>
    <w:panose1 w:val="02010601030101010101"/>
    <w:charset w:val="86"/>
    <w:family w:val="auto"/>
    <w:pitch w:val="default"/>
    <w:sig w:usb0="00000000" w:usb1="00000000" w:usb2="0000001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right"/>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jc w:val="right"/>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fldChar w:fldCharType="begin"/>
    </w:r>
    <w:r>
      <w:rPr>
        <w:rStyle w:val="11"/>
      </w:rPr>
      <w:instrText xml:space="preserve">PAGE  </w:instrText>
    </w:r>
    <w:r>
      <w:fldChar w:fldCharType="separate"/>
    </w:r>
    <w: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E210A"/>
    <w:multiLevelType w:val="singleLevel"/>
    <w:tmpl w:val="BFFE210A"/>
    <w:lvl w:ilvl="0" w:tentative="0">
      <w:start w:val="3"/>
      <w:numFmt w:val="chineseCounting"/>
      <w:suff w:val="nothing"/>
      <w:lvlText w:val="（%1）"/>
      <w:lvlJc w:val="left"/>
      <w:rPr>
        <w:rFonts w:hint="eastAsia"/>
      </w:rPr>
    </w:lvl>
  </w:abstractNum>
  <w:abstractNum w:abstractNumId="1">
    <w:nsid w:val="E3F819E8"/>
    <w:multiLevelType w:val="singleLevel"/>
    <w:tmpl w:val="E3F819E8"/>
    <w:lvl w:ilvl="0" w:tentative="0">
      <w:start w:val="2"/>
      <w:numFmt w:val="chineseCounting"/>
      <w:suff w:val="nothing"/>
      <w:lvlText w:val="（%1）"/>
      <w:lvlJc w:val="left"/>
      <w:rPr>
        <w:rFonts w:hint="eastAsia"/>
      </w:rPr>
    </w:lvl>
  </w:abstractNum>
  <w:abstractNum w:abstractNumId="2">
    <w:nsid w:val="FEA8D121"/>
    <w:multiLevelType w:val="singleLevel"/>
    <w:tmpl w:val="FEA8D121"/>
    <w:lvl w:ilvl="0" w:tentative="0">
      <w:start w:val="4"/>
      <w:numFmt w:val="chineseCounting"/>
      <w:suff w:val="nothing"/>
      <w:lvlText w:val="%1、"/>
      <w:lvlJc w:val="left"/>
      <w:rPr>
        <w:rFonts w:hint="eastAsia"/>
      </w:rPr>
    </w:lvl>
  </w:abstractNum>
  <w:abstractNum w:abstractNumId="3">
    <w:nsid w:val="7D3ED482"/>
    <w:multiLevelType w:val="singleLevel"/>
    <w:tmpl w:val="7D3ED482"/>
    <w:lvl w:ilvl="0" w:tentative="0">
      <w:start w:val="1"/>
      <w:numFmt w:val="decimal"/>
      <w:lvlText w:val="(%1)"/>
      <w:lvlJc w:val="left"/>
      <w:pPr>
        <w:ind w:left="425" w:hanging="425"/>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yMjZhYWNjMGI5ZWMxZGYyOWIwMzYyNzQ0ZmQ0YTUifQ=="/>
  </w:docVars>
  <w:rsids>
    <w:rsidRoot w:val="18D538B0"/>
    <w:rsid w:val="01600BAC"/>
    <w:rsid w:val="018E17F6"/>
    <w:rsid w:val="09D347BB"/>
    <w:rsid w:val="0A686BF6"/>
    <w:rsid w:val="0E7F3487"/>
    <w:rsid w:val="117C2E73"/>
    <w:rsid w:val="11E9622E"/>
    <w:rsid w:val="12607728"/>
    <w:rsid w:val="13113C31"/>
    <w:rsid w:val="13C57FC2"/>
    <w:rsid w:val="13EB2DF0"/>
    <w:rsid w:val="1767588B"/>
    <w:rsid w:val="18D538B0"/>
    <w:rsid w:val="18E032C2"/>
    <w:rsid w:val="1CCF110C"/>
    <w:rsid w:val="21B552CB"/>
    <w:rsid w:val="2483632E"/>
    <w:rsid w:val="25B05D49"/>
    <w:rsid w:val="2A706BB3"/>
    <w:rsid w:val="2AF1294F"/>
    <w:rsid w:val="2C2B5641"/>
    <w:rsid w:val="2E2B5E45"/>
    <w:rsid w:val="2E515D05"/>
    <w:rsid w:val="2FC02FA6"/>
    <w:rsid w:val="2FF745A3"/>
    <w:rsid w:val="316450AF"/>
    <w:rsid w:val="335115F0"/>
    <w:rsid w:val="3546366F"/>
    <w:rsid w:val="357070B5"/>
    <w:rsid w:val="38FC7F68"/>
    <w:rsid w:val="3A754CC9"/>
    <w:rsid w:val="3BEA370A"/>
    <w:rsid w:val="3DFF46F9"/>
    <w:rsid w:val="3ECD3124"/>
    <w:rsid w:val="3F9A003D"/>
    <w:rsid w:val="40F164D7"/>
    <w:rsid w:val="475F4422"/>
    <w:rsid w:val="4874505C"/>
    <w:rsid w:val="49136AFE"/>
    <w:rsid w:val="49201968"/>
    <w:rsid w:val="4BB7622B"/>
    <w:rsid w:val="4BB905DA"/>
    <w:rsid w:val="4E0B709E"/>
    <w:rsid w:val="507C62DD"/>
    <w:rsid w:val="5462658D"/>
    <w:rsid w:val="563C6D66"/>
    <w:rsid w:val="565C4B5A"/>
    <w:rsid w:val="578E37A1"/>
    <w:rsid w:val="58C76ABA"/>
    <w:rsid w:val="5DFA1DFA"/>
    <w:rsid w:val="5EEDCF91"/>
    <w:rsid w:val="62CF9330"/>
    <w:rsid w:val="635B32B1"/>
    <w:rsid w:val="63AD5DD7"/>
    <w:rsid w:val="65ED7F30"/>
    <w:rsid w:val="6A522671"/>
    <w:rsid w:val="6ACB22C2"/>
    <w:rsid w:val="6C6A0E2B"/>
    <w:rsid w:val="6C801864"/>
    <w:rsid w:val="6E615BFD"/>
    <w:rsid w:val="75C5780A"/>
    <w:rsid w:val="767C2482"/>
    <w:rsid w:val="78853E63"/>
    <w:rsid w:val="79DFA348"/>
    <w:rsid w:val="7A3613CA"/>
    <w:rsid w:val="7AF74125"/>
    <w:rsid w:val="7BF5942E"/>
    <w:rsid w:val="7D2A54B9"/>
    <w:rsid w:val="7E7EB133"/>
    <w:rsid w:val="7FA61257"/>
    <w:rsid w:val="7FFB1750"/>
    <w:rsid w:val="B2F85DE9"/>
    <w:rsid w:val="BFC1DAA6"/>
    <w:rsid w:val="BFCB6E1F"/>
    <w:rsid w:val="DA3F840A"/>
    <w:rsid w:val="DBF74F8D"/>
    <w:rsid w:val="DCFFA701"/>
    <w:rsid w:val="EDF72037"/>
    <w:rsid w:val="EDFFF985"/>
    <w:rsid w:val="F733A051"/>
    <w:rsid w:val="FD7F1C89"/>
    <w:rsid w:val="FEAED739"/>
    <w:rsid w:val="FF7E79EA"/>
    <w:rsid w:val="FFCF5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next w:val="4"/>
    <w:qFormat/>
    <w:uiPriority w:val="0"/>
    <w:pPr>
      <w:ind w:firstLine="640" w:firstLineChars="200"/>
    </w:pPr>
    <w:rPr>
      <w:sz w:val="32"/>
    </w:rPr>
  </w:style>
  <w:style w:type="paragraph" w:styleId="4">
    <w:name w:val="List Paragraph"/>
    <w:basedOn w:val="1"/>
    <w:next w:val="1"/>
    <w:qFormat/>
    <w:uiPriority w:val="34"/>
    <w:pPr>
      <w:ind w:firstLine="42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1">
    <w:name w:val="page number"/>
    <w:basedOn w:val="10"/>
    <w:qFormat/>
    <w:uiPriority w:val="0"/>
  </w:style>
  <w:style w:type="paragraph" w:customStyle="1" w:styleId="12">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4081</Words>
  <Characters>4307</Characters>
  <Lines>0</Lines>
  <Paragraphs>0</Paragraphs>
  <TotalTime>5</TotalTime>
  <ScaleCrop>false</ScaleCrop>
  <LinksUpToDate>false</LinksUpToDate>
  <CharactersWithSpaces>4587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2021-04-20T23:48:00Z</dcterms:created>
  <dc:creator>彭礼孝</dc:creator>
  <cp:lastModifiedBy>随风而起</cp:lastModifiedBy>
  <cp:lastPrinted>2022-05-10T17:15:00Z</cp:lastPrinted>
  <dcterms:modified xsi:type="dcterms:W3CDTF">2023-09-28T07:16:09Z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FC4AD5B48165493FADE0A0374E14E380</vt:lpwstr>
  </property>
</Properties>
</file>