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bookmarkStart w:id="0" w:name="_GoBack"/>
      <w:r>
        <w:rPr>
          <w:rFonts w:hint="eastAsia" w:ascii="方正小标宋简体" w:eastAsia="方正小标宋简体"/>
          <w:bCs/>
          <w:kern w:val="0"/>
          <w:sz w:val="36"/>
          <w:szCs w:val="36"/>
        </w:rPr>
        <w:t>部门整体支出绩效自评基础数据表</w:t>
      </w:r>
    </w:p>
    <w:bookmarkEnd w:id="0"/>
    <w:tbl>
      <w:tblPr>
        <w:tblStyle w:val="9"/>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21"/>
        <w:gridCol w:w="480"/>
        <w:gridCol w:w="795"/>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center"/>
          </w:tcPr>
          <w:p>
            <w:pPr>
              <w:spacing w:line="540" w:lineRule="exact"/>
              <w:jc w:val="center"/>
              <w:rPr>
                <w:rFonts w:hint="eastAsia" w:ascii="楷体" w:hAnsi="楷体" w:eastAsia="楷体" w:cs="楷体"/>
                <w:szCs w:val="21"/>
                <w:lang w:eastAsia="zh-CN"/>
              </w:rPr>
            </w:pPr>
            <w:r>
              <w:rPr>
                <w:rFonts w:hint="eastAsia" w:ascii="楷体" w:hAnsi="楷体" w:eastAsia="楷体" w:cs="楷体"/>
                <w:szCs w:val="21"/>
                <w:lang w:eastAsia="zh-CN"/>
              </w:rPr>
              <w:t>隆回县归侨侨眷联合会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spacing w:line="540" w:lineRule="exact"/>
              <w:ind w:firstLine="105" w:firstLineChars="50"/>
              <w:jc w:val="center"/>
              <w:rPr>
                <w:rFonts w:hint="eastAsia" w:ascii="楷体" w:hAnsi="楷体" w:eastAsia="楷体" w:cs="楷体"/>
                <w:szCs w:val="21"/>
                <w:lang w:val="en-US" w:eastAsia="zh-CN"/>
              </w:rPr>
            </w:pPr>
            <w:r>
              <w:rPr>
                <w:rFonts w:hint="eastAsia" w:ascii="楷体" w:hAnsi="楷体" w:eastAsia="楷体" w:cs="楷体"/>
                <w:szCs w:val="21"/>
                <w:lang w:val="en-US" w:eastAsia="zh-CN"/>
              </w:rPr>
              <w:t>5</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center"/>
          </w:tcPr>
          <w:p>
            <w:pPr>
              <w:spacing w:line="540" w:lineRule="exact"/>
              <w:ind w:firstLine="105" w:firstLineChars="50"/>
              <w:jc w:val="center"/>
              <w:rPr>
                <w:rFonts w:hint="eastAsia" w:ascii="楷体" w:hAnsi="楷体" w:eastAsia="楷体" w:cs="楷体"/>
                <w:szCs w:val="21"/>
                <w:lang w:val="en-US" w:eastAsia="zh-CN"/>
              </w:rPr>
            </w:pPr>
            <w:r>
              <w:rPr>
                <w:rFonts w:hint="eastAsia" w:ascii="楷体" w:hAnsi="楷体" w:eastAsia="楷体" w:cs="楷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center"/>
          </w:tcPr>
          <w:p>
            <w:pPr>
              <w:spacing w:line="340" w:lineRule="exact"/>
              <w:ind w:firstLine="420" w:firstLineChars="200"/>
              <w:jc w:val="both"/>
              <w:rPr>
                <w:rFonts w:ascii="楷体" w:hAnsi="楷体" w:eastAsia="楷体" w:cs="楷体"/>
                <w:szCs w:val="21"/>
              </w:rPr>
            </w:pPr>
            <w:r>
              <w:rPr>
                <w:rFonts w:hint="eastAsia" w:ascii="楷体" w:hAnsi="楷体" w:eastAsia="楷体" w:cs="楷体"/>
                <w:szCs w:val="21"/>
                <w:lang w:eastAsia="zh-CN"/>
              </w:rPr>
              <w:t>隆回县归侨侨眷联合会</w:t>
            </w:r>
            <w:r>
              <w:rPr>
                <w:rFonts w:hint="eastAsia" w:ascii="楷体" w:hAnsi="楷体" w:eastAsia="楷体" w:cs="楷体"/>
                <w:szCs w:val="21"/>
              </w:rPr>
              <w:t>是党和政府联系归侨、侨眷与海外侨胞的桥梁和纽带</w:t>
            </w:r>
            <w:r>
              <w:rPr>
                <w:rFonts w:hint="eastAsia" w:ascii="楷体" w:hAnsi="楷体" w:eastAsia="楷体" w:cs="楷体"/>
                <w:szCs w:val="21"/>
                <w:lang w:eastAsia="zh-CN"/>
              </w:rPr>
              <w:t>，负责宣传、贯彻党和政府的方针、政策，团结和动员归侨侨眷积极参加改革开放和社会主义现代化建设，</w:t>
            </w:r>
            <w:r>
              <w:rPr>
                <w:rFonts w:hint="eastAsia" w:ascii="楷体" w:hAnsi="楷体" w:eastAsia="楷体" w:cs="楷体"/>
                <w:szCs w:val="21"/>
              </w:rPr>
              <w:t>指导全县侨</w:t>
            </w:r>
            <w:r>
              <w:rPr>
                <w:rFonts w:hint="eastAsia" w:ascii="楷体" w:hAnsi="楷体" w:eastAsia="楷体" w:cs="楷体"/>
                <w:szCs w:val="21"/>
                <w:lang w:eastAsia="zh-CN"/>
              </w:rPr>
              <w:t>联组织</w:t>
            </w:r>
            <w:r>
              <w:rPr>
                <w:rFonts w:hint="eastAsia" w:ascii="楷体" w:hAnsi="楷体" w:eastAsia="楷体" w:cs="楷体"/>
                <w:szCs w:val="21"/>
              </w:rPr>
              <w:t>的业务工作，完成县委、政府交办的其他工作。群众工作、参政议政、维护侨益、海外联谊是侨联的基本职能。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81.00</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28" w:type="dxa"/>
            <w:gridSpan w:val="2"/>
            <w:noWrap w:val="0"/>
            <w:vAlign w:val="top"/>
          </w:tcPr>
          <w:p>
            <w:pPr>
              <w:spacing w:line="560" w:lineRule="exact"/>
              <w:jc w:val="left"/>
              <w:rPr>
                <w:rFonts w:hint="default" w:ascii="楷体" w:hAnsi="楷体" w:eastAsia="楷体" w:cs="楷体"/>
                <w:szCs w:val="21"/>
                <w:lang w:val="en-US"/>
              </w:rPr>
            </w:pPr>
            <w:r>
              <w:rPr>
                <w:rFonts w:hint="eastAsia" w:ascii="楷体" w:hAnsi="楷体" w:eastAsia="楷体" w:cs="楷体"/>
                <w:szCs w:val="21"/>
                <w:lang w:val="en-US" w:eastAsia="zh-CN"/>
              </w:rPr>
              <w:t>81.00</w:t>
            </w:r>
          </w:p>
        </w:tc>
        <w:tc>
          <w:tcPr>
            <w:tcW w:w="480"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95" w:type="dxa"/>
            <w:vMerge w:val="restart"/>
            <w:noWrap w:val="0"/>
            <w:vAlign w:val="top"/>
          </w:tcPr>
          <w:p>
            <w:pPr>
              <w:spacing w:line="560" w:lineRule="exact"/>
              <w:jc w:val="left"/>
              <w:rPr>
                <w:rFonts w:hint="default" w:ascii="楷体" w:hAnsi="楷体" w:eastAsia="楷体" w:cs="楷体"/>
                <w:szCs w:val="21"/>
                <w:lang w:val="en-US"/>
              </w:rPr>
            </w:pPr>
            <w:r>
              <w:rPr>
                <w:rFonts w:hint="eastAsia" w:ascii="楷体" w:hAnsi="楷体" w:eastAsia="楷体" w:cs="楷体"/>
                <w:szCs w:val="21"/>
                <w:lang w:val="en-US" w:eastAsia="zh-CN"/>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928" w:type="dxa"/>
            <w:gridSpan w:val="2"/>
            <w:noWrap w:val="0"/>
            <w:vAlign w:val="top"/>
          </w:tcPr>
          <w:p>
            <w:pPr>
              <w:spacing w:line="560" w:lineRule="exact"/>
              <w:jc w:val="left"/>
              <w:rPr>
                <w:rFonts w:ascii="楷体" w:hAnsi="楷体" w:eastAsia="楷体" w:cs="楷体"/>
                <w:szCs w:val="21"/>
              </w:rPr>
            </w:pPr>
          </w:p>
        </w:tc>
        <w:tc>
          <w:tcPr>
            <w:tcW w:w="480" w:type="dxa"/>
            <w:vMerge w:val="continue"/>
            <w:noWrap w:val="0"/>
            <w:vAlign w:val="center"/>
          </w:tcPr>
          <w:p>
            <w:pPr>
              <w:spacing w:line="560" w:lineRule="exact"/>
              <w:jc w:val="center"/>
              <w:rPr>
                <w:rFonts w:ascii="楷体" w:hAnsi="楷体" w:eastAsia="楷体" w:cs="楷体"/>
                <w:szCs w:val="21"/>
              </w:rPr>
            </w:pPr>
          </w:p>
        </w:tc>
        <w:tc>
          <w:tcPr>
            <w:tcW w:w="795"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56.69</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21"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14</w:t>
            </w:r>
          </w:p>
        </w:tc>
        <w:tc>
          <w:tcPr>
            <w:tcW w:w="480"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95"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0.23</w:t>
            </w:r>
          </w:p>
        </w:tc>
        <w:tc>
          <w:tcPr>
            <w:tcW w:w="1559" w:type="dxa"/>
            <w:gridSpan w:val="3"/>
            <w:vMerge w:val="continue"/>
            <w:noWrap w:val="0"/>
            <w:vAlign w:val="top"/>
          </w:tcPr>
          <w:p>
            <w:pPr>
              <w:jc w:val="center"/>
              <w:rPr>
                <w:rFonts w:ascii="楷体" w:hAnsi="楷体" w:eastAsia="楷体" w:cs="楷体"/>
                <w:szCs w:val="21"/>
              </w:rPr>
            </w:pPr>
          </w:p>
        </w:tc>
        <w:tc>
          <w:tcPr>
            <w:tcW w:w="921" w:type="dxa"/>
            <w:vMerge w:val="continue"/>
            <w:noWrap w:val="0"/>
            <w:vAlign w:val="top"/>
          </w:tcPr>
          <w:p>
            <w:pPr>
              <w:jc w:val="center"/>
              <w:rPr>
                <w:rFonts w:ascii="楷体" w:hAnsi="楷体" w:eastAsia="楷体" w:cs="楷体"/>
                <w:szCs w:val="21"/>
              </w:rPr>
            </w:pPr>
          </w:p>
        </w:tc>
        <w:tc>
          <w:tcPr>
            <w:tcW w:w="480" w:type="dxa"/>
            <w:vMerge w:val="continue"/>
            <w:noWrap w:val="0"/>
            <w:vAlign w:val="center"/>
          </w:tcPr>
          <w:p>
            <w:pPr>
              <w:jc w:val="center"/>
              <w:rPr>
                <w:rFonts w:ascii="楷体" w:hAnsi="楷体" w:eastAsia="楷体" w:cs="楷体"/>
                <w:szCs w:val="21"/>
              </w:rPr>
            </w:pPr>
          </w:p>
        </w:tc>
        <w:tc>
          <w:tcPr>
            <w:tcW w:w="795"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0</w:t>
            </w:r>
            <w:r>
              <w:rPr>
                <w:rFonts w:hint="eastAsia" w:ascii="楷体" w:hAnsi="楷体" w:eastAsia="楷体" w:cs="楷体"/>
                <w:szCs w:val="21"/>
              </w:rPr>
              <w:t>万元，实际采购金额</w:t>
            </w:r>
            <w:r>
              <w:rPr>
                <w:rFonts w:hint="eastAsia" w:ascii="楷体" w:hAnsi="楷体" w:eastAsia="楷体" w:cs="楷体"/>
                <w:szCs w:val="21"/>
                <w:lang w:val="en-US" w:eastAsia="zh-CN"/>
              </w:rPr>
              <w:t>0</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11.02</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20</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27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ind w:firstLine="420" w:firstLineChars="200"/>
              <w:rPr>
                <w:rFonts w:hint="eastAsia" w:ascii="楷体" w:hAnsi="楷体" w:eastAsia="楷体" w:cs="楷体"/>
                <w:szCs w:val="21"/>
              </w:rPr>
            </w:pPr>
            <w:r>
              <w:rPr>
                <w:rFonts w:hint="eastAsia"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根据我单位年初工作规划和重点工作，围绕县委、县政府的工作部署，积极履行职责，强化管理，较好地完成了工作目标，同时加强预算收支的管理，建立健全内部管理制度，严格内部管理流程，部门整体支出管理得到了提升。202</w:t>
            </w:r>
            <w:r>
              <w:rPr>
                <w:rFonts w:hint="eastAsia" w:ascii="楷体" w:hAnsi="楷体" w:eastAsia="楷体" w:cs="楷体"/>
                <w:szCs w:val="21"/>
                <w:lang w:val="en-US" w:eastAsia="zh-CN"/>
              </w:rPr>
              <w:t>1</w:t>
            </w:r>
            <w:r>
              <w:rPr>
                <w:rFonts w:hint="eastAsia" w:ascii="楷体" w:hAnsi="楷体" w:eastAsia="楷体" w:cs="楷体"/>
                <w:szCs w:val="21"/>
              </w:rPr>
              <w:t>年度本部门整体支出绩效情况如下：</w:t>
            </w:r>
          </w:p>
          <w:p>
            <w:pPr>
              <w:ind w:firstLine="525" w:firstLineChars="250"/>
              <w:rPr>
                <w:rFonts w:hint="eastAsia" w:ascii="楷体" w:hAnsi="楷体" w:eastAsia="楷体" w:cs="楷体"/>
                <w:szCs w:val="21"/>
              </w:rPr>
            </w:pPr>
            <w:r>
              <w:rPr>
                <w:rFonts w:hint="eastAsia" w:ascii="楷体" w:hAnsi="楷体" w:eastAsia="楷体" w:cs="楷体"/>
                <w:szCs w:val="21"/>
              </w:rPr>
              <w:t>1、本年预算配置控制较好，在侨胞侨眷返乡人数日益增多的情况下，“三公”经费支出与20</w:t>
            </w:r>
            <w:r>
              <w:rPr>
                <w:rFonts w:hint="eastAsia" w:ascii="楷体" w:hAnsi="楷体" w:eastAsia="楷体" w:cs="楷体"/>
                <w:szCs w:val="21"/>
                <w:lang w:val="en-US" w:eastAsia="zh-CN"/>
              </w:rPr>
              <w:t>20</w:t>
            </w:r>
            <w:r>
              <w:rPr>
                <w:rFonts w:hint="eastAsia" w:ascii="楷体" w:hAnsi="楷体" w:eastAsia="楷体" w:cs="楷体"/>
                <w:szCs w:val="21"/>
              </w:rPr>
              <w:t>年</w:t>
            </w:r>
            <w:r>
              <w:rPr>
                <w:rFonts w:hint="eastAsia" w:ascii="楷体" w:hAnsi="楷体" w:eastAsia="楷体" w:cs="楷体"/>
                <w:szCs w:val="21"/>
                <w:lang w:eastAsia="zh-CN"/>
              </w:rPr>
              <w:t>持平</w:t>
            </w:r>
            <w:r>
              <w:rPr>
                <w:rFonts w:hint="eastAsia" w:ascii="楷体" w:hAnsi="楷体" w:eastAsia="楷体" w:cs="楷体"/>
                <w:szCs w:val="21"/>
              </w:rPr>
              <w:t>；</w:t>
            </w:r>
          </w:p>
          <w:p>
            <w:pPr>
              <w:ind w:firstLine="525" w:firstLineChars="250"/>
              <w:rPr>
                <w:rFonts w:ascii="楷体" w:hAnsi="楷体" w:eastAsia="楷体" w:cs="楷体"/>
                <w:szCs w:val="21"/>
              </w:rPr>
            </w:pPr>
            <w:r>
              <w:rPr>
                <w:rFonts w:hint="eastAsia" w:ascii="楷体" w:hAnsi="楷体" w:eastAsia="楷体" w:cs="楷体"/>
                <w:szCs w:val="21"/>
              </w:rPr>
              <w:t>2、预算管理方面，制订了切实有效的内部财务、资产管理制度，执行总体较为有效。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262"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top"/>
          </w:tcPr>
          <w:p>
            <w:pPr>
              <w:jc w:val="both"/>
              <w:rPr>
                <w:rFonts w:hint="eastAsia" w:ascii="楷体" w:hAnsi="楷体" w:eastAsia="楷体" w:cs="楷体"/>
                <w:b/>
                <w:bCs/>
                <w:szCs w:val="21"/>
                <w:lang w:eastAsia="zh-CN"/>
              </w:rPr>
            </w:pPr>
            <w:r>
              <w:rPr>
                <w:rFonts w:hint="eastAsia" w:ascii="楷体" w:hAnsi="楷体" w:eastAsia="楷体" w:cs="楷体"/>
                <w:b/>
                <w:bCs/>
                <w:szCs w:val="21"/>
              </w:rPr>
              <w:t>存在的问题</w:t>
            </w:r>
            <w:r>
              <w:rPr>
                <w:rFonts w:hint="eastAsia" w:ascii="楷体" w:hAnsi="楷体" w:eastAsia="楷体" w:cs="楷体"/>
                <w:b/>
                <w:bCs/>
                <w:szCs w:val="21"/>
                <w:lang w:eastAsia="zh-CN"/>
              </w:rPr>
              <w:t>：</w:t>
            </w:r>
          </w:p>
          <w:p>
            <w:pPr>
              <w:ind w:firstLine="420" w:firstLineChars="200"/>
              <w:jc w:val="both"/>
              <w:rPr>
                <w:rFonts w:hint="eastAsia" w:ascii="楷体" w:hAnsi="楷体" w:eastAsia="楷体" w:cs="楷体"/>
                <w:szCs w:val="21"/>
              </w:rPr>
            </w:pPr>
            <w:r>
              <w:rPr>
                <w:rFonts w:hint="eastAsia" w:ascii="楷体" w:hAnsi="楷体" w:eastAsia="楷体" w:cs="楷体"/>
                <w:szCs w:val="21"/>
              </w:rPr>
              <w:t>财务人员为非专业人员，业务知识不熟练。</w:t>
            </w:r>
          </w:p>
          <w:p>
            <w:pPr>
              <w:jc w:val="both"/>
              <w:rPr>
                <w:rFonts w:hint="eastAsia" w:ascii="楷体" w:hAnsi="楷体" w:eastAsia="楷体" w:cs="楷体"/>
                <w:b/>
                <w:bCs/>
                <w:szCs w:val="21"/>
                <w:lang w:eastAsia="zh-CN"/>
              </w:rPr>
            </w:pPr>
            <w:r>
              <w:rPr>
                <w:rFonts w:hint="eastAsia" w:ascii="楷体" w:hAnsi="楷体" w:eastAsia="楷体" w:cs="楷体"/>
                <w:b/>
                <w:bCs/>
                <w:szCs w:val="21"/>
              </w:rPr>
              <w:t>改进措施和有关建议</w:t>
            </w:r>
            <w:r>
              <w:rPr>
                <w:rFonts w:hint="eastAsia" w:ascii="楷体" w:hAnsi="楷体" w:eastAsia="楷体" w:cs="楷体"/>
                <w:b/>
                <w:bCs/>
                <w:szCs w:val="21"/>
                <w:lang w:eastAsia="zh-CN"/>
              </w:rPr>
              <w:t>：</w:t>
            </w:r>
          </w:p>
          <w:p>
            <w:pPr>
              <w:ind w:firstLine="420" w:firstLineChars="200"/>
              <w:jc w:val="both"/>
              <w:rPr>
                <w:rFonts w:ascii="楷体" w:hAnsi="楷体" w:eastAsia="楷体" w:cs="楷体"/>
                <w:szCs w:val="21"/>
              </w:rPr>
            </w:pPr>
            <w:r>
              <w:rPr>
                <w:rFonts w:hint="eastAsia" w:ascii="楷体" w:hAnsi="楷体" w:eastAsia="楷体" w:cs="楷体"/>
                <w:szCs w:val="21"/>
              </w:rPr>
              <w:t>加强对财务人员的业务培训。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05"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rFonts w:hint="eastAsia" w:ascii="宋体" w:hAnsi="宋体"/>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黄春花</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15180926381</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ind w:firstLine="420" w:firstLineChars="200"/>
        <w:rPr>
          <w:rFonts w:ascii="黑体" w:hAnsi="宋体" w:eastAsia="黑体" w:cs="宋体"/>
          <w:kern w:val="0"/>
          <w:sz w:val="32"/>
          <w:szCs w:val="32"/>
        </w:rPr>
      </w:pPr>
      <w:r>
        <w:rPr>
          <w:rFonts w:hint="eastAsia" w:eastAsia="黑体"/>
          <w:kern w:val="0"/>
        </w:rPr>
        <w:t>注：自评结论填“优、良、中、差”。</w:t>
      </w:r>
    </w:p>
    <w:p>
      <w:pPr>
        <w:rPr>
          <w:rFonts w:hint="eastAsia" w:ascii="方正小标宋简体" w:eastAsia="方正小标宋简体"/>
          <w:bCs/>
          <w:kern w:val="0"/>
          <w:sz w:val="36"/>
          <w:szCs w:val="36"/>
        </w:rPr>
      </w:pPr>
      <w:r>
        <w:rPr>
          <w:rFonts w:hint="eastAsia" w:ascii="方正小标宋简体" w:eastAsia="方正小标宋简体"/>
          <w:bCs/>
          <w:kern w:val="0"/>
          <w:sz w:val="36"/>
          <w:szCs w:val="36"/>
        </w:rPr>
        <w:br w:type="page"/>
      </w:r>
    </w:p>
    <w:p>
      <w:pPr>
        <w:jc w:val="center"/>
        <w:rPr>
          <w:rFonts w:hint="eastAsia"/>
        </w:rPr>
      </w:pPr>
      <w:r>
        <w:rPr>
          <w:rFonts w:hint="eastAsia" w:ascii="方正小标宋简体" w:eastAsia="方正小标宋简体"/>
          <w:bCs/>
          <w:kern w:val="0"/>
          <w:sz w:val="36"/>
          <w:szCs w:val="36"/>
        </w:rPr>
        <w:t>隆回县侨联</w:t>
      </w:r>
      <w:r>
        <w:rPr>
          <w:rFonts w:hint="eastAsia" w:ascii="方正小标宋简体" w:eastAsia="方正小标宋简体"/>
          <w:bCs/>
          <w:kern w:val="0"/>
          <w:sz w:val="36"/>
          <w:szCs w:val="36"/>
          <w:lang w:val="en-US" w:eastAsia="zh-CN"/>
        </w:rPr>
        <w:t>2021</w:t>
      </w:r>
      <w:r>
        <w:rPr>
          <w:rFonts w:hint="eastAsia" w:ascii="方正小标宋简体" w:eastAsia="方正小标宋简体"/>
          <w:bCs/>
          <w:kern w:val="0"/>
          <w:sz w:val="36"/>
          <w:szCs w:val="36"/>
        </w:rPr>
        <w:t>年部门整体支出绩效自评报告</w:t>
      </w:r>
    </w:p>
    <w:p>
      <w:pPr>
        <w:pStyle w:val="7"/>
        <w:widowControl/>
        <w:spacing w:before="0" w:beforeAutospacing="0" w:after="0" w:afterAutospacing="0" w:line="360" w:lineRule="auto"/>
        <w:ind w:firstLine="608" w:firstLineChars="190"/>
        <w:jc w:val="both"/>
        <w:rPr>
          <w:rFonts w:hint="eastAsia" w:ascii="仿宋_GB2312" w:hAnsi="楷体" w:eastAsia="仿宋_GB2312" w:cs="楷体"/>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eastAsia" w:ascii="仿宋_GB2312" w:hAnsi="Times New Roman" w:eastAsia="仿宋_GB2312" w:cs="Times New Roman"/>
          <w:kern w:val="2"/>
          <w:sz w:val="32"/>
          <w:szCs w:val="32"/>
          <w:lang w:val="en-US" w:eastAsia="zh-CN" w:bidi="ar-SA"/>
        </w:rPr>
        <w:t>为确实做好2021年度部门整体支出绩效自评工作，提高财政资金使用效益，根据《隆回县人民政府办公室关于印发（隆回县预算绩效管理暂行办法）的通知》（隆政办发[2021]4号）及隆回县财政局《关于开展2021年部门整体支出和县级财政资金支出绩效评价工作的通知》（隆财绩[2022]2号）文件精神，结合实际，现将我单位整体支出绩效自评结果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一、部门概况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（一）部门基本情况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eastAsia" w:ascii="仿宋_GB2312" w:hAnsi="楷体" w:eastAsia="仿宋_GB2312" w:cs="楷体"/>
          <w:sz w:val="32"/>
          <w:szCs w:val="32"/>
          <w:shd w:val="clear" w:color="auto" w:fill="FFFFFF"/>
        </w:rPr>
        <w:t>隆回县归侨侨眷联合会，是中共隆回县委领导下的由归侨、侨眷组成的人民团体，是党和政府联系归侨、侨眷与海外侨胞的桥梁和纽带。成立于</w:t>
      </w:r>
      <w:r>
        <w:rPr>
          <w:rFonts w:hint="default" w:ascii="仿宋_GB2312" w:hAnsi="楷体" w:eastAsia="仿宋_GB2312" w:cs="楷体"/>
          <w:sz w:val="32"/>
          <w:szCs w:val="32"/>
          <w:shd w:val="clear" w:color="auto" w:fill="FFFFFF"/>
        </w:rPr>
        <w:t>1985年，是邵阳市最早成立的县级侨联之一，属正科级参公群团组织。</w:t>
      </w:r>
      <w:r>
        <w:rPr>
          <w:rFonts w:hint="eastAsia" w:ascii="仿宋_GB2312" w:hAnsi="楷体" w:eastAsia="仿宋_GB2312" w:cs="楷体"/>
          <w:sz w:val="32"/>
          <w:szCs w:val="32"/>
          <w:shd w:val="clear" w:color="auto" w:fill="FFFFFF"/>
        </w:rPr>
        <w:t>单位编制数为</w:t>
      </w:r>
      <w:r>
        <w:rPr>
          <w:rFonts w:hint="eastAsia" w:ascii="仿宋_GB2312" w:hAnsi="楷体" w:eastAsia="仿宋_GB2312" w:cs="楷体"/>
          <w:sz w:val="32"/>
          <w:szCs w:val="32"/>
          <w:shd w:val="clear" w:color="auto" w:fill="FFFFFF"/>
          <w:lang w:val="en-US" w:eastAsia="zh-CN"/>
        </w:rPr>
        <w:t>5</w:t>
      </w:r>
      <w:r>
        <w:rPr>
          <w:rFonts w:hint="eastAsia" w:ascii="仿宋_GB2312" w:hAnsi="楷体" w:eastAsia="仿宋_GB2312" w:cs="楷体"/>
          <w:sz w:val="32"/>
          <w:szCs w:val="32"/>
          <w:shd w:val="clear" w:color="auto" w:fill="FFFFFF"/>
        </w:rPr>
        <w:t>人，实际人数4人</w:t>
      </w:r>
      <w:r>
        <w:rPr>
          <w:rFonts w:hint="eastAsia" w:ascii="仿宋_GB2312" w:hAnsi="楷体" w:eastAsia="仿宋_GB2312" w:cs="楷体"/>
          <w:sz w:val="32"/>
          <w:szCs w:val="32"/>
          <w:shd w:val="clear" w:color="auto" w:fill="FFFFFF"/>
          <w:lang w:eastAsia="zh-CN"/>
        </w:rPr>
        <w:t>，</w:t>
      </w:r>
      <w:r>
        <w:rPr>
          <w:rFonts w:hint="eastAsia" w:ascii="仿宋_GB2312" w:hAnsi="楷体" w:eastAsia="仿宋_GB2312" w:cs="楷体"/>
          <w:sz w:val="32"/>
          <w:szCs w:val="32"/>
          <w:shd w:val="clear" w:color="auto" w:fill="FFFFFF"/>
        </w:rPr>
        <w:t>退休人员</w:t>
      </w:r>
      <w:r>
        <w:rPr>
          <w:rFonts w:hint="eastAsia" w:ascii="仿宋_GB2312" w:hAnsi="楷体" w:eastAsia="仿宋_GB2312" w:cs="楷体"/>
          <w:sz w:val="32"/>
          <w:szCs w:val="32"/>
          <w:shd w:val="clear" w:color="auto" w:fill="FFFFFF"/>
          <w:lang w:val="en-US" w:eastAsia="zh-CN"/>
        </w:rPr>
        <w:t>1</w:t>
      </w:r>
      <w:r>
        <w:rPr>
          <w:rFonts w:hint="eastAsia" w:ascii="仿宋_GB2312" w:hAnsi="楷体" w:eastAsia="仿宋_GB2312" w:cs="楷体"/>
          <w:sz w:val="32"/>
          <w:szCs w:val="32"/>
          <w:shd w:val="clear" w:color="auto" w:fill="FFFFFF"/>
        </w:rPr>
        <w:t>名</w:t>
      </w:r>
      <w:r>
        <w:rPr>
          <w:rFonts w:hint="eastAsia" w:ascii="仿宋_GB2312" w:hAnsi="楷体" w:eastAsia="仿宋_GB2312" w:cs="楷体"/>
          <w:sz w:val="32"/>
          <w:szCs w:val="32"/>
          <w:shd w:val="clear" w:color="auto" w:fill="FFFFFF"/>
          <w:lang w:eastAsia="zh-CN"/>
        </w:rPr>
        <w:t>。</w:t>
      </w:r>
      <w:r>
        <w:rPr>
          <w:rFonts w:hint="eastAsia" w:ascii="仿宋_GB2312" w:hAnsi="楷体" w:eastAsia="仿宋_GB2312" w:cs="楷体"/>
          <w:sz w:val="32"/>
          <w:szCs w:val="32"/>
          <w:shd w:val="clear" w:color="auto" w:fill="FFFFFF"/>
        </w:rPr>
        <w:t>单位现租赁外单位场地办公。</w:t>
      </w:r>
      <w:r>
        <w:rPr>
          <w:rFonts w:hint="default" w:ascii="仿宋_GB2312" w:hAnsi="楷体" w:eastAsia="仿宋_GB2312" w:cs="楷体"/>
          <w:sz w:val="32"/>
          <w:szCs w:val="32"/>
          <w:shd w:val="clear" w:color="auto" w:fill="FFFFFF"/>
        </w:rPr>
        <w:t>群众工作、参政议政、维护侨益、海外联谊是侨联的基本职能。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eastAsia" w:ascii="仿宋_GB2312" w:hAnsi="楷体" w:eastAsia="仿宋_GB2312" w:cs="楷体"/>
          <w:sz w:val="32"/>
          <w:szCs w:val="32"/>
          <w:shd w:val="clear" w:color="auto" w:fill="FFFFFF"/>
          <w:lang w:val="en-US" w:eastAsia="zh-CN"/>
        </w:rPr>
        <w:t>单位主要职责是：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(一)宣传、贯彻党和政府的方针、政策，团结和动员归侨侨眷积极参加我县改革开放和社会主义现代化建设。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(二)充分发挥侨联组织服务经济发展的重要作用，积极配合县委、县政府吸引侨资侨智，引导广大归侨、侨眷和海外侨胞积极参与和支持隆回经济社会发展。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(三)充分发挥侨联组织依法维护归侨、侨眷的合法权益的重要作用，确保各级侨联依法开展活动，为广大归侨、侨眷和侨胞提供法律咨询服务。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四)充分发挥侨联组织拓展海外联谊的重要作用，履行海外华侨华人及其社团联络联谊协调服务工作职责，进一步密切与海外侨胞及其社团的联系，广泛了解归侨、侨眷和海外侨胞的意见和要求，促进和支持海外侨团之间加强沟通合作，共建和谐社团。按中央有关部门和县委的要求，加强侨务对台工作，为祖国和平统一大业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(五)充分发挥侨联组织参政议政的重要作用，参与协商和推荐人民代表大会归侨、侨眷代表人选，提名政治协商会议的归侨、侨眷委员人选，引导归侨、侨眷有序开展政治参与，依法参与管理国家和社会事务。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(六)充分发挥侨联组织弘扬中华文化的重要作用，引导海外侨胞积极进行文化交流，展示中华文化独特魅力。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(七)充分发挥侨联组织参与社会建设的重要作用，协助和联络海外侨胞来隆参与公益事业，组织归侨、侨眷和海外侨胞积极支持家乡和社会事业发展。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(八)负责指导全县侨联组织的业务工作。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(九)制订全县侨联工作计划和发展规划，并组织实施;负责全县归侨、侨眷代表大会及其委员会的决议、决定的实施。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_GB2312" w:hAnsi="楷体" w:eastAsia="仿宋_GB2312" w:cs="楷体"/>
          <w:sz w:val="32"/>
          <w:szCs w:val="32"/>
          <w:shd w:val="clear" w:color="auto" w:fill="FFFFFF"/>
        </w:rPr>
      </w:pPr>
      <w:r>
        <w:rPr>
          <w:rFonts w:hint="default" w:ascii="仿宋_GB2312" w:hAnsi="楷体" w:eastAsia="仿宋_GB2312" w:cs="楷体"/>
          <w:sz w:val="32"/>
          <w:szCs w:val="32"/>
          <w:shd w:val="clear" w:color="auto" w:fill="FFFFFF"/>
          <w:lang w:val="en-US" w:eastAsia="zh-CN"/>
        </w:rPr>
        <w:t>(十)完成县委、县政府交办的其他任务。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（二）20</w:t>
      </w:r>
      <w:r>
        <w:rPr>
          <w:rFonts w:hint="eastAsia" w:ascii="楷体" w:hAnsi="楷体" w:eastAsia="楷体"/>
          <w:b/>
          <w:sz w:val="32"/>
          <w:szCs w:val="32"/>
          <w:lang w:val="en-US" w:eastAsia="zh-CN"/>
        </w:rPr>
        <w:t>21</w:t>
      </w:r>
      <w:r>
        <w:rPr>
          <w:rFonts w:hint="eastAsia" w:ascii="楷体" w:hAnsi="楷体" w:eastAsia="楷体"/>
          <w:b/>
          <w:sz w:val="32"/>
          <w:szCs w:val="32"/>
        </w:rPr>
        <w:t>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帮解侨困，</w:t>
      </w:r>
      <w:r>
        <w:rPr>
          <w:rFonts w:hint="eastAsia" w:ascii="方正楷体_GBK" w:hAnsi="方正楷体_GBK" w:eastAsia="方正楷体_GBK" w:cs="方正楷体_GBK"/>
          <w:b/>
          <w:bCs/>
          <w:sz w:val="32"/>
          <w:szCs w:val="32"/>
          <w:lang w:eastAsia="zh-CN"/>
        </w:rPr>
        <w:t>用情用心</w:t>
      </w:r>
      <w:r>
        <w:rPr>
          <w:rFonts w:hint="eastAsia" w:ascii="方正楷体_GBK" w:hAnsi="方正楷体_GBK" w:eastAsia="方正楷体_GBK" w:cs="方正楷体_GBK"/>
          <w:b/>
          <w:bCs/>
          <w:sz w:val="32"/>
          <w:szCs w:val="32"/>
        </w:rPr>
        <w:t>开展</w:t>
      </w:r>
      <w:r>
        <w:rPr>
          <w:rFonts w:hint="eastAsia" w:ascii="方正楷体_GBK" w:hAnsi="方正楷体_GBK" w:eastAsia="方正楷体_GBK" w:cs="方正楷体_GBK"/>
          <w:b/>
          <w:bCs/>
          <w:sz w:val="32"/>
          <w:szCs w:val="32"/>
          <w:lang w:eastAsia="zh-CN"/>
        </w:rPr>
        <w:t>走访</w:t>
      </w:r>
      <w:r>
        <w:rPr>
          <w:rFonts w:hint="eastAsia" w:ascii="方正楷体_GBK" w:hAnsi="方正楷体_GBK" w:eastAsia="方正楷体_GBK" w:cs="方正楷体_GBK"/>
          <w:b/>
          <w:bCs/>
          <w:sz w:val="32"/>
          <w:szCs w:val="32"/>
        </w:rPr>
        <w:t>慰问活动。</w:t>
      </w:r>
      <w:r>
        <w:rPr>
          <w:rFonts w:hint="eastAsia" w:ascii="仿宋_GB2312" w:hAnsi="Times New Roman" w:eastAsia="仿宋_GB2312" w:cs="Times New Roman"/>
          <w:kern w:val="2"/>
          <w:sz w:val="32"/>
          <w:szCs w:val="32"/>
          <w:lang w:val="en-US" w:eastAsia="zh-CN" w:bidi="ar-SA"/>
        </w:rPr>
        <w:t>春节前后，侨联全体干部深入困难侨眷家中，进行走访慰问，累计发放困侨生活补助、春节慰问资金2万余元，把党和政府的关心和温暖送到了归侨侨眷的心中，倾听侨界对象的心声，了解困难侨眷的困苦，拉近了侨联组织与广大归侨侨眷的距离，充分发挥了基层侨联组织的作用，有力促进了社会和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二、主动对接，积极开展文化交流和推介活动。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b/>
          <w:bCs/>
          <w:sz w:val="32"/>
          <w:szCs w:val="32"/>
          <w:lang w:val="en-US" w:eastAsia="zh-CN"/>
        </w:rPr>
        <w:t>1、加强“湖南省华侨文化交流基地”建设。</w:t>
      </w:r>
      <w:r>
        <w:rPr>
          <w:rFonts w:hint="eastAsia" w:ascii="仿宋_GB2312" w:hAnsi="Times New Roman" w:eastAsia="仿宋_GB2312" w:cs="Times New Roman"/>
          <w:kern w:val="2"/>
          <w:sz w:val="32"/>
          <w:szCs w:val="32"/>
          <w:lang w:val="en-US" w:eastAsia="zh-CN" w:bidi="ar-SA"/>
        </w:rPr>
        <w:t>为进一步将隆回的侨资源宣传推广出去，我联积极争取，主动对接，年初向省侨联申报魏源故居和向家村牛天岭旅游景区两家为湖南省华侨文化交流基地，目前，向家村已被省侨联正式确定为2021年湖南省华侨文化交流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Times New Roman" w:eastAsia="仿宋_GB2312" w:cs="Times New Roman"/>
          <w:kern w:val="2"/>
          <w:sz w:val="32"/>
          <w:szCs w:val="32"/>
          <w:lang w:val="en-US" w:eastAsia="zh-CN" w:bidi="ar-SA"/>
        </w:rPr>
      </w:pPr>
      <w:r>
        <w:rPr>
          <w:rFonts w:hint="eastAsia" w:ascii="仿宋" w:hAnsi="仿宋" w:eastAsia="仿宋" w:cs="仿宋"/>
          <w:b/>
          <w:bCs/>
          <w:color w:val="auto"/>
          <w:kern w:val="2"/>
          <w:sz w:val="32"/>
          <w:szCs w:val="32"/>
          <w:u w:val="none" w:color="auto"/>
          <w:lang w:val="en-US" w:eastAsia="zh-CN" w:bidi="ar-SA"/>
        </w:rPr>
        <w:t>2、用心服务，全力配合做好相关会议筹备工作。</w:t>
      </w:r>
      <w:r>
        <w:rPr>
          <w:rFonts w:hint="eastAsia" w:ascii="仿宋_GB2312" w:hAnsi="Times New Roman" w:eastAsia="仿宋_GB2312" w:cs="Times New Roman"/>
          <w:kern w:val="2"/>
          <w:sz w:val="32"/>
          <w:szCs w:val="32"/>
          <w:lang w:val="en-US" w:eastAsia="zh-CN" w:bidi="ar-SA"/>
        </w:rPr>
        <w:t>3月11－12日，湖南省侨商联合会三届三次会长会议和省华侨公益基金会二届四次理事会议在隆回召开，我联积极对接，精心筹划，用心服务，配合做好会议的相关服务工作，圆满地完成了工作任务。同时，湖南华兴实业有限公司董事长向长江任省华侨公益基金会理事长，捐资2000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Times New Roman" w:eastAsia="仿宋_GB2312" w:cs="Times New Roman"/>
          <w:kern w:val="2"/>
          <w:sz w:val="32"/>
          <w:szCs w:val="32"/>
          <w:lang w:val="en-US" w:eastAsia="zh-CN" w:bidi="ar-SA"/>
        </w:rPr>
      </w:pPr>
      <w:r>
        <w:rPr>
          <w:rFonts w:hint="eastAsia" w:ascii="仿宋" w:hAnsi="仿宋" w:eastAsia="仿宋" w:cs="仿宋"/>
          <w:b/>
          <w:bCs/>
          <w:color w:val="auto"/>
          <w:kern w:val="2"/>
          <w:sz w:val="32"/>
          <w:szCs w:val="32"/>
          <w:u w:val="none" w:color="auto"/>
          <w:lang w:val="en-US" w:eastAsia="zh-CN" w:bidi="ar-SA"/>
        </w:rPr>
        <w:t>3、“追梦中华 幸福湖南”2021年海外华文媒体采访行活动。</w:t>
      </w:r>
      <w:r>
        <w:rPr>
          <w:rFonts w:hint="eastAsia" w:ascii="仿宋_GB2312" w:hAnsi="Times New Roman" w:eastAsia="仿宋_GB2312" w:cs="Times New Roman"/>
          <w:kern w:val="2"/>
          <w:sz w:val="32"/>
          <w:szCs w:val="32"/>
          <w:lang w:val="en-US" w:eastAsia="zh-CN" w:bidi="ar-SA"/>
        </w:rPr>
        <w:t>为进一步推介隆回，讲好隆回故事，今年10月份，我联积极对接，全力做好“追梦中华 幸福湖南”2021年海外华文媒体采访行（向家村）活动，让更多的人知道隆回，了解隆回，更好地助力隆回经济、文化建设的发展。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kern w:val="2"/>
          <w:sz w:val="32"/>
          <w:szCs w:val="32"/>
          <w:lang w:val="en-US" w:eastAsia="zh-CN" w:bidi="ar-SA"/>
        </w:rPr>
      </w:pPr>
      <w:r>
        <w:rPr>
          <w:rFonts w:hint="eastAsia" w:ascii="方正楷体_GBK" w:hAnsi="方正楷体_GBK" w:eastAsia="方正楷体_GBK" w:cs="方正楷体_GBK"/>
          <w:b/>
          <w:bCs/>
          <w:sz w:val="32"/>
          <w:szCs w:val="32"/>
          <w:lang w:val="en-US" w:eastAsia="zh-CN"/>
        </w:rPr>
        <w:t>三、挖掘资源，积极做好侨界重点对象推荐工作。</w:t>
      </w:r>
      <w:r>
        <w:rPr>
          <w:rFonts w:hint="eastAsia" w:ascii="仿宋_GB2312" w:hAnsi="Times New Roman" w:eastAsia="仿宋_GB2312" w:cs="Times New Roman"/>
          <w:kern w:val="2"/>
          <w:sz w:val="32"/>
          <w:szCs w:val="32"/>
          <w:lang w:val="en-US" w:eastAsia="zh-CN" w:bidi="ar-SA"/>
        </w:rPr>
        <w:t>积极做好侨界重点对象，尤其是年轻侨界精英的推荐工作，我联广泛物色，挖掘资源，积极争取，成效明显。在6月28日邵阳市侨界青年联合会成立大会上，我县侨眷向晖被聘任为市侨青委名誉会长，归侨钱葭当选为市侨青委、市侨青联合会委员。此前，向晖被评选为湖南省侨界五四优秀青年，钱葭荣获邵阳市“五四青年”奖章并做典型发言。同时，积极推荐成功侨界县政协委员、人大代表10名，其中县政协常委一名，人大常委</w:t>
      </w:r>
      <w:r>
        <w:rPr>
          <w:rFonts w:hint="eastAsia" w:ascii="仿宋_GB2312" w:eastAsia="仿宋_GB2312" w:cs="Times New Roman"/>
          <w:kern w:val="2"/>
          <w:sz w:val="32"/>
          <w:szCs w:val="32"/>
          <w:lang w:val="en-US" w:eastAsia="zh-CN" w:bidi="ar-SA"/>
        </w:rPr>
        <w:t>会委员</w:t>
      </w:r>
      <w:r>
        <w:rPr>
          <w:rFonts w:hint="eastAsia" w:ascii="仿宋_GB2312" w:hAnsi="Times New Roman" w:eastAsia="仿宋_GB2312" w:cs="Times New Roman"/>
          <w:kern w:val="2"/>
          <w:sz w:val="32"/>
          <w:szCs w:val="32"/>
          <w:lang w:val="en-US" w:eastAsia="zh-CN" w:bidi="ar-SA"/>
        </w:rPr>
        <w:t>一名，市人大代表一名。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kern w:val="2"/>
          <w:sz w:val="32"/>
          <w:szCs w:val="32"/>
          <w:lang w:val="en-US" w:eastAsia="zh-CN" w:bidi="ar-SA"/>
        </w:rPr>
      </w:pPr>
      <w:r>
        <w:rPr>
          <w:rFonts w:hint="eastAsia" w:ascii="方正楷体_GBK" w:hAnsi="方正楷体_GBK" w:eastAsia="方正楷体_GBK" w:cs="方正楷体_GBK"/>
          <w:b/>
          <w:bCs/>
          <w:sz w:val="32"/>
          <w:szCs w:val="32"/>
          <w:lang w:val="en-US" w:eastAsia="zh-CN"/>
        </w:rPr>
        <w:t>四、夯实基础，督促乡镇侨联组长配置到位。</w:t>
      </w:r>
      <w:r>
        <w:rPr>
          <w:rFonts w:hint="eastAsia" w:ascii="仿宋_GB2312" w:hAnsi="Times New Roman" w:eastAsia="仿宋_GB2312" w:cs="Times New Roman"/>
          <w:kern w:val="2"/>
          <w:sz w:val="32"/>
          <w:szCs w:val="32"/>
          <w:lang w:val="en-US" w:eastAsia="zh-CN" w:bidi="ar-SA"/>
        </w:rPr>
        <w:t>为进一步夯实侨联基层组织基础，确保工作运转正常，年初，将此项工作纳入各乡镇（街道）统战工作绩效考核范围，督促各乡镇物色并配置好侨联小组长。目前，有侨资源的23个乡镇（街道）已全部配备到位。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方正楷体_GBK" w:hAnsi="方正楷体_GBK" w:eastAsia="方正楷体_GBK" w:cs="方正楷体_GBK"/>
          <w:b/>
          <w:bCs/>
          <w:sz w:val="32"/>
          <w:szCs w:val="32"/>
          <w:lang w:val="en-US" w:eastAsia="zh-CN"/>
        </w:rPr>
        <w:t>五、加强培训，提升基层侨联干部队伍素质水平。一是</w:t>
      </w:r>
      <w:r>
        <w:rPr>
          <w:rFonts w:hint="eastAsia" w:ascii="仿宋_GB2312" w:hAnsi="Times New Roman" w:eastAsia="仿宋_GB2312" w:cs="Times New Roman"/>
          <w:kern w:val="2"/>
          <w:sz w:val="32"/>
          <w:szCs w:val="32"/>
          <w:lang w:val="en-US" w:eastAsia="zh-CN" w:bidi="ar-SA"/>
        </w:rPr>
        <w:t>建党100周年之际组织侨界重点人士集中收看现场直播和撰写高质量感言，提升侨界人士的政治认同感和自豪感。</w:t>
      </w:r>
      <w:r>
        <w:rPr>
          <w:rFonts w:hint="eastAsia" w:ascii="方正楷体_GBK" w:hAnsi="方正楷体_GBK" w:eastAsia="方正楷体_GBK" w:cs="方正楷体_GBK"/>
          <w:b/>
          <w:bCs/>
          <w:sz w:val="32"/>
          <w:szCs w:val="32"/>
          <w:lang w:val="en-US" w:eastAsia="zh-CN"/>
        </w:rPr>
        <w:t>二是</w:t>
      </w:r>
      <w:r>
        <w:rPr>
          <w:rFonts w:hint="eastAsia" w:ascii="仿宋_GB2312" w:hAnsi="Times New Roman" w:eastAsia="仿宋_GB2312" w:cs="Times New Roman"/>
          <w:kern w:val="2"/>
          <w:sz w:val="32"/>
          <w:szCs w:val="32"/>
          <w:lang w:val="en-US" w:eastAsia="zh-CN" w:bidi="ar-SA"/>
        </w:rPr>
        <w:t>为充分发挥基层侨联组织作用，夯实乡镇侨联组织基础，提升侨联队伍业务能力，更好地为侨服务，于11月9－10日特举办2021年基层侨联工作者和侨界代表人士培训班。培训对象包括各乡镇（街道）侨联小组组长、县侨联第五届委员会全体委员、重点侨界代表人士、重点侨企负责人等60余人。培训内容包括党史教育、统战工作政策、侨史、涉侨政策和知识以及基层侨联工作讲座等，既提升了基层侨联队伍业务水平，又加强了联络联谊，目前反响很好，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kern w:val="2"/>
          <w:sz w:val="32"/>
          <w:szCs w:val="32"/>
          <w:lang w:val="en-US" w:eastAsia="zh-CN" w:bidi="ar-SA"/>
        </w:rPr>
      </w:pPr>
      <w:r>
        <w:rPr>
          <w:rFonts w:hint="eastAsia" w:ascii="方正楷体_GBK" w:hAnsi="方正楷体_GBK" w:eastAsia="方正楷体_GBK" w:cs="方正楷体_GBK"/>
          <w:b/>
          <w:bCs/>
          <w:color w:val="auto"/>
          <w:kern w:val="2"/>
          <w:sz w:val="32"/>
          <w:szCs w:val="32"/>
          <w:u w:val="none" w:color="auto"/>
          <w:lang w:val="en-US" w:eastAsia="zh-CN" w:bidi="ar-SA"/>
        </w:rPr>
        <w:t>六、服务大局，积极参与乡村振兴。</w:t>
      </w:r>
      <w:r>
        <w:rPr>
          <w:rFonts w:hint="eastAsia" w:ascii="仿宋_GB2312" w:hAnsi="Times New Roman" w:eastAsia="仿宋_GB2312" w:cs="Times New Roman"/>
          <w:kern w:val="2"/>
          <w:sz w:val="32"/>
          <w:szCs w:val="32"/>
          <w:lang w:val="en-US" w:eastAsia="zh-CN" w:bidi="ar-SA"/>
        </w:rPr>
        <w:t>积极参与县委政府中心工作任务，在我联工作人员极其紧张（在职在岗只有三人）的情况下，克服自身困难，坚持以大局为重，派出一名干部到社区参与乡村振兴工作。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（三）部门整体支出情况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1、收入情况：20</w:t>
      </w:r>
      <w:r>
        <w:rPr>
          <w:rFonts w:hint="eastAsia" w:ascii="仿宋_GB2312" w:eastAsia="仿宋_GB2312"/>
          <w:sz w:val="32"/>
          <w:szCs w:val="32"/>
          <w:lang w:val="en-US" w:eastAsia="zh-CN"/>
        </w:rPr>
        <w:t>21</w:t>
      </w:r>
      <w:r>
        <w:rPr>
          <w:rFonts w:hint="eastAsia" w:ascii="仿宋_GB2312" w:eastAsia="仿宋_GB2312"/>
          <w:sz w:val="32"/>
          <w:szCs w:val="32"/>
        </w:rPr>
        <w:t>年全年收入</w:t>
      </w:r>
      <w:r>
        <w:rPr>
          <w:rFonts w:hint="eastAsia" w:ascii="仿宋_GB2312" w:eastAsia="仿宋_GB2312"/>
          <w:sz w:val="32"/>
          <w:szCs w:val="32"/>
          <w:lang w:val="en-US" w:eastAsia="zh-CN"/>
        </w:rPr>
        <w:t>81.00</w:t>
      </w:r>
      <w:r>
        <w:rPr>
          <w:rFonts w:hint="eastAsia" w:ascii="仿宋_GB2312" w:eastAsia="仿宋_GB2312"/>
          <w:sz w:val="32"/>
          <w:szCs w:val="32"/>
        </w:rPr>
        <w:t>万元，全部为公共预算财政拨款。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2、支出情况：20</w:t>
      </w:r>
      <w:r>
        <w:rPr>
          <w:rFonts w:hint="eastAsia" w:ascii="仿宋_GB2312" w:eastAsia="仿宋_GB2312"/>
          <w:sz w:val="32"/>
          <w:szCs w:val="32"/>
          <w:lang w:val="en-US" w:eastAsia="zh-CN"/>
        </w:rPr>
        <w:t>20</w:t>
      </w:r>
      <w:r>
        <w:rPr>
          <w:rFonts w:hint="eastAsia" w:ascii="仿宋_GB2312" w:eastAsia="仿宋_GB2312"/>
          <w:sz w:val="32"/>
          <w:szCs w:val="32"/>
        </w:rPr>
        <w:t>年全年支出</w:t>
      </w:r>
      <w:r>
        <w:rPr>
          <w:rFonts w:hint="eastAsia" w:ascii="仿宋_GB2312" w:eastAsia="仿宋_GB2312"/>
          <w:sz w:val="32"/>
          <w:szCs w:val="32"/>
          <w:lang w:val="en-US" w:eastAsia="zh-CN"/>
        </w:rPr>
        <w:t>70.69</w:t>
      </w:r>
      <w:r>
        <w:rPr>
          <w:rFonts w:hint="eastAsia" w:ascii="仿宋_GB2312" w:eastAsia="仿宋_GB2312"/>
          <w:sz w:val="32"/>
          <w:szCs w:val="32"/>
        </w:rPr>
        <w:t>万元，其中：基本支出</w:t>
      </w:r>
      <w:r>
        <w:rPr>
          <w:rFonts w:hint="eastAsia" w:ascii="仿宋_GB2312" w:eastAsia="仿宋_GB2312"/>
          <w:sz w:val="32"/>
          <w:szCs w:val="32"/>
          <w:lang w:val="en-US" w:eastAsia="zh-CN"/>
        </w:rPr>
        <w:t>56.69</w:t>
      </w:r>
      <w:r>
        <w:rPr>
          <w:rFonts w:hint="eastAsia" w:ascii="仿宋_GB2312" w:eastAsia="仿宋_GB2312"/>
          <w:sz w:val="32"/>
          <w:szCs w:val="32"/>
        </w:rPr>
        <w:t>万元，项目支出</w:t>
      </w:r>
      <w:r>
        <w:rPr>
          <w:rFonts w:hint="eastAsia" w:ascii="仿宋_GB2312" w:eastAsia="仿宋_GB2312"/>
          <w:sz w:val="32"/>
          <w:szCs w:val="32"/>
          <w:lang w:val="en-US" w:eastAsia="zh-CN"/>
        </w:rPr>
        <w:t>14</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二、部门整体支出管理及使用情况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（一）基本支出情况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年基本支出</w:t>
      </w:r>
      <w:r>
        <w:rPr>
          <w:rFonts w:hint="eastAsia" w:ascii="仿宋_GB2312" w:eastAsia="仿宋_GB2312"/>
          <w:sz w:val="32"/>
          <w:szCs w:val="32"/>
          <w:lang w:val="en-US" w:eastAsia="zh-CN"/>
        </w:rPr>
        <w:t>56.69</w:t>
      </w:r>
      <w:r>
        <w:rPr>
          <w:rFonts w:hint="eastAsia" w:ascii="仿宋_GB2312" w:eastAsia="仿宋_GB2312"/>
          <w:sz w:val="32"/>
          <w:szCs w:val="32"/>
        </w:rPr>
        <w:t>万元。基本支出主要用于保障单位机构正常运转、完成日常工作任务而发生的各项支出，包括用于基本工资、津贴补贴等人员经费以及办公费、印刷费、水电费及办公设备购置等日常公用经费。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（二）项目支出</w:t>
      </w:r>
      <w:r>
        <w:rPr>
          <w:rFonts w:hint="eastAsia" w:ascii="仿宋_GB2312" w:eastAsia="仿宋_GB2312"/>
          <w:sz w:val="32"/>
          <w:szCs w:val="32"/>
          <w:lang w:val="en-US" w:eastAsia="zh-CN"/>
        </w:rPr>
        <w:t>14</w:t>
      </w:r>
      <w:r>
        <w:rPr>
          <w:rFonts w:hint="eastAsia" w:ascii="仿宋_GB2312" w:eastAsia="仿宋_GB2312"/>
          <w:sz w:val="32"/>
          <w:szCs w:val="32"/>
        </w:rPr>
        <w:t>万元，包括用于为完成各项涉侨工作而发生的支出，包括有关涉侨工作专项业务费等。主要用于</w:t>
      </w:r>
      <w:r>
        <w:rPr>
          <w:rFonts w:hint="eastAsia" w:ascii="仿宋_GB2312" w:eastAsia="仿宋_GB2312"/>
          <w:sz w:val="32"/>
          <w:szCs w:val="32"/>
          <w:lang w:eastAsia="zh-CN"/>
        </w:rPr>
        <w:t>侨联换届、</w:t>
      </w:r>
      <w:r>
        <w:rPr>
          <w:rFonts w:hint="eastAsia" w:ascii="仿宋_GB2312" w:eastAsia="仿宋_GB2312"/>
          <w:sz w:val="32"/>
          <w:szCs w:val="32"/>
        </w:rPr>
        <w:t>隆回籍重点海外华侨、华人的接待，开展对外交流交往、招商引资、维权服务、宣传教育和突发事件的处理、对生活非常贫困的归侨侨眷慰问以及联络联谊等方面。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（三）“三公”经费支出情况：20</w:t>
      </w:r>
      <w:r>
        <w:rPr>
          <w:rFonts w:hint="eastAsia" w:ascii="仿宋_GB2312" w:eastAsia="仿宋_GB2312"/>
          <w:sz w:val="32"/>
          <w:szCs w:val="32"/>
          <w:lang w:val="en-US" w:eastAsia="zh-CN"/>
        </w:rPr>
        <w:t>21</w:t>
      </w:r>
      <w:r>
        <w:rPr>
          <w:rFonts w:hint="eastAsia" w:ascii="仿宋_GB2312" w:eastAsia="仿宋_GB2312"/>
          <w:sz w:val="32"/>
          <w:szCs w:val="32"/>
        </w:rPr>
        <w:t>年“三公经费”实际支出数为 0.</w:t>
      </w:r>
      <w:r>
        <w:rPr>
          <w:rFonts w:hint="eastAsia" w:ascii="仿宋_GB2312" w:eastAsia="仿宋_GB2312"/>
          <w:sz w:val="32"/>
          <w:szCs w:val="32"/>
          <w:lang w:val="en-US" w:eastAsia="zh-CN"/>
        </w:rPr>
        <w:t>23</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1、全年没有因公出国（境）费用；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2、公务接待费0.</w:t>
      </w:r>
      <w:r>
        <w:rPr>
          <w:rFonts w:hint="eastAsia" w:ascii="仿宋_GB2312" w:eastAsia="仿宋_GB2312"/>
          <w:sz w:val="32"/>
          <w:szCs w:val="32"/>
          <w:lang w:val="en-US" w:eastAsia="zh-CN"/>
        </w:rPr>
        <w:t>23</w:t>
      </w:r>
      <w:r>
        <w:rPr>
          <w:rFonts w:hint="eastAsia" w:ascii="仿宋_GB2312" w:eastAsia="仿宋_GB2312"/>
          <w:sz w:val="32"/>
          <w:szCs w:val="32"/>
        </w:rPr>
        <w:t>万元，比上年度</w:t>
      </w:r>
      <w:r>
        <w:rPr>
          <w:rFonts w:hint="eastAsia" w:ascii="仿宋_GB2312" w:eastAsia="仿宋_GB2312"/>
          <w:sz w:val="32"/>
          <w:szCs w:val="32"/>
          <w:lang w:eastAsia="zh-CN"/>
        </w:rPr>
        <w:t>增加</w:t>
      </w:r>
      <w:r>
        <w:rPr>
          <w:rFonts w:hint="eastAsia" w:ascii="仿宋_GB2312" w:eastAsia="仿宋_GB2312"/>
          <w:sz w:val="32"/>
          <w:szCs w:val="32"/>
          <w:lang w:val="en-US" w:eastAsia="zh-CN"/>
        </w:rPr>
        <w:t>55</w:t>
      </w:r>
      <w:r>
        <w:rPr>
          <w:rFonts w:hint="eastAsia" w:ascii="仿宋_GB2312" w:eastAsia="仿宋_GB2312"/>
          <w:sz w:val="32"/>
          <w:szCs w:val="32"/>
        </w:rPr>
        <w:t>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3、公务用车运行维护费0元。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三、部门整体支出绩效情况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2021年以来，隆回县</w:t>
      </w:r>
      <w:r>
        <w:rPr>
          <w:rFonts w:hint="eastAsia" w:ascii="仿宋_GB2312" w:eastAsia="仿宋_GB2312"/>
          <w:sz w:val="32"/>
          <w:szCs w:val="32"/>
          <w:lang w:eastAsia="zh-CN"/>
        </w:rPr>
        <w:t>侨</w:t>
      </w:r>
      <w:r>
        <w:rPr>
          <w:rFonts w:hint="eastAsia" w:ascii="仿宋_GB2312" w:eastAsia="仿宋_GB2312"/>
          <w:sz w:val="32"/>
          <w:szCs w:val="32"/>
        </w:rPr>
        <w:t>联在县委、县政府的正确领导下，在上级</w:t>
      </w:r>
      <w:r>
        <w:rPr>
          <w:rFonts w:hint="eastAsia" w:ascii="仿宋_GB2312" w:eastAsia="仿宋_GB2312"/>
          <w:sz w:val="32"/>
          <w:szCs w:val="32"/>
          <w:lang w:eastAsia="zh-CN"/>
        </w:rPr>
        <w:t>侨</w:t>
      </w:r>
      <w:r>
        <w:rPr>
          <w:rFonts w:hint="eastAsia" w:ascii="仿宋_GB2312" w:eastAsia="仿宋_GB2312"/>
          <w:sz w:val="32"/>
          <w:szCs w:val="32"/>
        </w:rPr>
        <w:t>联的精心指导下，坚持以习近平新时代中国特色社会主义思想为指导，认真贯彻新发展理念，忠实履行工作职责，较好地完成了全年各项工作任务。20</w:t>
      </w:r>
      <w:r>
        <w:rPr>
          <w:rFonts w:hint="eastAsia" w:ascii="仿宋_GB2312" w:eastAsia="仿宋_GB2312"/>
          <w:sz w:val="32"/>
          <w:szCs w:val="32"/>
          <w:lang w:val="en-US" w:eastAsia="zh-CN"/>
        </w:rPr>
        <w:t>21</w:t>
      </w:r>
      <w:r>
        <w:rPr>
          <w:rFonts w:hint="eastAsia" w:ascii="仿宋_GB2312" w:eastAsia="仿宋_GB2312"/>
          <w:sz w:val="32"/>
          <w:szCs w:val="32"/>
        </w:rPr>
        <w:t>年度本部门整体支出绩效情况如下：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1、本年预算配置控制较好，在侨胞侨眷返乡人数日益增多的情况下，“三公”经费支出与20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2、预算管理方面，制订了切实有效的内部财务、资产管理制度，执行总体较为有效。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财务人员为非专业人员，业务知识不熟练。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五、改进措施和有关建议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加强对财务人员的业务培训。</w:t>
      </w:r>
    </w:p>
    <w:sectPr>
      <w:headerReference r:id="rId3" w:type="default"/>
      <w:footerReference r:id="rId4" w:type="default"/>
      <w:footerReference r:id="rId5" w:type="even"/>
      <w:pgSz w:w="11905" w:h="16837"/>
      <w:pgMar w:top="1418" w:right="1588" w:bottom="1304"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8"/>
        <w:szCs w:val="28"/>
      </w:rPr>
    </w:pPr>
    <w:r>
      <w:rPr>
        <w:rStyle w:val="11"/>
        <w:rFonts w:hint="eastAsia" w:cs="宋体"/>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Style w:val="11"/>
        <w:rFonts w:hint="eastAsia"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18D538B0"/>
    <w:rsid w:val="006225F4"/>
    <w:rsid w:val="08740B3F"/>
    <w:rsid w:val="0886617E"/>
    <w:rsid w:val="12303DF7"/>
    <w:rsid w:val="13113C31"/>
    <w:rsid w:val="165352F8"/>
    <w:rsid w:val="18D538B0"/>
    <w:rsid w:val="1BDC0594"/>
    <w:rsid w:val="1C900A14"/>
    <w:rsid w:val="23767421"/>
    <w:rsid w:val="2483632E"/>
    <w:rsid w:val="26D71F7A"/>
    <w:rsid w:val="279B057E"/>
    <w:rsid w:val="29BB5966"/>
    <w:rsid w:val="2C40479E"/>
    <w:rsid w:val="2CBF7F16"/>
    <w:rsid w:val="33A65700"/>
    <w:rsid w:val="33EE7D6B"/>
    <w:rsid w:val="3A1C402A"/>
    <w:rsid w:val="3B12316C"/>
    <w:rsid w:val="3D3D1CB1"/>
    <w:rsid w:val="4505487C"/>
    <w:rsid w:val="46451CC4"/>
    <w:rsid w:val="478A311E"/>
    <w:rsid w:val="48BE24DD"/>
    <w:rsid w:val="49201968"/>
    <w:rsid w:val="4AFB4F98"/>
    <w:rsid w:val="50A0312B"/>
    <w:rsid w:val="50B9137D"/>
    <w:rsid w:val="53D60E65"/>
    <w:rsid w:val="548E490B"/>
    <w:rsid w:val="5AE43CDC"/>
    <w:rsid w:val="5B673542"/>
    <w:rsid w:val="5BBE5E7B"/>
    <w:rsid w:val="60642A79"/>
    <w:rsid w:val="62A479EC"/>
    <w:rsid w:val="635B32B1"/>
    <w:rsid w:val="65DB2C6D"/>
    <w:rsid w:val="66FE313E"/>
    <w:rsid w:val="678B4F41"/>
    <w:rsid w:val="6B9519FE"/>
    <w:rsid w:val="6C806A51"/>
    <w:rsid w:val="6D94075A"/>
    <w:rsid w:val="6DD85F72"/>
    <w:rsid w:val="7175042F"/>
    <w:rsid w:val="71891E06"/>
    <w:rsid w:val="71C47403"/>
    <w:rsid w:val="729333A5"/>
    <w:rsid w:val="73532763"/>
    <w:rsid w:val="78853E63"/>
    <w:rsid w:val="790F0BEF"/>
    <w:rsid w:val="79B86B55"/>
    <w:rsid w:val="79C50708"/>
    <w:rsid w:val="7ADE5E96"/>
    <w:rsid w:val="7DD9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可研正文"/>
    <w:basedOn w:val="1"/>
    <w:qFormat/>
    <w:uiPriority w:val="0"/>
    <w:pPr>
      <w:widowControl w:val="0"/>
      <w:spacing w:line="360" w:lineRule="auto"/>
      <w:ind w:firstLine="480" w:firstLineChars="200"/>
      <w:textAlignment w:val="auto"/>
    </w:pPr>
    <w:rPr>
      <w:rFonts w:ascii="Calibri" w:hAnsi="Calibri"/>
      <w:color w:val="auto"/>
      <w:kern w:val="2"/>
      <w:sz w:val="24"/>
      <w:szCs w:val="52"/>
      <w:u w:val="none" w:color="auto"/>
    </w:rPr>
  </w:style>
  <w:style w:type="paragraph" w:styleId="4">
    <w:name w:val="Body Text Indent"/>
    <w:basedOn w:val="1"/>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宋体"/>
      <w:kern w:val="0"/>
      <w:sz w:val="24"/>
      <w:szCs w:val="24"/>
    </w:rPr>
  </w:style>
  <w:style w:type="paragraph" w:styleId="8">
    <w:name w:val="Body Text First Indent 2"/>
    <w:basedOn w:val="4"/>
    <w:autoRedefine/>
    <w:qFormat/>
    <w:uiPriority w:val="99"/>
    <w:pPr>
      <w:ind w:firstLine="420" w:firstLineChars="200"/>
    </w:pPr>
  </w:style>
  <w:style w:type="character" w:styleId="11">
    <w:name w:val="page number"/>
    <w:basedOn w:val="10"/>
    <w:autoRedefine/>
    <w:qFormat/>
    <w:uiPriority w:val="0"/>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旧时光·不见旧人</cp:lastModifiedBy>
  <cp:lastPrinted>2022-04-26T09:00:00Z</cp:lastPrinted>
  <dcterms:modified xsi:type="dcterms:W3CDTF">2024-01-24T04:10:59Z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13940350A3BC4A62859EFEAA108A2799_13</vt:lpwstr>
  </property>
</Properties>
</file>