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40" w:lineRule="exact"/>
        <w:ind w:right="0" w:rightChars="0"/>
        <w:jc w:val="center"/>
        <w:textAlignment w:val="auto"/>
        <w:rPr>
          <w:rFonts w:hint="eastAsia" w:ascii="仿宋" w:hAnsi="仿宋" w:eastAsia="仿宋" w:cs="仿宋"/>
          <w:sz w:val="32"/>
          <w:szCs w:val="32"/>
          <w:lang w:eastAsia="zh-CN"/>
        </w:rPr>
      </w:pPr>
      <w:bookmarkStart w:id="0" w:name="_GoBack"/>
      <w:bookmarkEnd w:id="0"/>
    </w:p>
    <w:p>
      <w:pPr>
        <w:keepNext w:val="0"/>
        <w:keepLines w:val="0"/>
        <w:pageBreakBefore w:val="0"/>
        <w:kinsoku/>
        <w:wordWrap/>
        <w:overflowPunct/>
        <w:topLinePunct w:val="0"/>
        <w:autoSpaceDE/>
        <w:autoSpaceDN/>
        <w:bidi w:val="0"/>
        <w:spacing w:line="640" w:lineRule="exact"/>
        <w:ind w:right="0" w:rightChars="0"/>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隆回县农业农村局</w:t>
      </w:r>
      <w:r>
        <w:rPr>
          <w:rFonts w:hint="eastAsia" w:ascii="黑体" w:hAnsi="黑体" w:eastAsia="黑体" w:cs="黑体"/>
          <w:b/>
          <w:bCs/>
          <w:sz w:val="44"/>
          <w:szCs w:val="44"/>
          <w:lang w:val="en-US" w:eastAsia="zh-CN"/>
        </w:rPr>
        <w:t>2021年</w:t>
      </w:r>
      <w:r>
        <w:rPr>
          <w:rFonts w:hint="eastAsia" w:ascii="黑体" w:hAnsi="黑体" w:eastAsia="黑体" w:cs="黑体"/>
          <w:b/>
          <w:bCs/>
          <w:sz w:val="44"/>
          <w:szCs w:val="44"/>
          <w:lang w:eastAsia="zh-CN"/>
        </w:rPr>
        <w:t>部门整体支出</w:t>
      </w:r>
    </w:p>
    <w:p>
      <w:pPr>
        <w:keepNext w:val="0"/>
        <w:keepLines w:val="0"/>
        <w:pageBreakBefore w:val="0"/>
        <w:kinsoku/>
        <w:wordWrap/>
        <w:overflowPunct/>
        <w:topLinePunct w:val="0"/>
        <w:autoSpaceDE/>
        <w:autoSpaceDN/>
        <w:bidi w:val="0"/>
        <w:spacing w:line="640" w:lineRule="exact"/>
        <w:ind w:right="0" w:rightChars="0"/>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绩效自评报告</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根据《隆回县财政局关于开展2021年度部门整体支出和县级财政资金支出绩效评价工作的通知》（隆财绩[2022]2号）文件精神，我单位认真对2021年度部门整体支出绩效进行了自评，</w:t>
      </w:r>
      <w:r>
        <w:rPr>
          <w:rFonts w:hint="eastAsia" w:ascii="仿宋" w:hAnsi="仿宋" w:eastAsia="仿宋" w:cs="仿宋"/>
          <w:b/>
          <w:bCs/>
          <w:sz w:val="30"/>
          <w:szCs w:val="30"/>
          <w:lang w:val="en-US" w:eastAsia="zh-CN"/>
        </w:rPr>
        <w:t>自评结论为良</w:t>
      </w:r>
      <w:r>
        <w:rPr>
          <w:rFonts w:hint="eastAsia" w:ascii="仿宋" w:hAnsi="仿宋" w:eastAsia="仿宋" w:cs="仿宋"/>
          <w:sz w:val="30"/>
          <w:szCs w:val="30"/>
          <w:lang w:val="en-US" w:eastAsia="zh-CN"/>
        </w:rPr>
        <w:t>，现将自评情况汇报如下：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right="0" w:rightChars="0" w:firstLine="602" w:firstLineChars="200"/>
        <w:jc w:val="both"/>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部门概况</w:t>
      </w:r>
    </w:p>
    <w:p>
      <w:pPr>
        <w:keepNext w:val="0"/>
        <w:keepLines w:val="0"/>
        <w:pageBreakBefore w:val="0"/>
        <w:widowControl w:val="0"/>
        <w:numPr>
          <w:ilvl w:val="0"/>
          <w:numId w:val="2"/>
        </w:numPr>
        <w:kinsoku/>
        <w:wordWrap/>
        <w:overflowPunct/>
        <w:topLinePunct w:val="0"/>
        <w:autoSpaceDE/>
        <w:autoSpaceDN/>
        <w:bidi w:val="0"/>
        <w:spacing w:line="640" w:lineRule="exact"/>
        <w:ind w:right="0" w:rightChars="0" w:firstLine="6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部门基本情况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b/>
          <w:bCs/>
          <w:i w:val="0"/>
          <w:caps w:val="0"/>
          <w:color w:val="333333"/>
          <w:spacing w:val="0"/>
          <w:sz w:val="30"/>
          <w:szCs w:val="30"/>
          <w:shd w:val="clear" w:fill="FFFFFF"/>
          <w:lang w:val="en-US" w:eastAsia="zh-CN"/>
        </w:rPr>
        <w:t>(1)部门职能概述。</w:t>
      </w:r>
      <w:r>
        <w:rPr>
          <w:rFonts w:hint="eastAsia" w:ascii="仿宋" w:hAnsi="仿宋" w:eastAsia="仿宋" w:cs="仿宋"/>
          <w:i w:val="0"/>
          <w:caps w:val="0"/>
          <w:color w:val="333333"/>
          <w:spacing w:val="0"/>
          <w:sz w:val="30"/>
          <w:szCs w:val="30"/>
          <w:shd w:val="clear" w:fill="FFFFFF"/>
          <w:lang w:eastAsia="zh-CN"/>
        </w:rPr>
        <w:t>县</w:t>
      </w:r>
      <w:r>
        <w:rPr>
          <w:rFonts w:hint="eastAsia" w:ascii="仿宋" w:hAnsi="仿宋" w:eastAsia="仿宋" w:cs="仿宋"/>
          <w:i w:val="0"/>
          <w:caps w:val="0"/>
          <w:color w:val="333333"/>
          <w:spacing w:val="0"/>
          <w:sz w:val="30"/>
          <w:szCs w:val="30"/>
          <w:shd w:val="clear" w:fill="FFFFFF"/>
        </w:rPr>
        <w:t>农业</w:t>
      </w:r>
      <w:r>
        <w:rPr>
          <w:rFonts w:hint="eastAsia" w:ascii="仿宋" w:hAnsi="仿宋" w:eastAsia="仿宋" w:cs="仿宋"/>
          <w:i w:val="0"/>
          <w:caps w:val="0"/>
          <w:color w:val="333333"/>
          <w:spacing w:val="0"/>
          <w:sz w:val="30"/>
          <w:szCs w:val="30"/>
          <w:shd w:val="clear" w:fill="FFFFFF"/>
          <w:lang w:eastAsia="zh-CN"/>
        </w:rPr>
        <w:t>农村局</w:t>
      </w:r>
      <w:r>
        <w:rPr>
          <w:rFonts w:hint="eastAsia" w:ascii="仿宋" w:hAnsi="仿宋" w:eastAsia="仿宋" w:cs="仿宋"/>
          <w:i w:val="0"/>
          <w:caps w:val="0"/>
          <w:color w:val="333333"/>
          <w:spacing w:val="0"/>
          <w:sz w:val="30"/>
          <w:szCs w:val="30"/>
          <w:shd w:val="clear" w:fill="FFFFFF"/>
        </w:rPr>
        <w:t>主要职</w:t>
      </w:r>
      <w:r>
        <w:rPr>
          <w:rFonts w:hint="eastAsia" w:ascii="仿宋" w:hAnsi="仿宋" w:eastAsia="仿宋" w:cs="仿宋"/>
          <w:i w:val="0"/>
          <w:caps w:val="0"/>
          <w:color w:val="333333"/>
          <w:spacing w:val="0"/>
          <w:sz w:val="30"/>
          <w:szCs w:val="30"/>
          <w:shd w:val="clear" w:fill="FFFFFF"/>
          <w:lang w:eastAsia="zh-CN"/>
        </w:rPr>
        <w:t>能</w:t>
      </w:r>
      <w:r>
        <w:rPr>
          <w:rFonts w:hint="eastAsia" w:ascii="仿宋" w:hAnsi="仿宋" w:eastAsia="仿宋" w:cs="仿宋"/>
          <w:i w:val="0"/>
          <w:caps w:val="0"/>
          <w:color w:val="333333"/>
          <w:spacing w:val="0"/>
          <w:sz w:val="30"/>
          <w:szCs w:val="30"/>
          <w:shd w:val="clear" w:fill="FFFFFF"/>
        </w:rPr>
        <w:t>包括</w:t>
      </w:r>
      <w:r>
        <w:rPr>
          <w:rFonts w:hint="eastAsia" w:ascii="仿宋" w:hAnsi="仿宋" w:eastAsia="仿宋" w:cs="仿宋"/>
          <w:i w:val="0"/>
          <w:caps w:val="0"/>
          <w:color w:val="333333"/>
          <w:spacing w:val="0"/>
          <w:sz w:val="30"/>
          <w:szCs w:val="30"/>
          <w:shd w:val="clear" w:fill="FFFFFF"/>
          <w:lang w:eastAsia="zh-CN"/>
        </w:rPr>
        <w:t>：负责</w:t>
      </w:r>
      <w:r>
        <w:rPr>
          <w:rFonts w:hint="eastAsia" w:ascii="仿宋" w:hAnsi="仿宋" w:eastAsia="仿宋" w:cs="仿宋"/>
          <w:i w:val="0"/>
          <w:caps w:val="0"/>
          <w:color w:val="333333"/>
          <w:spacing w:val="0"/>
          <w:sz w:val="30"/>
          <w:szCs w:val="30"/>
          <w:shd w:val="clear" w:fill="FFFFFF"/>
        </w:rPr>
        <w:t>综合协调全</w:t>
      </w:r>
      <w:r>
        <w:rPr>
          <w:rFonts w:hint="eastAsia" w:ascii="仿宋" w:hAnsi="仿宋" w:eastAsia="仿宋" w:cs="仿宋"/>
          <w:i w:val="0"/>
          <w:caps w:val="0"/>
          <w:color w:val="333333"/>
          <w:spacing w:val="0"/>
          <w:sz w:val="30"/>
          <w:szCs w:val="30"/>
          <w:shd w:val="clear" w:fill="FFFFFF"/>
          <w:lang w:eastAsia="zh-CN"/>
        </w:rPr>
        <w:t>县</w:t>
      </w:r>
      <w:r>
        <w:rPr>
          <w:rFonts w:hint="eastAsia" w:ascii="仿宋" w:hAnsi="仿宋" w:eastAsia="仿宋" w:cs="仿宋"/>
          <w:i w:val="0"/>
          <w:caps w:val="0"/>
          <w:color w:val="333333"/>
          <w:spacing w:val="0"/>
          <w:sz w:val="30"/>
          <w:szCs w:val="30"/>
          <w:shd w:val="clear" w:fill="FFFFFF"/>
        </w:rPr>
        <w:t>农业农村工作，指导农村改革和发展；拟定实施农业发展政策和规划，指导协调县域经济发展和新农村建设；</w:t>
      </w:r>
      <w:r>
        <w:rPr>
          <w:rFonts w:hint="eastAsia" w:ascii="仿宋" w:hAnsi="仿宋" w:eastAsia="仿宋" w:cs="仿宋"/>
          <w:i w:val="0"/>
          <w:caps w:val="0"/>
          <w:color w:val="333333"/>
          <w:spacing w:val="0"/>
          <w:sz w:val="30"/>
          <w:szCs w:val="30"/>
          <w:shd w:val="clear" w:fill="FFFFFF"/>
          <w:lang w:eastAsia="zh-CN"/>
        </w:rPr>
        <w:t>研究提出</w:t>
      </w:r>
      <w:r>
        <w:rPr>
          <w:rFonts w:hint="eastAsia" w:ascii="仿宋" w:hAnsi="仿宋" w:eastAsia="仿宋" w:cs="仿宋"/>
          <w:i w:val="0"/>
          <w:caps w:val="0"/>
          <w:color w:val="333333"/>
          <w:spacing w:val="0"/>
          <w:sz w:val="30"/>
          <w:szCs w:val="30"/>
          <w:shd w:val="clear" w:fill="FFFFFF"/>
        </w:rPr>
        <w:t>稳定和完善农村经营管理体制</w:t>
      </w:r>
      <w:r>
        <w:rPr>
          <w:rFonts w:hint="eastAsia" w:ascii="仿宋" w:hAnsi="仿宋" w:eastAsia="仿宋" w:cs="仿宋"/>
          <w:i w:val="0"/>
          <w:caps w:val="0"/>
          <w:color w:val="333333"/>
          <w:spacing w:val="0"/>
          <w:sz w:val="30"/>
          <w:szCs w:val="30"/>
          <w:shd w:val="clear" w:fill="FFFFFF"/>
          <w:lang w:eastAsia="zh-CN"/>
        </w:rPr>
        <w:t>的建议</w:t>
      </w:r>
      <w:r>
        <w:rPr>
          <w:rFonts w:hint="eastAsia" w:ascii="仿宋" w:hAnsi="仿宋" w:eastAsia="仿宋" w:cs="仿宋"/>
          <w:i w:val="0"/>
          <w:caps w:val="0"/>
          <w:color w:val="333333"/>
          <w:spacing w:val="0"/>
          <w:sz w:val="30"/>
          <w:szCs w:val="30"/>
          <w:shd w:val="clear" w:fill="FFFFFF"/>
        </w:rPr>
        <w:t>，拟定实施全</w:t>
      </w:r>
      <w:r>
        <w:rPr>
          <w:rFonts w:hint="eastAsia" w:ascii="仿宋" w:hAnsi="仿宋" w:eastAsia="仿宋" w:cs="仿宋"/>
          <w:i w:val="0"/>
          <w:caps w:val="0"/>
          <w:color w:val="333333"/>
          <w:spacing w:val="0"/>
          <w:sz w:val="30"/>
          <w:szCs w:val="30"/>
          <w:shd w:val="clear" w:fill="FFFFFF"/>
          <w:lang w:eastAsia="zh-CN"/>
        </w:rPr>
        <w:t>县</w:t>
      </w:r>
      <w:r>
        <w:rPr>
          <w:rFonts w:hint="eastAsia" w:ascii="仿宋" w:hAnsi="仿宋" w:eastAsia="仿宋" w:cs="仿宋"/>
          <w:i w:val="0"/>
          <w:caps w:val="0"/>
          <w:color w:val="333333"/>
          <w:spacing w:val="0"/>
          <w:sz w:val="30"/>
          <w:szCs w:val="30"/>
          <w:shd w:val="clear" w:fill="FFFFFF"/>
        </w:rPr>
        <w:t>农业产业化发展规划与政策；指导粮食等主要农产品生产，引导农业产业结构调整和产品品质改善；促进农业产前、产中、产后一体化发展，</w:t>
      </w:r>
      <w:r>
        <w:rPr>
          <w:rFonts w:hint="eastAsia" w:ascii="仿宋" w:hAnsi="仿宋" w:eastAsia="仿宋" w:cs="仿宋"/>
          <w:i w:val="0"/>
          <w:caps w:val="0"/>
          <w:color w:val="333333"/>
          <w:spacing w:val="0"/>
          <w:sz w:val="30"/>
          <w:szCs w:val="30"/>
          <w:shd w:val="clear" w:fill="FFFFFF"/>
          <w:lang w:eastAsia="zh-CN"/>
        </w:rPr>
        <w:t>培育、保护和发展农产品品牌</w:t>
      </w:r>
      <w:r>
        <w:rPr>
          <w:rFonts w:hint="eastAsia" w:ascii="仿宋" w:hAnsi="仿宋" w:eastAsia="仿宋" w:cs="仿宋"/>
          <w:i w:val="0"/>
          <w:caps w:val="0"/>
          <w:color w:val="333333"/>
          <w:spacing w:val="0"/>
          <w:sz w:val="30"/>
          <w:szCs w:val="30"/>
          <w:shd w:val="clear" w:fill="FFFFFF"/>
        </w:rPr>
        <w:t>；承担提升农产品质量安全水平责任，组织农产品质量安全的监督管理；组织、协调农业生产资料市场体系建设，会同有关部门贯彻执行农业生产资料标准；负责农作物重大病虫害防治，发布疫情并组织扑灭；承担农业防灾减灾责任，指导紧急救灾和灾后生产恢复；管理农业和农村经济信息，监测分析农业农村经济运行；制定农业科研、农技推广规划、计划</w:t>
      </w:r>
      <w:r>
        <w:rPr>
          <w:rFonts w:hint="eastAsia" w:ascii="仿宋" w:hAnsi="仿宋" w:eastAsia="仿宋" w:cs="仿宋"/>
          <w:i w:val="0"/>
          <w:caps w:val="0"/>
          <w:color w:val="333333"/>
          <w:spacing w:val="0"/>
          <w:sz w:val="30"/>
          <w:szCs w:val="30"/>
          <w:shd w:val="clear" w:fill="FFFFFF"/>
          <w:lang w:eastAsia="zh-CN"/>
        </w:rPr>
        <w:t>并组织实施</w:t>
      </w:r>
      <w:r>
        <w:rPr>
          <w:rFonts w:hint="eastAsia" w:ascii="仿宋" w:hAnsi="仿宋" w:eastAsia="仿宋" w:cs="仿宋"/>
          <w:i w:val="0"/>
          <w:caps w:val="0"/>
          <w:color w:val="333333"/>
          <w:spacing w:val="0"/>
          <w:sz w:val="30"/>
          <w:szCs w:val="30"/>
          <w:shd w:val="clear" w:fill="FFFFFF"/>
        </w:rPr>
        <w:t>，指导农技推广体系改革与建设；指导协调农民教育培训，承担农民就地就近就业培训工作；组织农业资源区划工作，依法管理耕地质量；制定实施农业生态建设规划，指导农业面源污染治理；参与组织开展农业贸易促进和有关经济、技术交流与合作等。</w:t>
      </w:r>
    </w:p>
    <w:p>
      <w:pPr>
        <w:autoSpaceDE w:val="0"/>
        <w:autoSpaceDN w:val="0"/>
        <w:adjustRightInd w:val="0"/>
        <w:spacing w:beforeLines="0" w:afterLines="0" w:line="560" w:lineRule="exact"/>
        <w:ind w:firstLine="640"/>
        <w:rPr>
          <w:rFonts w:hint="eastAsia"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）部门组织机构、编制及人员情况。</w:t>
      </w:r>
    </w:p>
    <w:p>
      <w:pPr>
        <w:widowControl/>
        <w:shd w:val="clear" w:color="auto" w:fill="FFFFFF"/>
        <w:spacing w:beforeLines="0" w:afterLines="0" w:line="560" w:lineRule="exact"/>
        <w:ind w:firstLine="600" w:firstLineChars="200"/>
        <w:jc w:val="left"/>
        <w:rPr>
          <w:rFonts w:hint="eastAsia" w:ascii="仿宋" w:hAnsi="仿宋" w:eastAsia="仿宋" w:cs="仿宋"/>
          <w:color w:val="333333"/>
          <w:kern w:val="0"/>
          <w:sz w:val="30"/>
          <w:szCs w:val="30"/>
        </w:rPr>
      </w:pPr>
      <w:r>
        <w:rPr>
          <w:rFonts w:hint="eastAsia" w:ascii="仿宋" w:hAnsi="仿宋" w:eastAsia="仿宋" w:cs="仿宋"/>
          <w:sz w:val="30"/>
          <w:szCs w:val="30"/>
        </w:rPr>
        <w:t>县农业农村局设15个内设机构，为办公室、人事教育股、行政审批服务股、发展规划与乡村产业发展股、计划财务股、农村社会事业促进股、农村合作经济指导股、市场与信息化股、资源保护与利用股、农产品质量安全监管股、种业及种植业管理股、畜牧兽医股、渔业渔政管理股、农业机械化管理股、农田建设股。</w:t>
      </w:r>
    </w:p>
    <w:p>
      <w:pPr>
        <w:autoSpaceDE w:val="0"/>
        <w:autoSpaceDN w:val="0"/>
        <w:adjustRightInd w:val="0"/>
        <w:spacing w:beforeLines="0" w:afterLines="0"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年本单位年</w:t>
      </w:r>
      <w:r>
        <w:rPr>
          <w:rFonts w:hint="eastAsia" w:ascii="仿宋" w:hAnsi="仿宋" w:eastAsia="仿宋" w:cs="仿宋"/>
          <w:sz w:val="30"/>
          <w:szCs w:val="30"/>
          <w:lang w:eastAsia="zh-CN"/>
        </w:rPr>
        <w:t>末</w:t>
      </w:r>
      <w:r>
        <w:rPr>
          <w:rFonts w:hint="eastAsia" w:ascii="仿宋" w:hAnsi="仿宋" w:eastAsia="仿宋" w:cs="仿宋"/>
          <w:sz w:val="30"/>
          <w:szCs w:val="30"/>
        </w:rPr>
        <w:t>实有人数2</w:t>
      </w:r>
      <w:r>
        <w:rPr>
          <w:rFonts w:hint="eastAsia" w:ascii="仿宋" w:hAnsi="仿宋" w:eastAsia="仿宋" w:cs="仿宋"/>
          <w:sz w:val="30"/>
          <w:szCs w:val="30"/>
          <w:lang w:val="en-US" w:eastAsia="zh-CN"/>
        </w:rPr>
        <w:t>02</w:t>
      </w:r>
      <w:r>
        <w:rPr>
          <w:rFonts w:hint="eastAsia" w:ascii="仿宋" w:hAnsi="仿宋" w:eastAsia="仿宋" w:cs="仿宋"/>
          <w:sz w:val="30"/>
          <w:szCs w:val="30"/>
        </w:rPr>
        <w:t>人，比上年</w:t>
      </w:r>
      <w:r>
        <w:rPr>
          <w:rFonts w:hint="eastAsia" w:ascii="仿宋" w:hAnsi="仿宋" w:eastAsia="仿宋" w:cs="仿宋"/>
          <w:sz w:val="30"/>
          <w:szCs w:val="30"/>
          <w:lang w:val="zh-CN"/>
        </w:rPr>
        <w:t>减少</w:t>
      </w:r>
      <w:r>
        <w:rPr>
          <w:rFonts w:hint="eastAsia" w:ascii="仿宋" w:hAnsi="仿宋" w:eastAsia="仿宋" w:cs="仿宋"/>
          <w:sz w:val="30"/>
          <w:szCs w:val="30"/>
          <w:lang w:val="en-US" w:eastAsia="zh-CN"/>
        </w:rPr>
        <w:t>11</w:t>
      </w:r>
      <w:r>
        <w:rPr>
          <w:rFonts w:hint="eastAsia" w:ascii="仿宋" w:hAnsi="仿宋" w:eastAsia="仿宋" w:cs="仿宋"/>
          <w:sz w:val="30"/>
          <w:szCs w:val="30"/>
          <w:lang w:val="zh-CN"/>
        </w:rPr>
        <w:t>人，</w:t>
      </w:r>
      <w:r>
        <w:rPr>
          <w:rFonts w:hint="eastAsia" w:ascii="仿宋" w:hAnsi="仿宋" w:eastAsia="仿宋" w:cs="仿宋"/>
          <w:sz w:val="30"/>
          <w:szCs w:val="30"/>
        </w:rPr>
        <w:t>原因是</w:t>
      </w:r>
      <w:r>
        <w:rPr>
          <w:rFonts w:hint="eastAsia" w:ascii="仿宋" w:hAnsi="仿宋" w:eastAsia="仿宋" w:cs="仿宋"/>
          <w:sz w:val="30"/>
          <w:szCs w:val="30"/>
          <w:lang w:eastAsia="zh-CN"/>
        </w:rPr>
        <w:t>有调入调出及退休人员。</w:t>
      </w:r>
    </w:p>
    <w:p>
      <w:pPr>
        <w:keepNext w:val="0"/>
        <w:keepLines w:val="0"/>
        <w:pageBreakBefore w:val="0"/>
        <w:widowControl w:val="0"/>
        <w:kinsoku/>
        <w:wordWrap/>
        <w:overflowPunct/>
        <w:topLinePunct w:val="0"/>
        <w:autoSpaceDE/>
        <w:autoSpaceDN/>
        <w:bidi w:val="0"/>
        <w:spacing w:line="640" w:lineRule="exact"/>
        <w:ind w:right="0" w:rightChars="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　　（二）</w:t>
      </w:r>
      <w:r>
        <w:rPr>
          <w:rFonts w:hint="eastAsia" w:ascii="仿宋" w:hAnsi="仿宋" w:eastAsia="仿宋" w:cs="仿宋"/>
          <w:b/>
          <w:bCs/>
          <w:sz w:val="30"/>
          <w:szCs w:val="30"/>
          <w:lang w:val="en-US" w:eastAsia="zh-CN"/>
        </w:rPr>
        <w:t>2021年的重点工作</w:t>
      </w:r>
    </w:p>
    <w:p>
      <w:pPr>
        <w:adjustRightInd w:val="0"/>
        <w:snapToGrid w:val="0"/>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w:t>
      </w:r>
      <w:r>
        <w:rPr>
          <w:rFonts w:hint="eastAsia" w:ascii="仿宋" w:hAnsi="仿宋" w:eastAsia="仿宋" w:cs="仿宋"/>
          <w:b/>
          <w:sz w:val="30"/>
          <w:szCs w:val="30"/>
          <w:lang w:val="en-US" w:eastAsia="zh-CN"/>
        </w:rPr>
        <w:t>1</w:t>
      </w:r>
      <w:r>
        <w:rPr>
          <w:rFonts w:hint="eastAsia" w:ascii="仿宋" w:hAnsi="仿宋" w:eastAsia="仿宋" w:cs="仿宋"/>
          <w:b/>
          <w:sz w:val="30"/>
          <w:szCs w:val="30"/>
        </w:rPr>
        <w:t>）</w:t>
      </w:r>
      <w:r>
        <w:rPr>
          <w:rFonts w:hint="eastAsia" w:ascii="仿宋" w:hAnsi="仿宋" w:eastAsia="仿宋" w:cs="仿宋"/>
          <w:b/>
          <w:bCs w:val="0"/>
          <w:kern w:val="0"/>
          <w:sz w:val="30"/>
          <w:szCs w:val="30"/>
          <w:lang w:eastAsia="zh-CN"/>
        </w:rPr>
        <w:t>抓</w:t>
      </w:r>
      <w:r>
        <w:rPr>
          <w:rFonts w:hint="eastAsia" w:ascii="仿宋" w:hAnsi="仿宋" w:eastAsia="仿宋" w:cs="仿宋"/>
          <w:b/>
          <w:kern w:val="0"/>
          <w:sz w:val="30"/>
          <w:szCs w:val="30"/>
          <w:lang w:eastAsia="zh-CN"/>
        </w:rPr>
        <w:t>好粮食生产工作</w:t>
      </w:r>
      <w:r>
        <w:rPr>
          <w:rFonts w:hint="eastAsia" w:ascii="仿宋" w:hAnsi="仿宋" w:eastAsia="仿宋" w:cs="仿宋"/>
          <w:b/>
          <w:sz w:val="30"/>
          <w:szCs w:val="30"/>
        </w:rPr>
        <w:t>。</w:t>
      </w:r>
      <w:r>
        <w:rPr>
          <w:rFonts w:hint="eastAsia" w:ascii="仿宋" w:hAnsi="仿宋" w:eastAsia="仿宋" w:cs="仿宋"/>
          <w:b w:val="0"/>
          <w:bCs w:val="0"/>
          <w:kern w:val="2"/>
          <w:sz w:val="30"/>
          <w:szCs w:val="30"/>
          <w:lang w:val="en-US" w:eastAsia="zh-CN" w:bidi="ar-SA"/>
        </w:rPr>
        <w:t>稳中求进，“稳”即粮食播种面积稳定在110万亩以上，</w:t>
      </w:r>
      <w:r>
        <w:rPr>
          <w:rFonts w:hint="eastAsia" w:ascii="仿宋" w:hAnsi="仿宋" w:eastAsia="仿宋" w:cs="仿宋"/>
          <w:sz w:val="30"/>
          <w:szCs w:val="30"/>
          <w:lang w:val="en-US" w:eastAsia="zh-CN"/>
        </w:rPr>
        <w:t>总产再创新高，超51万吨</w:t>
      </w:r>
      <w:r>
        <w:rPr>
          <w:rFonts w:hint="eastAsia" w:ascii="仿宋" w:hAnsi="仿宋" w:eastAsia="仿宋" w:cs="仿宋"/>
          <w:b w:val="0"/>
          <w:bCs w:val="0"/>
          <w:kern w:val="2"/>
          <w:sz w:val="30"/>
          <w:szCs w:val="30"/>
          <w:lang w:val="en-US" w:eastAsia="zh-CN" w:bidi="ar-SA"/>
        </w:rPr>
        <w:t>；“进”即促进粮食品质提升。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w:t>
      </w:r>
      <w:r>
        <w:rPr>
          <w:rFonts w:hint="eastAsia" w:ascii="仿宋" w:hAnsi="仿宋" w:eastAsia="仿宋" w:cs="仿宋"/>
          <w:b/>
          <w:sz w:val="30"/>
          <w:szCs w:val="30"/>
          <w:lang w:val="en-US" w:eastAsia="zh-CN"/>
        </w:rPr>
        <w:t>2</w:t>
      </w:r>
      <w:r>
        <w:rPr>
          <w:rFonts w:hint="eastAsia" w:ascii="仿宋" w:hAnsi="仿宋" w:eastAsia="仿宋" w:cs="仿宋"/>
          <w:b/>
          <w:sz w:val="30"/>
          <w:szCs w:val="30"/>
        </w:rPr>
        <w:t>）</w:t>
      </w:r>
      <w:r>
        <w:rPr>
          <w:rFonts w:hint="eastAsia" w:ascii="仿宋" w:hAnsi="仿宋" w:eastAsia="仿宋" w:cs="仿宋"/>
          <w:b/>
          <w:bCs/>
          <w:sz w:val="30"/>
          <w:szCs w:val="30"/>
          <w:lang w:val="en-US" w:eastAsia="zh-CN"/>
        </w:rPr>
        <w:t>抓好生猪发展，恢复生猪产能。</w:t>
      </w:r>
      <w:r>
        <w:rPr>
          <w:rFonts w:hint="eastAsia" w:ascii="仿宋" w:hAnsi="仿宋" w:eastAsia="仿宋" w:cs="仿宋"/>
          <w:sz w:val="30"/>
          <w:szCs w:val="30"/>
          <w:lang w:val="en-US" w:eastAsia="zh-CN"/>
        </w:rPr>
        <w:t>新增规模生猪养殖场10家，全县50头以上的规模养殖场达2470个，生猪养殖基础更加扎实，</w:t>
      </w:r>
      <w:r>
        <w:rPr>
          <w:rFonts w:hint="eastAsia" w:ascii="仿宋" w:hAnsi="仿宋" w:eastAsia="仿宋" w:cs="仿宋"/>
          <w:sz w:val="30"/>
          <w:szCs w:val="30"/>
        </w:rPr>
        <w:t>生猪等养殖产品供给基本保持稳定。</w:t>
      </w:r>
    </w:p>
    <w:p>
      <w:pPr>
        <w:widowControl/>
        <w:shd w:val="clear" w:color="auto" w:fill="FFFFFF"/>
        <w:spacing w:line="360" w:lineRule="auto"/>
        <w:rPr>
          <w:rFonts w:hint="eastAsia" w:ascii="仿宋" w:hAnsi="仿宋" w:eastAsia="仿宋" w:cs="仿宋"/>
          <w:b w:val="0"/>
          <w:bCs/>
          <w:sz w:val="30"/>
          <w:szCs w:val="30"/>
          <w:lang w:val="en-US" w:eastAsia="zh-CN"/>
        </w:rPr>
      </w:pPr>
      <w:r>
        <w:rPr>
          <w:rFonts w:hint="eastAsia" w:ascii="仿宋" w:hAnsi="仿宋" w:eastAsia="仿宋" w:cs="仿宋"/>
          <w:b/>
          <w:sz w:val="30"/>
          <w:szCs w:val="30"/>
          <w:lang w:eastAsia="zh-CN"/>
        </w:rPr>
        <w:t>　　</w:t>
      </w:r>
      <w:r>
        <w:rPr>
          <w:rFonts w:hint="eastAsia" w:ascii="仿宋" w:hAnsi="仿宋" w:eastAsia="仿宋" w:cs="仿宋"/>
          <w:b/>
          <w:sz w:val="30"/>
          <w:szCs w:val="30"/>
        </w:rPr>
        <w:t>（</w:t>
      </w:r>
      <w:r>
        <w:rPr>
          <w:rFonts w:hint="eastAsia" w:ascii="仿宋" w:hAnsi="仿宋" w:eastAsia="仿宋" w:cs="仿宋"/>
          <w:b/>
          <w:sz w:val="30"/>
          <w:szCs w:val="30"/>
          <w:lang w:val="en-US" w:eastAsia="zh-CN"/>
        </w:rPr>
        <w:t>3</w:t>
      </w:r>
      <w:r>
        <w:rPr>
          <w:rFonts w:hint="eastAsia" w:ascii="仿宋" w:hAnsi="仿宋" w:eastAsia="仿宋" w:cs="仿宋"/>
          <w:b/>
          <w:sz w:val="30"/>
          <w:szCs w:val="30"/>
        </w:rPr>
        <w:t>）</w:t>
      </w:r>
      <w:r>
        <w:rPr>
          <w:rFonts w:hint="eastAsia" w:ascii="仿宋" w:hAnsi="仿宋" w:eastAsia="仿宋" w:cs="仿宋"/>
          <w:b/>
          <w:bCs/>
          <w:sz w:val="30"/>
          <w:szCs w:val="30"/>
          <w:lang w:eastAsia="zh-CN"/>
        </w:rPr>
        <w:t>抓好农业机械化推广工作。一是</w:t>
      </w:r>
      <w:r>
        <w:rPr>
          <w:rFonts w:hint="eastAsia" w:ascii="仿宋" w:hAnsi="仿宋" w:eastAsia="仿宋" w:cs="仿宋"/>
          <w:b w:val="0"/>
          <w:bCs/>
          <w:sz w:val="30"/>
          <w:szCs w:val="30"/>
          <w:lang w:val="en-US" w:eastAsia="zh-CN"/>
        </w:rPr>
        <w:t>推广轮式拖拉机、高速插秧机、粮食烘干机、谷物联合收割机、油菜播种机。</w:t>
      </w:r>
      <w:r>
        <w:rPr>
          <w:rFonts w:hint="eastAsia" w:ascii="仿宋" w:hAnsi="仿宋" w:eastAsia="仿宋" w:cs="仿宋"/>
          <w:b/>
          <w:bCs w:val="0"/>
          <w:sz w:val="30"/>
          <w:szCs w:val="30"/>
          <w:lang w:val="en-US" w:eastAsia="zh-CN"/>
        </w:rPr>
        <w:t>二是</w:t>
      </w:r>
      <w:r>
        <w:rPr>
          <w:rFonts w:hint="eastAsia" w:ascii="仿宋" w:hAnsi="仿宋" w:eastAsia="仿宋" w:cs="仿宋"/>
          <w:b w:val="0"/>
          <w:bCs/>
          <w:sz w:val="30"/>
          <w:szCs w:val="30"/>
          <w:lang w:val="en-US" w:eastAsia="zh-CN"/>
        </w:rPr>
        <w:t>争创省级农机示范合作社2家。</w:t>
      </w:r>
    </w:p>
    <w:p>
      <w:pPr>
        <w:numPr>
          <w:ilvl w:val="0"/>
          <w:numId w:val="0"/>
        </w:numPr>
        <w:rPr>
          <w:rFonts w:hint="eastAsia" w:ascii="仿宋" w:hAnsi="仿宋" w:eastAsia="仿宋" w:cs="仿宋"/>
          <w:b w:val="0"/>
          <w:bCs/>
          <w:sz w:val="30"/>
          <w:szCs w:val="30"/>
          <w:lang w:val="en-US" w:eastAsia="zh-CN"/>
        </w:rPr>
      </w:pPr>
      <w:r>
        <w:rPr>
          <w:rFonts w:hint="eastAsia" w:ascii="仿宋" w:hAnsi="仿宋" w:eastAsia="仿宋" w:cs="仿宋"/>
          <w:b/>
          <w:sz w:val="30"/>
          <w:szCs w:val="30"/>
          <w:lang w:eastAsia="zh-CN"/>
        </w:rPr>
        <w:t>　　</w:t>
      </w:r>
      <w:r>
        <w:rPr>
          <w:rFonts w:hint="eastAsia" w:ascii="仿宋" w:hAnsi="仿宋" w:eastAsia="仿宋" w:cs="仿宋"/>
          <w:b/>
          <w:sz w:val="30"/>
          <w:szCs w:val="30"/>
        </w:rPr>
        <w:t>（</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抓好高标农田建设项目实施。</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年度5.</w:t>
      </w:r>
      <w:r>
        <w:rPr>
          <w:rFonts w:hint="eastAsia" w:ascii="仿宋" w:hAnsi="仿宋" w:eastAsia="仿宋" w:cs="仿宋"/>
          <w:sz w:val="30"/>
          <w:szCs w:val="30"/>
          <w:lang w:val="en-US" w:eastAsia="zh-CN"/>
        </w:rPr>
        <w:t>58</w:t>
      </w:r>
      <w:r>
        <w:rPr>
          <w:rFonts w:hint="eastAsia" w:ascii="仿宋" w:hAnsi="仿宋" w:eastAsia="仿宋" w:cs="仿宋"/>
          <w:sz w:val="30"/>
          <w:szCs w:val="30"/>
        </w:rPr>
        <w:t>万亩高标准农田建设项目全部竣工。202</w:t>
      </w:r>
      <w:r>
        <w:rPr>
          <w:rFonts w:hint="eastAsia" w:ascii="仿宋" w:hAnsi="仿宋" w:eastAsia="仿宋" w:cs="仿宋"/>
          <w:sz w:val="30"/>
          <w:szCs w:val="30"/>
          <w:lang w:val="en-US" w:eastAsia="zh-CN"/>
        </w:rPr>
        <w:t>1</w:t>
      </w:r>
      <w:r>
        <w:rPr>
          <w:rFonts w:hint="eastAsia" w:ascii="仿宋" w:hAnsi="仿宋" w:eastAsia="仿宋" w:cs="仿宋"/>
          <w:sz w:val="30"/>
          <w:szCs w:val="30"/>
        </w:rPr>
        <w:t>年5.68万亩高标准农田建设项目</w:t>
      </w:r>
      <w:r>
        <w:rPr>
          <w:rFonts w:hint="eastAsia" w:ascii="仿宋" w:hAnsi="仿宋" w:eastAsia="仿宋" w:cs="仿宋"/>
          <w:sz w:val="30"/>
          <w:szCs w:val="30"/>
          <w:lang w:val="en-US" w:eastAsia="zh-CN"/>
        </w:rPr>
        <w:t>完成主体工程的90%</w:t>
      </w:r>
      <w:r>
        <w:rPr>
          <w:rFonts w:hint="eastAsia" w:ascii="仿宋" w:hAnsi="仿宋" w:eastAsia="仿宋" w:cs="仿宋"/>
          <w:sz w:val="30"/>
          <w:szCs w:val="30"/>
          <w:lang w:eastAsia="zh-CN"/>
        </w:rPr>
        <w:t>。</w:t>
      </w:r>
    </w:p>
    <w:p>
      <w:pPr>
        <w:pStyle w:val="6"/>
        <w:ind w:left="0" w:leftChars="0" w:firstLine="0" w:firstLineChars="0"/>
        <w:rPr>
          <w:rFonts w:hint="eastAsia" w:ascii="仿宋" w:hAnsi="仿宋" w:eastAsia="仿宋" w:cs="仿宋"/>
          <w:b w:val="0"/>
          <w:bCs w:val="0"/>
          <w:kern w:val="2"/>
          <w:sz w:val="30"/>
          <w:szCs w:val="30"/>
          <w:lang w:val="en-US" w:eastAsia="zh-CN" w:bidi="ar-SA"/>
        </w:rPr>
      </w:pPr>
      <w:r>
        <w:rPr>
          <w:rFonts w:hint="eastAsia" w:ascii="仿宋" w:hAnsi="仿宋" w:eastAsia="仿宋" w:cs="仿宋"/>
          <w:b/>
          <w:kern w:val="2"/>
          <w:sz w:val="30"/>
          <w:szCs w:val="30"/>
          <w:lang w:val="en-US" w:eastAsia="zh-CN" w:bidi="ar-SA"/>
        </w:rPr>
        <w:t>　　（5）抓好特色产业发展。</w:t>
      </w:r>
      <w:r>
        <w:rPr>
          <w:rFonts w:hint="eastAsia" w:ascii="仿宋" w:hAnsi="仿宋" w:eastAsia="仿宋" w:cs="仿宋"/>
          <w:b w:val="0"/>
          <w:bCs w:val="0"/>
          <w:kern w:val="2"/>
          <w:sz w:val="30"/>
          <w:szCs w:val="30"/>
          <w:lang w:val="en-US" w:eastAsia="zh-CN" w:bidi="ar-SA"/>
        </w:rPr>
        <w:t>坚持产业发展与扶贫相结合，大力发展扶贫特色产业，做好产业发展后续巩固提升工作。</w:t>
      </w:r>
      <w:r>
        <w:rPr>
          <w:rFonts w:hint="eastAsia" w:ascii="仿宋" w:hAnsi="仿宋" w:eastAsia="仿宋" w:cs="仿宋"/>
          <w:b/>
          <w:kern w:val="2"/>
          <w:sz w:val="30"/>
          <w:szCs w:val="30"/>
          <w:lang w:val="en-US" w:eastAsia="zh-CN" w:bidi="ar-SA"/>
        </w:rPr>
        <w:t>　　              （6）推进六大强农行动。</w:t>
      </w:r>
      <w:r>
        <w:rPr>
          <w:rFonts w:hint="eastAsia" w:ascii="仿宋" w:hAnsi="仿宋" w:eastAsia="仿宋" w:cs="仿宋"/>
          <w:sz w:val="30"/>
          <w:szCs w:val="30"/>
        </w:rPr>
        <w:t>年内新增</w:t>
      </w:r>
      <w:r>
        <w:rPr>
          <w:rFonts w:hint="eastAsia" w:ascii="仿宋" w:hAnsi="仿宋" w:eastAsia="仿宋" w:cs="仿宋"/>
          <w:sz w:val="30"/>
          <w:szCs w:val="30"/>
          <w:lang w:val="en-US" w:eastAsia="zh-CN"/>
        </w:rPr>
        <w:t>9</w:t>
      </w:r>
      <w:r>
        <w:rPr>
          <w:rFonts w:hint="eastAsia" w:ascii="仿宋" w:hAnsi="仿宋" w:eastAsia="仿宋" w:cs="仿宋"/>
          <w:sz w:val="30"/>
          <w:szCs w:val="30"/>
        </w:rPr>
        <w:t>家企业</w:t>
      </w:r>
      <w:r>
        <w:rPr>
          <w:rFonts w:hint="eastAsia" w:ascii="仿宋" w:hAnsi="仿宋" w:eastAsia="仿宋" w:cs="仿宋"/>
          <w:sz w:val="30"/>
          <w:szCs w:val="30"/>
          <w:lang w:val="en-US" w:eastAsia="zh-CN"/>
        </w:rPr>
        <w:t>21</w:t>
      </w:r>
      <w:r>
        <w:rPr>
          <w:rFonts w:hint="eastAsia" w:ascii="仿宋" w:hAnsi="仿宋" w:eastAsia="仿宋" w:cs="仿宋"/>
          <w:sz w:val="30"/>
          <w:szCs w:val="30"/>
        </w:rPr>
        <w:t>个产品纳入“邵阳红”农产品公用品牌名录</w:t>
      </w:r>
      <w:r>
        <w:rPr>
          <w:rFonts w:hint="eastAsia" w:ascii="仿宋" w:hAnsi="仿宋" w:eastAsia="仿宋" w:cs="仿宋"/>
          <w:sz w:val="30"/>
          <w:szCs w:val="30"/>
          <w:lang w:eastAsia="zh-CN"/>
        </w:rPr>
        <w:t>，</w:t>
      </w:r>
      <w:r>
        <w:rPr>
          <w:rFonts w:hint="eastAsia" w:ascii="仿宋" w:hAnsi="仿宋" w:eastAsia="仿宋" w:cs="仿宋"/>
          <w:b w:val="0"/>
          <w:bCs w:val="0"/>
          <w:kern w:val="2"/>
          <w:sz w:val="30"/>
          <w:szCs w:val="30"/>
          <w:lang w:val="en-US" w:eastAsia="zh-CN" w:bidi="ar-SA"/>
        </w:rPr>
        <w:t>新增市级龙头企业13家，新增规模以上涉农企业6家。</w:t>
      </w:r>
    </w:p>
    <w:p>
      <w:pPr>
        <w:adjustRightInd w:val="0"/>
        <w:snapToGrid w:val="0"/>
        <w:spacing w:line="560" w:lineRule="exact"/>
        <w:rPr>
          <w:rFonts w:hint="eastAsia" w:ascii="仿宋" w:hAnsi="仿宋" w:eastAsia="仿宋" w:cs="仿宋"/>
          <w:sz w:val="30"/>
          <w:szCs w:val="30"/>
          <w:lang w:eastAsia="zh-CN"/>
        </w:rPr>
      </w:pPr>
      <w:r>
        <w:rPr>
          <w:rFonts w:hint="eastAsia" w:ascii="仿宋" w:hAnsi="仿宋" w:eastAsia="仿宋" w:cs="仿宋"/>
          <w:b/>
          <w:kern w:val="2"/>
          <w:sz w:val="30"/>
          <w:szCs w:val="30"/>
          <w:lang w:val="en-US" w:eastAsia="zh-CN" w:bidi="ar-SA"/>
        </w:rPr>
        <w:t>　　（7）抓好农村人居环境整治工作。</w:t>
      </w:r>
      <w:r>
        <w:rPr>
          <w:rFonts w:hint="eastAsia" w:ascii="仿宋" w:hAnsi="仿宋" w:eastAsia="仿宋" w:cs="仿宋"/>
          <w:sz w:val="30"/>
          <w:szCs w:val="30"/>
          <w:lang w:val="en-US" w:eastAsia="zh-CN"/>
        </w:rPr>
        <w:t>继续开展人居环境整治工作，全面推广垃圾分类减量工作</w:t>
      </w:r>
      <w:r>
        <w:rPr>
          <w:rFonts w:hint="eastAsia" w:ascii="仿宋" w:hAnsi="仿宋" w:eastAsia="仿宋" w:cs="仿宋"/>
          <w:sz w:val="30"/>
          <w:szCs w:val="30"/>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lang w:eastAsia="zh-CN"/>
        </w:rPr>
        <w:t>（三）</w:t>
      </w:r>
      <w:r>
        <w:rPr>
          <w:rFonts w:hint="eastAsia" w:ascii="仿宋" w:hAnsi="仿宋" w:eastAsia="仿宋" w:cs="仿宋"/>
          <w:b/>
          <w:bCs/>
          <w:sz w:val="30"/>
          <w:szCs w:val="30"/>
          <w:lang w:val="en-US" w:eastAsia="zh-CN"/>
        </w:rPr>
        <w:t>部门整体支出情况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2021</w:t>
      </w:r>
      <w:r>
        <w:rPr>
          <w:rFonts w:hint="eastAsia" w:ascii="仿宋" w:hAnsi="仿宋" w:eastAsia="仿宋" w:cs="仿宋"/>
          <w:sz w:val="30"/>
          <w:szCs w:val="30"/>
        </w:rPr>
        <w:t>年</w:t>
      </w:r>
      <w:r>
        <w:rPr>
          <w:rFonts w:hint="eastAsia" w:ascii="仿宋" w:hAnsi="仿宋" w:eastAsia="仿宋" w:cs="仿宋"/>
          <w:sz w:val="30"/>
          <w:szCs w:val="30"/>
          <w:lang w:eastAsia="zh-CN"/>
        </w:rPr>
        <w:t>部门整体</w:t>
      </w:r>
      <w:r>
        <w:rPr>
          <w:rFonts w:hint="eastAsia" w:ascii="仿宋" w:hAnsi="仿宋" w:eastAsia="仿宋" w:cs="仿宋"/>
          <w:sz w:val="30"/>
          <w:szCs w:val="30"/>
        </w:rPr>
        <w:t>支出</w:t>
      </w:r>
      <w:r>
        <w:rPr>
          <w:rFonts w:hint="eastAsia" w:ascii="仿宋" w:hAnsi="仿宋" w:eastAsia="仿宋" w:cs="仿宋"/>
          <w:sz w:val="30"/>
          <w:szCs w:val="30"/>
          <w:lang w:val="en-US" w:eastAsia="zh-CN"/>
        </w:rPr>
        <w:t>25123.57万</w:t>
      </w:r>
      <w:r>
        <w:rPr>
          <w:rFonts w:hint="eastAsia" w:ascii="仿宋" w:hAnsi="仿宋" w:eastAsia="仿宋" w:cs="仿宋"/>
          <w:sz w:val="30"/>
          <w:szCs w:val="30"/>
        </w:rPr>
        <w:t>元，具体支出情况如下：</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基本支出：</w:t>
      </w:r>
      <w:r>
        <w:rPr>
          <w:rFonts w:hint="eastAsia" w:ascii="仿宋" w:hAnsi="仿宋" w:eastAsia="仿宋" w:cs="仿宋"/>
          <w:sz w:val="30"/>
          <w:szCs w:val="30"/>
          <w:lang w:val="en-US" w:eastAsia="zh-CN"/>
        </w:rPr>
        <w:t>2021</w:t>
      </w:r>
      <w:r>
        <w:rPr>
          <w:rFonts w:hint="eastAsia" w:ascii="仿宋" w:hAnsi="仿宋" w:eastAsia="仿宋" w:cs="仿宋"/>
          <w:sz w:val="30"/>
          <w:szCs w:val="30"/>
        </w:rPr>
        <w:t>年决算支出为</w:t>
      </w:r>
      <w:r>
        <w:rPr>
          <w:rFonts w:hint="eastAsia" w:ascii="仿宋" w:hAnsi="仿宋" w:eastAsia="仿宋" w:cs="仿宋"/>
          <w:sz w:val="30"/>
          <w:szCs w:val="30"/>
          <w:lang w:val="en-US" w:eastAsia="zh-CN"/>
        </w:rPr>
        <w:t>3290.2万</w:t>
      </w:r>
      <w:r>
        <w:rPr>
          <w:rFonts w:hint="eastAsia" w:ascii="仿宋" w:hAnsi="仿宋" w:eastAsia="仿宋" w:cs="仿宋"/>
          <w:sz w:val="30"/>
          <w:szCs w:val="30"/>
        </w:rPr>
        <w:t>元，是指为保障单位机构正常运转、完成日常工作任务而发生的各项支出。包括用于基本工资、津贴补贴等人员经费及办公费、印刷费、水电费及办公设备购置等日常公用经费。</w:t>
      </w:r>
    </w:p>
    <w:p>
      <w:pPr>
        <w:keepNext w:val="0"/>
        <w:keepLines w:val="0"/>
        <w:pageBreakBefore w:val="0"/>
        <w:widowControl w:val="0"/>
        <w:numPr>
          <w:ilvl w:val="0"/>
          <w:numId w:val="0"/>
        </w:numPr>
        <w:kinsoku/>
        <w:wordWrap/>
        <w:overflowPunct/>
        <w:topLinePunct w:val="0"/>
        <w:autoSpaceDE/>
        <w:autoSpaceDN/>
        <w:bidi w:val="0"/>
        <w:spacing w:line="640" w:lineRule="exact"/>
        <w:ind w:right="0" w:rightChars="0"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项目支出：</w:t>
      </w: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年决算支出为</w:t>
      </w:r>
      <w:r>
        <w:rPr>
          <w:rFonts w:hint="eastAsia" w:ascii="仿宋" w:hAnsi="仿宋" w:eastAsia="仿宋" w:cs="仿宋"/>
          <w:sz w:val="30"/>
          <w:szCs w:val="30"/>
          <w:lang w:val="en-US" w:eastAsia="zh-CN"/>
        </w:rPr>
        <w:t>21833.37万</w:t>
      </w:r>
      <w:r>
        <w:rPr>
          <w:rFonts w:hint="eastAsia" w:ascii="仿宋" w:hAnsi="仿宋" w:eastAsia="仿宋" w:cs="仿宋"/>
          <w:sz w:val="30"/>
          <w:szCs w:val="30"/>
        </w:rPr>
        <w:t>元，是指单位为完成选定行政工作或事业发展目标而发生的支出。</w:t>
      </w:r>
    </w:p>
    <w:p>
      <w:pPr>
        <w:keepNext w:val="0"/>
        <w:keepLines w:val="0"/>
        <w:pageBreakBefore w:val="0"/>
        <w:widowControl w:val="0"/>
        <w:numPr>
          <w:ilvl w:val="0"/>
          <w:numId w:val="0"/>
        </w:numPr>
        <w:kinsoku/>
        <w:wordWrap/>
        <w:overflowPunct/>
        <w:topLinePunct w:val="0"/>
        <w:autoSpaceDE/>
        <w:autoSpaceDN/>
        <w:bidi w:val="0"/>
        <w:spacing w:line="640" w:lineRule="exact"/>
        <w:ind w:right="0" w:rightChars="0"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二、部门整体支出管理及使用情况</w:t>
      </w:r>
    </w:p>
    <w:p>
      <w:pPr>
        <w:keepNext w:val="0"/>
        <w:keepLines w:val="0"/>
        <w:pageBreakBefore w:val="0"/>
        <w:widowControl w:val="0"/>
        <w:kinsoku/>
        <w:wordWrap/>
        <w:overflowPunct/>
        <w:topLinePunct w:val="0"/>
        <w:autoSpaceDE/>
        <w:autoSpaceDN/>
        <w:bidi w:val="0"/>
        <w:spacing w:line="640" w:lineRule="exact"/>
        <w:ind w:right="0" w:rightChars="0" w:firstLine="452" w:firstLineChars="15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（一）基本支出情况</w:t>
      </w:r>
    </w:p>
    <w:p>
      <w:pPr>
        <w:keepNext w:val="0"/>
        <w:keepLines w:val="0"/>
        <w:pageBreakBefore w:val="0"/>
        <w:widowControl w:val="0"/>
        <w:kinsoku/>
        <w:wordWrap/>
        <w:overflowPunct/>
        <w:topLinePunct w:val="0"/>
        <w:autoSpaceDE/>
        <w:autoSpaceDN/>
        <w:bidi w:val="0"/>
        <w:spacing w:line="640" w:lineRule="exact"/>
        <w:ind w:right="0" w:righ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hint="eastAsia" w:ascii="仿宋" w:hAnsi="仿宋" w:eastAsia="仿宋" w:cs="仿宋"/>
          <w:sz w:val="30"/>
          <w:szCs w:val="30"/>
          <w:lang w:eastAsia="zh-CN"/>
        </w:rPr>
        <w:t>基本</w:t>
      </w:r>
      <w:r>
        <w:rPr>
          <w:rFonts w:hint="eastAsia" w:ascii="仿宋" w:hAnsi="仿宋" w:eastAsia="仿宋" w:cs="仿宋"/>
          <w:sz w:val="30"/>
          <w:szCs w:val="30"/>
        </w:rPr>
        <w:t>支出为</w:t>
      </w:r>
      <w:r>
        <w:rPr>
          <w:rFonts w:hint="eastAsia" w:ascii="仿宋" w:hAnsi="仿宋" w:eastAsia="仿宋" w:cs="仿宋"/>
          <w:sz w:val="30"/>
          <w:szCs w:val="30"/>
          <w:lang w:val="en-US" w:eastAsia="zh-CN"/>
        </w:rPr>
        <w:t>3290.2万</w:t>
      </w:r>
      <w:r>
        <w:rPr>
          <w:rFonts w:hint="eastAsia" w:ascii="仿宋" w:hAnsi="仿宋" w:eastAsia="仿宋" w:cs="仿宋"/>
          <w:sz w:val="30"/>
          <w:szCs w:val="30"/>
        </w:rPr>
        <w:t>元，</w:t>
      </w:r>
      <w:r>
        <w:rPr>
          <w:rFonts w:hint="eastAsia" w:ascii="仿宋" w:hAnsi="仿宋" w:eastAsia="仿宋" w:cs="仿宋"/>
          <w:sz w:val="30"/>
          <w:szCs w:val="30"/>
          <w:lang w:eastAsia="zh-CN"/>
        </w:rPr>
        <w:t>其中按支出性质和经济分类：人员经费</w:t>
      </w:r>
      <w:r>
        <w:rPr>
          <w:rFonts w:hint="eastAsia" w:ascii="仿宋" w:hAnsi="仿宋" w:eastAsia="仿宋" w:cs="仿宋"/>
          <w:sz w:val="30"/>
          <w:szCs w:val="30"/>
          <w:lang w:val="en-US" w:eastAsia="zh-CN"/>
        </w:rPr>
        <w:t>2793.44万元，日常公用经费496.76万元。</w:t>
      </w:r>
    </w:p>
    <w:p>
      <w:pPr>
        <w:keepNext w:val="0"/>
        <w:keepLines w:val="0"/>
        <w:pageBreakBefore w:val="0"/>
        <w:widowControl w:val="0"/>
        <w:numPr>
          <w:ilvl w:val="0"/>
          <w:numId w:val="3"/>
        </w:numPr>
        <w:kinsoku/>
        <w:wordWrap/>
        <w:overflowPunct/>
        <w:topLinePunct w:val="0"/>
        <w:autoSpaceDE/>
        <w:autoSpaceDN/>
        <w:bidi w:val="0"/>
        <w:spacing w:line="640" w:lineRule="exact"/>
        <w:ind w:right="0" w:rightChars="0" w:firstLine="452" w:firstLineChars="15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项目支出情况</w:t>
      </w:r>
    </w:p>
    <w:p>
      <w:pPr>
        <w:ind w:firstLine="645"/>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hint="eastAsia" w:ascii="仿宋" w:hAnsi="仿宋" w:eastAsia="仿宋" w:cs="仿宋"/>
          <w:sz w:val="30"/>
          <w:szCs w:val="30"/>
          <w:lang w:eastAsia="zh-CN"/>
        </w:rPr>
        <w:t>项目支出</w:t>
      </w:r>
      <w:r>
        <w:rPr>
          <w:rFonts w:hint="eastAsia" w:ascii="仿宋" w:hAnsi="仿宋" w:eastAsia="仿宋" w:cs="仿宋"/>
          <w:sz w:val="30"/>
          <w:szCs w:val="30"/>
        </w:rPr>
        <w:t>为</w:t>
      </w:r>
      <w:r>
        <w:rPr>
          <w:rFonts w:hint="eastAsia" w:ascii="仿宋" w:hAnsi="仿宋" w:eastAsia="仿宋" w:cs="仿宋"/>
          <w:sz w:val="30"/>
          <w:szCs w:val="30"/>
          <w:lang w:val="en-US" w:eastAsia="zh-CN"/>
        </w:rPr>
        <w:t>21833.37万</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b w:val="0"/>
          <w:bCs w:val="0"/>
          <w:sz w:val="30"/>
          <w:szCs w:val="30"/>
        </w:rPr>
        <w:t>其中：</w:t>
      </w:r>
      <w:r>
        <w:rPr>
          <w:rFonts w:hint="eastAsia" w:ascii="仿宋" w:hAnsi="仿宋" w:eastAsia="仿宋" w:cs="仿宋"/>
          <w:sz w:val="30"/>
          <w:szCs w:val="30"/>
        </w:rPr>
        <w:t>商品和服务支出</w:t>
      </w:r>
      <w:r>
        <w:rPr>
          <w:rFonts w:hint="eastAsia" w:ascii="仿宋" w:hAnsi="仿宋" w:eastAsia="仿宋" w:cs="仿宋"/>
          <w:sz w:val="30"/>
          <w:szCs w:val="30"/>
          <w:lang w:val="en-US" w:eastAsia="zh-CN"/>
        </w:rPr>
        <w:t>1412.18万</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rPr>
        <w:t>对个人和家庭的补助</w:t>
      </w:r>
      <w:r>
        <w:rPr>
          <w:rFonts w:hint="eastAsia" w:ascii="仿宋" w:hAnsi="仿宋" w:eastAsia="仿宋" w:cs="仿宋"/>
          <w:sz w:val="30"/>
          <w:szCs w:val="30"/>
          <w:lang w:val="en-US" w:eastAsia="zh-CN"/>
        </w:rPr>
        <w:t>14804.75</w:t>
      </w:r>
      <w:r>
        <w:rPr>
          <w:rFonts w:hint="eastAsia" w:ascii="仿宋" w:hAnsi="仿宋" w:eastAsia="仿宋" w:cs="仿宋"/>
          <w:sz w:val="30"/>
          <w:szCs w:val="30"/>
        </w:rPr>
        <w:t>元（主要用于补贴所有拥有耕地承包权的种地农民耕地地力保护和从事主要粮食作物适度规模生产的种粮大户</w:t>
      </w:r>
      <w:r>
        <w:rPr>
          <w:rFonts w:hint="eastAsia" w:ascii="仿宋" w:hAnsi="仿宋" w:eastAsia="仿宋" w:cs="仿宋"/>
          <w:sz w:val="30"/>
          <w:szCs w:val="30"/>
          <w:lang w:eastAsia="zh-CN"/>
        </w:rPr>
        <w:t>、</w:t>
      </w:r>
      <w:r>
        <w:rPr>
          <w:rFonts w:hint="eastAsia" w:ascii="仿宋" w:hAnsi="仿宋" w:eastAsia="仿宋" w:cs="仿宋"/>
          <w:sz w:val="30"/>
          <w:szCs w:val="30"/>
        </w:rPr>
        <w:t>种粮合作社及粮食生产社会化服务组织）；</w:t>
      </w:r>
      <w:r>
        <w:rPr>
          <w:rFonts w:hint="eastAsia" w:ascii="仿宋" w:hAnsi="仿宋" w:eastAsia="仿宋" w:cs="仿宋"/>
          <w:sz w:val="30"/>
          <w:szCs w:val="30"/>
          <w:lang w:eastAsia="zh-CN"/>
        </w:rPr>
        <w:t>资本性支出</w:t>
      </w:r>
      <w:r>
        <w:rPr>
          <w:rFonts w:hint="eastAsia" w:ascii="仿宋" w:hAnsi="仿宋" w:eastAsia="仿宋" w:cs="仿宋"/>
          <w:sz w:val="30"/>
          <w:szCs w:val="30"/>
          <w:lang w:val="en-US" w:eastAsia="zh-CN"/>
        </w:rPr>
        <w:t>1654.96万</w:t>
      </w:r>
      <w:r>
        <w:rPr>
          <w:rFonts w:hint="eastAsia" w:ascii="仿宋" w:hAnsi="仿宋" w:eastAsia="仿宋" w:cs="仿宋"/>
          <w:sz w:val="30"/>
          <w:szCs w:val="30"/>
        </w:rPr>
        <w:t>元</w:t>
      </w:r>
      <w:r>
        <w:rPr>
          <w:rFonts w:hint="eastAsia" w:ascii="仿宋" w:hAnsi="仿宋" w:eastAsia="仿宋" w:cs="仿宋"/>
          <w:sz w:val="30"/>
          <w:szCs w:val="30"/>
          <w:lang w:eastAsia="zh-CN"/>
        </w:rPr>
        <w:t>；对企业补助</w:t>
      </w:r>
      <w:r>
        <w:rPr>
          <w:rFonts w:hint="eastAsia" w:ascii="仿宋" w:hAnsi="仿宋" w:eastAsia="仿宋" w:cs="仿宋"/>
          <w:sz w:val="30"/>
          <w:szCs w:val="30"/>
          <w:lang w:val="en-US" w:eastAsia="zh-CN"/>
        </w:rPr>
        <w:t>3961.48万元</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spacing w:line="640" w:lineRule="exact"/>
        <w:ind w:right="0" w:rightChars="0" w:firstLine="452" w:firstLineChars="15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（三）“三公”经费情况</w:t>
      </w:r>
    </w:p>
    <w:p>
      <w:pPr>
        <w:keepNext w:val="0"/>
        <w:keepLines w:val="0"/>
        <w:pageBreakBefore w:val="0"/>
        <w:widowControl w:val="0"/>
        <w:kinsoku/>
        <w:wordWrap/>
        <w:overflowPunct/>
        <w:topLinePunct w:val="0"/>
        <w:autoSpaceDE/>
        <w:autoSpaceDN/>
        <w:bidi w:val="0"/>
        <w:spacing w:line="640" w:lineRule="exact"/>
        <w:ind w:right="0" w:rightChars="0" w:firstLine="452" w:firstLineChars="15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1、因公出国（境）费用</w:t>
      </w:r>
    </w:p>
    <w:p>
      <w:pPr>
        <w:keepNext w:val="0"/>
        <w:keepLines w:val="0"/>
        <w:pageBreakBefore w:val="0"/>
        <w:widowControl w:val="0"/>
        <w:kinsoku/>
        <w:wordWrap/>
        <w:overflowPunct/>
        <w:topLinePunct w:val="0"/>
        <w:autoSpaceDE/>
        <w:autoSpaceDN/>
        <w:bidi w:val="0"/>
        <w:spacing w:line="640" w:lineRule="exact"/>
        <w:ind w:right="0" w:rightChars="0" w:firstLine="450" w:firstLineChars="15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2021年度我局无因公出国（境）费用支出。</w:t>
      </w:r>
    </w:p>
    <w:p>
      <w:pPr>
        <w:keepNext w:val="0"/>
        <w:keepLines w:val="0"/>
        <w:pageBreakBefore w:val="0"/>
        <w:widowControl w:val="0"/>
        <w:numPr>
          <w:ilvl w:val="0"/>
          <w:numId w:val="4"/>
        </w:numPr>
        <w:kinsoku/>
        <w:wordWrap/>
        <w:overflowPunct/>
        <w:topLinePunct w:val="0"/>
        <w:autoSpaceDE/>
        <w:autoSpaceDN/>
        <w:bidi w:val="0"/>
        <w:spacing w:line="640" w:lineRule="exact"/>
        <w:ind w:right="0" w:rightChars="0" w:firstLine="452" w:firstLineChars="15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公务接待费</w:t>
      </w:r>
    </w:p>
    <w:p>
      <w:pPr>
        <w:keepNext w:val="0"/>
        <w:keepLines w:val="0"/>
        <w:pageBreakBefore w:val="0"/>
        <w:widowControl w:val="0"/>
        <w:kinsoku/>
        <w:wordWrap/>
        <w:overflowPunct/>
        <w:topLinePunct w:val="0"/>
        <w:autoSpaceDE/>
        <w:autoSpaceDN/>
        <w:bidi w:val="0"/>
        <w:spacing w:line="640" w:lineRule="exact"/>
        <w:ind w:right="0" w:rightChars="0" w:firstLine="600"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年我局公务招待费</w:t>
      </w:r>
      <w:r>
        <w:rPr>
          <w:rFonts w:hint="eastAsia" w:ascii="仿宋" w:hAnsi="仿宋" w:eastAsia="仿宋" w:cs="仿宋"/>
          <w:sz w:val="30"/>
          <w:szCs w:val="30"/>
          <w:lang w:eastAsia="zh-CN"/>
        </w:rPr>
        <w:t>支出</w:t>
      </w:r>
      <w:r>
        <w:rPr>
          <w:rFonts w:hint="eastAsia" w:ascii="仿宋" w:hAnsi="仿宋" w:eastAsia="仿宋" w:cs="仿宋"/>
          <w:sz w:val="30"/>
          <w:szCs w:val="30"/>
          <w:lang w:val="en-US" w:eastAsia="zh-CN"/>
        </w:rPr>
        <w:t>180334</w:t>
      </w:r>
      <w:r>
        <w:rPr>
          <w:rFonts w:hint="eastAsia" w:ascii="仿宋" w:hAnsi="仿宋" w:eastAsia="仿宋" w:cs="仿宋"/>
          <w:sz w:val="30"/>
          <w:szCs w:val="30"/>
        </w:rPr>
        <w:t>元。公务接待费主要用于20</w:t>
      </w:r>
      <w:r>
        <w:rPr>
          <w:rFonts w:hint="eastAsia" w:ascii="仿宋" w:hAnsi="仿宋" w:eastAsia="仿宋" w:cs="仿宋"/>
          <w:sz w:val="30"/>
          <w:szCs w:val="30"/>
          <w:lang w:val="en-US" w:eastAsia="zh-CN"/>
        </w:rPr>
        <w:t>21</w:t>
      </w:r>
      <w:r>
        <w:rPr>
          <w:rFonts w:hint="eastAsia" w:ascii="仿宋" w:hAnsi="仿宋" w:eastAsia="仿宋" w:cs="仿宋"/>
          <w:sz w:val="30"/>
          <w:szCs w:val="30"/>
        </w:rPr>
        <w:t>年省市对全省粮食生产先进县的检查、评比、考核、验收、超级稻高产攻关、实施全县基层农技体系建设、</w:t>
      </w:r>
      <w:r>
        <w:rPr>
          <w:rFonts w:hint="eastAsia" w:ascii="仿宋" w:hAnsi="仿宋" w:eastAsia="仿宋" w:cs="仿宋"/>
          <w:sz w:val="30"/>
          <w:szCs w:val="30"/>
          <w:lang w:eastAsia="zh-CN"/>
        </w:rPr>
        <w:t>新型职业农民培育工程</w:t>
      </w:r>
      <w:r>
        <w:rPr>
          <w:rFonts w:hint="eastAsia" w:ascii="仿宋" w:hAnsi="仿宋" w:eastAsia="仿宋" w:cs="仿宋"/>
          <w:sz w:val="30"/>
          <w:szCs w:val="30"/>
        </w:rPr>
        <w:t>、实施新增粮食产能田间工程开支。</w:t>
      </w:r>
    </w:p>
    <w:p>
      <w:pPr>
        <w:keepNext w:val="0"/>
        <w:keepLines w:val="0"/>
        <w:pageBreakBefore w:val="0"/>
        <w:widowControl w:val="0"/>
        <w:numPr>
          <w:ilvl w:val="0"/>
          <w:numId w:val="4"/>
        </w:numPr>
        <w:kinsoku/>
        <w:wordWrap/>
        <w:overflowPunct/>
        <w:topLinePunct w:val="0"/>
        <w:autoSpaceDE/>
        <w:autoSpaceDN/>
        <w:bidi w:val="0"/>
        <w:spacing w:line="640" w:lineRule="exact"/>
        <w:ind w:right="0" w:rightChars="0" w:firstLine="452" w:firstLineChars="15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公务用车购置及运行费</w:t>
      </w:r>
    </w:p>
    <w:p>
      <w:pPr>
        <w:keepNext w:val="0"/>
        <w:keepLines w:val="0"/>
        <w:pageBreakBefore w:val="0"/>
        <w:widowControl w:val="0"/>
        <w:kinsoku/>
        <w:wordWrap/>
        <w:overflowPunct/>
        <w:topLinePunct w:val="0"/>
        <w:autoSpaceDE/>
        <w:autoSpaceDN/>
        <w:bidi w:val="0"/>
        <w:spacing w:line="640" w:lineRule="exact"/>
        <w:ind w:right="0" w:rightChars="0" w:firstLine="645"/>
        <w:jc w:val="both"/>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2021年</w:t>
      </w:r>
      <w:r>
        <w:rPr>
          <w:rFonts w:hint="eastAsia" w:ascii="仿宋" w:hAnsi="仿宋" w:eastAsia="仿宋" w:cs="仿宋"/>
          <w:sz w:val="30"/>
          <w:szCs w:val="30"/>
        </w:rPr>
        <w:t>公务用车</w:t>
      </w:r>
      <w:r>
        <w:rPr>
          <w:rFonts w:hint="eastAsia" w:ascii="仿宋" w:hAnsi="仿宋" w:eastAsia="仿宋" w:cs="仿宋"/>
          <w:sz w:val="30"/>
          <w:szCs w:val="30"/>
          <w:lang w:eastAsia="zh-CN"/>
        </w:rPr>
        <w:t>运行</w:t>
      </w:r>
      <w:r>
        <w:rPr>
          <w:rFonts w:hint="eastAsia" w:ascii="仿宋" w:hAnsi="仿宋" w:eastAsia="仿宋" w:cs="仿宋"/>
          <w:sz w:val="30"/>
          <w:szCs w:val="30"/>
        </w:rPr>
        <w:t>费</w:t>
      </w:r>
      <w:r>
        <w:rPr>
          <w:rFonts w:hint="eastAsia" w:ascii="仿宋" w:hAnsi="仿宋" w:eastAsia="仿宋" w:cs="仿宋"/>
          <w:sz w:val="30"/>
          <w:szCs w:val="30"/>
          <w:lang w:val="en-US" w:eastAsia="zh-CN"/>
        </w:rPr>
        <w:t>支出195344</w:t>
      </w:r>
      <w:r>
        <w:rPr>
          <w:rFonts w:hint="eastAsia" w:ascii="仿宋" w:hAnsi="仿宋" w:eastAsia="仿宋" w:cs="仿宋"/>
          <w:sz w:val="30"/>
          <w:szCs w:val="30"/>
        </w:rPr>
        <w:t>元。我局实有公务车</w:t>
      </w:r>
      <w:r>
        <w:rPr>
          <w:rFonts w:hint="eastAsia" w:ascii="仿宋" w:hAnsi="仿宋" w:eastAsia="仿宋" w:cs="仿宋"/>
          <w:sz w:val="30"/>
          <w:szCs w:val="30"/>
          <w:lang w:val="en-US" w:eastAsia="zh-CN"/>
        </w:rPr>
        <w:t>4</w:t>
      </w:r>
      <w:r>
        <w:rPr>
          <w:rFonts w:hint="eastAsia" w:ascii="仿宋" w:hAnsi="仿宋" w:eastAsia="仿宋" w:cs="仿宋"/>
          <w:sz w:val="30"/>
          <w:szCs w:val="30"/>
        </w:rPr>
        <w:t>台。</w:t>
      </w:r>
    </w:p>
    <w:p>
      <w:pPr>
        <w:keepNext w:val="0"/>
        <w:keepLines w:val="0"/>
        <w:pageBreakBefore w:val="0"/>
        <w:widowControl w:val="0"/>
        <w:kinsoku/>
        <w:wordWrap/>
        <w:overflowPunct/>
        <w:topLinePunct w:val="0"/>
        <w:autoSpaceDE/>
        <w:autoSpaceDN/>
        <w:bidi w:val="0"/>
        <w:adjustRightInd/>
        <w:snapToGrid/>
        <w:spacing w:line="640" w:lineRule="exact"/>
        <w:ind w:left="2" w:leftChars="1" w:right="0" w:rightChars="0" w:firstLine="630" w:firstLineChars="21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sz w:val="30"/>
          <w:szCs w:val="30"/>
          <w:lang w:eastAsia="zh-CN"/>
        </w:rPr>
        <w:t>部门整体支出资金管理</w:t>
      </w:r>
      <w:r>
        <w:rPr>
          <w:rFonts w:hint="eastAsia" w:ascii="仿宋" w:hAnsi="仿宋" w:eastAsia="仿宋" w:cs="仿宋"/>
          <w:sz w:val="30"/>
          <w:szCs w:val="30"/>
        </w:rPr>
        <w:t>严格按照</w:t>
      </w:r>
      <w:r>
        <w:rPr>
          <w:rFonts w:hint="eastAsia" w:ascii="仿宋" w:hAnsi="仿宋" w:eastAsia="仿宋" w:cs="仿宋"/>
          <w:sz w:val="30"/>
          <w:szCs w:val="30"/>
          <w:lang w:eastAsia="zh-CN"/>
        </w:rPr>
        <w:t>国家财政法规、</w:t>
      </w:r>
      <w:r>
        <w:rPr>
          <w:rFonts w:hint="eastAsia" w:ascii="仿宋" w:hAnsi="仿宋" w:eastAsia="仿宋" w:cs="仿宋"/>
          <w:sz w:val="30"/>
          <w:szCs w:val="30"/>
        </w:rPr>
        <w:t>《隆回县财政专项资金管理办法》和《隆回县人民政府办公室关于加强县本级财政专项资金管理的通知》（隆政办〔2013〕48号）文件要求，设立</w:t>
      </w:r>
      <w:r>
        <w:rPr>
          <w:rFonts w:hint="eastAsia" w:ascii="仿宋" w:hAnsi="仿宋" w:eastAsia="仿宋" w:cs="仿宋"/>
          <w:sz w:val="30"/>
          <w:szCs w:val="30"/>
          <w:lang w:eastAsia="zh-CN"/>
        </w:rPr>
        <w:t>项目</w:t>
      </w:r>
      <w:r>
        <w:rPr>
          <w:rFonts w:hint="eastAsia" w:ascii="仿宋" w:hAnsi="仿宋" w:eastAsia="仿宋" w:cs="仿宋"/>
          <w:sz w:val="30"/>
          <w:szCs w:val="30"/>
        </w:rPr>
        <w:t>资金专户、专帐专人管理</w:t>
      </w:r>
      <w:r>
        <w:rPr>
          <w:rFonts w:hint="eastAsia" w:ascii="仿宋" w:hAnsi="仿宋" w:eastAsia="仿宋" w:cs="仿宋"/>
          <w:sz w:val="30"/>
          <w:szCs w:val="30"/>
          <w:lang w:eastAsia="zh-CN"/>
        </w:rPr>
        <w:t>、</w:t>
      </w:r>
      <w:r>
        <w:rPr>
          <w:rFonts w:hint="eastAsia" w:ascii="仿宋" w:hAnsi="仿宋" w:eastAsia="仿宋" w:cs="仿宋"/>
          <w:sz w:val="30"/>
          <w:szCs w:val="30"/>
        </w:rPr>
        <w:t>国库集中支付、对项目资金实行全程监控。所有支出由经办人核实，分管领导审核，分管财务领导审核，农业、财政共同会审。项目实施单位申请支付项目款，须提供手续齐全合法的付款票据，做到了专项资金由实施单位按照实施内容和资金计划的准确使用。</w:t>
      </w:r>
      <w:r>
        <w:rPr>
          <w:rFonts w:hint="eastAsia" w:ascii="仿宋" w:hAnsi="仿宋" w:eastAsia="仿宋" w:cs="仿宋"/>
          <w:sz w:val="30"/>
          <w:szCs w:val="30"/>
          <w:shd w:val="clear" w:color="auto" w:fill="FFFFFF"/>
        </w:rPr>
        <w:t>确保</w:t>
      </w:r>
      <w:r>
        <w:rPr>
          <w:rFonts w:hint="eastAsia" w:ascii="仿宋" w:hAnsi="仿宋" w:eastAsia="仿宋" w:cs="仿宋"/>
          <w:sz w:val="30"/>
          <w:szCs w:val="30"/>
          <w:shd w:val="clear" w:color="auto" w:fill="FFFFFF"/>
          <w:lang w:eastAsia="zh-CN"/>
        </w:rPr>
        <w:t>了单位</w:t>
      </w:r>
      <w:r>
        <w:rPr>
          <w:rFonts w:hint="eastAsia" w:ascii="仿宋" w:hAnsi="仿宋" w:eastAsia="仿宋" w:cs="仿宋"/>
          <w:sz w:val="30"/>
          <w:szCs w:val="30"/>
          <w:shd w:val="clear" w:color="auto" w:fill="FFFFFF"/>
        </w:rPr>
        <w:t>正常运行，确保</w:t>
      </w:r>
      <w:r>
        <w:rPr>
          <w:rFonts w:hint="eastAsia" w:ascii="仿宋" w:hAnsi="仿宋" w:eastAsia="仿宋" w:cs="仿宋"/>
          <w:sz w:val="30"/>
          <w:szCs w:val="30"/>
          <w:shd w:val="clear" w:color="auto" w:fill="FFFFFF"/>
          <w:lang w:eastAsia="zh-CN"/>
        </w:rPr>
        <w:t>资金使用</w:t>
      </w:r>
      <w:r>
        <w:rPr>
          <w:rFonts w:hint="eastAsia" w:ascii="仿宋" w:hAnsi="仿宋" w:eastAsia="仿宋" w:cs="仿宋"/>
          <w:sz w:val="30"/>
          <w:szCs w:val="30"/>
          <w:shd w:val="clear" w:color="auto" w:fill="FFFFFF"/>
        </w:rPr>
        <w:t>效益最大化。</w:t>
      </w:r>
    </w:p>
    <w:p>
      <w:pPr>
        <w:keepNext w:val="0"/>
        <w:keepLines w:val="0"/>
        <w:pageBreakBefore w:val="0"/>
        <w:widowControl w:val="0"/>
        <w:numPr>
          <w:ilvl w:val="0"/>
          <w:numId w:val="5"/>
        </w:numPr>
        <w:kinsoku/>
        <w:wordWrap/>
        <w:overflowPunct/>
        <w:topLinePunct w:val="0"/>
        <w:autoSpaceDE/>
        <w:autoSpaceDN/>
        <w:bidi w:val="0"/>
        <w:spacing w:line="640" w:lineRule="exact"/>
        <w:ind w:right="0" w:rightChars="0"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部门整体支出绩效情况</w:t>
      </w:r>
    </w:p>
    <w:p>
      <w:pPr>
        <w:pStyle w:val="4"/>
        <w:numPr>
          <w:ilvl w:val="0"/>
          <w:numId w:val="0"/>
        </w:numPr>
        <w:spacing w:beforeLines="0" w:afterLines="0" w:line="560" w:lineRule="exact"/>
        <w:ind w:firstLine="60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年，我县农业农村工作紧紧围绕“农业增效、农民增收、农村稳定”这个目标，以打赢脱贫攻坚战为总抓手，强化工作措施，积极开展工作，取得较好成绩：</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b/>
          <w:bCs/>
          <w:sz w:val="30"/>
          <w:szCs w:val="30"/>
          <w:lang w:val="en-US" w:eastAsia="zh-CN"/>
        </w:rPr>
        <w:t>农村经济实力不断增强。</w:t>
      </w:r>
      <w:r>
        <w:rPr>
          <w:rFonts w:hint="eastAsia" w:ascii="仿宋" w:hAnsi="仿宋" w:eastAsia="仿宋" w:cs="仿宋"/>
          <w:sz w:val="30"/>
          <w:szCs w:val="30"/>
          <w:lang w:val="en-US" w:eastAsia="zh-CN"/>
        </w:rPr>
        <w:t>一是农民人均可支配收入快速增加，达14251元，较2020年增加1662元，增长12%（预计数，下同），增长率连续多年居邵阳市前列。二是农林牧渔及服务业总产值快速增长，达103.9亿元，较2020年增加11.1亿元，增长13.2%，为近5年来增速最快的一年。三是粮食生猪等农产品稳产保供能力进一步增强，粮食生产总面积突破110万亩，总产再创新高，超51万吨。四是产业扶贫成果进一步巩固，支持242家涉农企业、合作社、家庭农场与37389户163176名有劳动能力的脱贫人口继续保持紧密的直接帮扶机制，帮助其发展产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sz w:val="30"/>
          <w:szCs w:val="30"/>
          <w:lang w:val="en-US" w:eastAsia="zh-CN"/>
        </w:rPr>
        <w:t>2、特色产业规模不断扩大。</w:t>
      </w:r>
      <w:r>
        <w:rPr>
          <w:rFonts w:hint="eastAsia" w:ascii="仿宋" w:hAnsi="仿宋" w:eastAsia="仿宋" w:cs="仿宋"/>
          <w:b w:val="0"/>
          <w:bCs w:val="0"/>
          <w:sz w:val="30"/>
          <w:szCs w:val="30"/>
          <w:lang w:val="en-US" w:eastAsia="zh-CN"/>
        </w:rPr>
        <w:t>一是以金银花、龙牙百合为主的中药材产业链和以辣椒为主的富硒农产品产业链快速发展，“一县一特”、“一乡一业”的产业格局基本形成，全县各类农产品生产基地达120多万亩</w:t>
      </w:r>
      <w:r>
        <w:rPr>
          <w:rFonts w:hint="eastAsia" w:ascii="仿宋" w:hAnsi="仿宋" w:eastAsia="仿宋" w:cs="仿宋"/>
          <w:b w:val="0"/>
          <w:bCs w:val="0"/>
          <w:color w:val="auto"/>
          <w:spacing w:val="0"/>
          <w:sz w:val="30"/>
          <w:szCs w:val="30"/>
          <w:lang w:val="en-US" w:eastAsia="zh-CN"/>
        </w:rPr>
        <w:t>。二是农产品加工业快速发展，</w:t>
      </w:r>
      <w:r>
        <w:rPr>
          <w:rFonts w:hint="eastAsia" w:ascii="仿宋" w:hAnsi="仿宋" w:eastAsia="仿宋" w:cs="仿宋"/>
          <w:b w:val="0"/>
          <w:bCs w:val="0"/>
          <w:kern w:val="2"/>
          <w:sz w:val="30"/>
          <w:szCs w:val="30"/>
          <w:lang w:val="en-US" w:eastAsia="zh-CN" w:bidi="ar-SA"/>
        </w:rPr>
        <w:t>新增规模以上涉农企业6家，</w:t>
      </w:r>
      <w:r>
        <w:rPr>
          <w:rFonts w:hint="eastAsia" w:ascii="仿宋" w:hAnsi="仿宋" w:eastAsia="仿宋" w:cs="仿宋"/>
          <w:b w:val="0"/>
          <w:bCs w:val="0"/>
          <w:color w:val="auto"/>
          <w:kern w:val="0"/>
          <w:sz w:val="30"/>
          <w:szCs w:val="30"/>
        </w:rPr>
        <w:t>规模以上企业</w:t>
      </w:r>
      <w:r>
        <w:rPr>
          <w:rFonts w:hint="eastAsia" w:ascii="仿宋" w:hAnsi="仿宋" w:eastAsia="仿宋" w:cs="仿宋"/>
          <w:b w:val="0"/>
          <w:bCs w:val="0"/>
          <w:color w:val="auto"/>
          <w:kern w:val="0"/>
          <w:sz w:val="30"/>
          <w:szCs w:val="30"/>
          <w:lang w:val="en-US" w:eastAsia="zh-CN"/>
        </w:rPr>
        <w:t>总数达34家，</w:t>
      </w:r>
      <w:r>
        <w:rPr>
          <w:rFonts w:hint="eastAsia" w:ascii="仿宋" w:hAnsi="仿宋" w:eastAsia="仿宋" w:cs="仿宋"/>
          <w:b w:val="0"/>
          <w:bCs w:val="0"/>
          <w:sz w:val="30"/>
          <w:szCs w:val="30"/>
          <w:lang w:val="en-US" w:eastAsia="zh-CN"/>
        </w:rPr>
        <w:t>全县</w:t>
      </w:r>
      <w:r>
        <w:rPr>
          <w:rFonts w:hint="eastAsia" w:ascii="仿宋" w:hAnsi="仿宋" w:eastAsia="仿宋" w:cs="仿宋"/>
          <w:b w:val="0"/>
          <w:bCs w:val="0"/>
          <w:color w:val="auto"/>
          <w:kern w:val="0"/>
          <w:sz w:val="30"/>
          <w:szCs w:val="30"/>
        </w:rPr>
        <w:t>农产品加工企业发展到278家，</w:t>
      </w:r>
      <w:r>
        <w:rPr>
          <w:rFonts w:hint="eastAsia" w:ascii="仿宋" w:hAnsi="仿宋" w:eastAsia="仿宋" w:cs="仿宋"/>
          <w:b w:val="0"/>
          <w:bCs w:val="0"/>
          <w:sz w:val="30"/>
          <w:szCs w:val="30"/>
          <w:lang w:val="en-US" w:eastAsia="zh-CN"/>
        </w:rPr>
        <w:t>。三是</w:t>
      </w:r>
      <w:r>
        <w:rPr>
          <w:rFonts w:hint="eastAsia" w:ascii="仿宋" w:hAnsi="仿宋" w:eastAsia="仿宋" w:cs="仿宋"/>
          <w:b w:val="0"/>
          <w:bCs w:val="0"/>
          <w:color w:val="auto"/>
          <w:spacing w:val="0"/>
          <w:sz w:val="30"/>
          <w:szCs w:val="30"/>
          <w:lang w:val="en-US" w:eastAsia="zh-CN"/>
        </w:rPr>
        <w:t>农业新型经营主体队伍迅速壮大，</w:t>
      </w:r>
      <w:r>
        <w:rPr>
          <w:rFonts w:hint="eastAsia" w:ascii="仿宋" w:hAnsi="仿宋" w:eastAsia="仿宋" w:cs="仿宋"/>
          <w:b w:val="0"/>
          <w:bCs w:val="0"/>
          <w:kern w:val="2"/>
          <w:sz w:val="30"/>
          <w:szCs w:val="30"/>
          <w:lang w:val="en-US" w:eastAsia="zh-CN" w:bidi="ar-SA"/>
        </w:rPr>
        <w:t>新增市级龙头企业13家，</w:t>
      </w:r>
      <w:r>
        <w:rPr>
          <w:rFonts w:hint="eastAsia" w:ascii="仿宋" w:hAnsi="仿宋" w:eastAsia="仿宋" w:cs="仿宋"/>
          <w:b w:val="0"/>
          <w:bCs w:val="0"/>
          <w:color w:val="auto"/>
          <w:spacing w:val="0"/>
          <w:sz w:val="30"/>
          <w:szCs w:val="30"/>
          <w:lang w:val="en-US" w:eastAsia="zh-CN"/>
        </w:rPr>
        <w:t>全县现有国家级龙头企业1家，省级龙头企业10家，市级龙头企业42家；农民合作社发展到1106家。</w:t>
      </w:r>
      <w:r>
        <w:rPr>
          <w:rFonts w:hint="eastAsia" w:ascii="仿宋" w:hAnsi="仿宋" w:eastAsia="仿宋" w:cs="仿宋"/>
          <w:b w:val="0"/>
          <w:bCs w:val="0"/>
          <w:kern w:val="2"/>
          <w:sz w:val="30"/>
          <w:szCs w:val="30"/>
          <w:lang w:val="en-US" w:eastAsia="zh-CN" w:bidi="ar-SA"/>
        </w:rPr>
        <w:t>四是品牌创建卓有成效，新获得有机食品、绿色食品认证产品7个，新增9家企业21</w:t>
      </w:r>
      <w:r>
        <w:rPr>
          <w:rFonts w:hint="eastAsia" w:ascii="仿宋" w:hAnsi="仿宋" w:eastAsia="仿宋" w:cs="仿宋"/>
          <w:kern w:val="2"/>
          <w:sz w:val="30"/>
          <w:szCs w:val="30"/>
          <w:lang w:val="en-US" w:eastAsia="zh-CN" w:bidi="ar-SA"/>
        </w:rPr>
        <w:t>个产品纳入“邵阳红”农产品公用品牌名录。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3、</w:t>
      </w:r>
      <w:r>
        <w:rPr>
          <w:rFonts w:hint="eastAsia" w:ascii="仿宋" w:hAnsi="仿宋" w:eastAsia="仿宋" w:cs="仿宋"/>
          <w:b/>
          <w:bCs/>
          <w:color w:val="auto"/>
          <w:spacing w:val="0"/>
          <w:sz w:val="30"/>
          <w:szCs w:val="30"/>
          <w:lang w:val="en-US" w:eastAsia="zh-CN"/>
        </w:rPr>
        <w:t>农业综合生产能力不断提升</w:t>
      </w:r>
      <w:r>
        <w:rPr>
          <w:rFonts w:hint="eastAsia" w:ascii="仿宋" w:hAnsi="仿宋" w:eastAsia="仿宋" w:cs="仿宋"/>
          <w:b/>
          <w:bCs/>
          <w:kern w:val="2"/>
          <w:sz w:val="30"/>
          <w:szCs w:val="30"/>
          <w:lang w:val="en-US" w:eastAsia="zh-CN" w:bidi="ar-SA"/>
        </w:rPr>
        <w:t>。一是</w:t>
      </w:r>
      <w:r>
        <w:rPr>
          <w:rFonts w:hint="eastAsia" w:ascii="仿宋" w:hAnsi="仿宋" w:eastAsia="仿宋" w:cs="仿宋"/>
          <w:sz w:val="30"/>
          <w:szCs w:val="30"/>
          <w:lang w:val="en-US" w:eastAsia="zh-CN"/>
        </w:rPr>
        <w:t>2020年度5.68万亩高标准农田建设高质量完成，2021年5.96万亩已完成主体工程的90%，高标准农田建设项目快速推进。二是</w:t>
      </w:r>
      <w:r>
        <w:rPr>
          <w:rFonts w:hint="eastAsia" w:ascii="仿宋" w:hAnsi="仿宋" w:eastAsia="仿宋" w:cs="仿宋"/>
          <w:sz w:val="30"/>
          <w:szCs w:val="30"/>
        </w:rPr>
        <w:t>推广各类农机具</w:t>
      </w:r>
      <w:r>
        <w:rPr>
          <w:rFonts w:hint="eastAsia" w:ascii="仿宋" w:hAnsi="仿宋" w:eastAsia="仿宋" w:cs="仿宋"/>
          <w:sz w:val="30"/>
          <w:szCs w:val="30"/>
          <w:lang w:val="en-US" w:eastAsia="zh-CN"/>
        </w:rPr>
        <w:t>3448台</w:t>
      </w:r>
      <w:r>
        <w:rPr>
          <w:rFonts w:hint="eastAsia" w:ascii="仿宋" w:hAnsi="仿宋" w:eastAsia="仿宋" w:cs="仿宋"/>
          <w:sz w:val="30"/>
          <w:szCs w:val="30"/>
        </w:rPr>
        <w:t>套，</w:t>
      </w:r>
      <w:r>
        <w:rPr>
          <w:rFonts w:hint="eastAsia" w:ascii="仿宋" w:hAnsi="仿宋" w:eastAsia="仿宋" w:cs="仿宋"/>
          <w:sz w:val="30"/>
          <w:szCs w:val="30"/>
          <w:lang w:eastAsia="zh-CN"/>
        </w:rPr>
        <w:t>全县</w:t>
      </w:r>
      <w:r>
        <w:rPr>
          <w:rFonts w:hint="eastAsia" w:ascii="仿宋" w:hAnsi="仿宋" w:eastAsia="仿宋" w:cs="仿宋"/>
          <w:sz w:val="30"/>
          <w:szCs w:val="30"/>
        </w:rPr>
        <w:t>水稻</w:t>
      </w:r>
      <w:r>
        <w:rPr>
          <w:rFonts w:hint="eastAsia" w:ascii="仿宋" w:hAnsi="仿宋" w:eastAsia="仿宋" w:cs="仿宋"/>
          <w:sz w:val="30"/>
          <w:szCs w:val="30"/>
          <w:lang w:eastAsia="zh-CN"/>
        </w:rPr>
        <w:t>油菜</w:t>
      </w:r>
      <w:r>
        <w:rPr>
          <w:rFonts w:hint="eastAsia" w:ascii="仿宋" w:hAnsi="仿宋" w:eastAsia="仿宋" w:cs="仿宋"/>
          <w:sz w:val="30"/>
          <w:szCs w:val="30"/>
        </w:rPr>
        <w:t>生产</w:t>
      </w:r>
      <w:r>
        <w:rPr>
          <w:rFonts w:hint="eastAsia" w:ascii="仿宋" w:hAnsi="仿宋" w:eastAsia="仿宋" w:cs="仿宋"/>
          <w:kern w:val="0"/>
          <w:sz w:val="30"/>
          <w:szCs w:val="30"/>
        </w:rPr>
        <w:t>耕、种、收综合机械化水平达</w:t>
      </w:r>
      <w:r>
        <w:rPr>
          <w:rFonts w:hint="eastAsia" w:ascii="仿宋" w:hAnsi="仿宋" w:eastAsia="仿宋" w:cs="仿宋"/>
          <w:sz w:val="30"/>
          <w:szCs w:val="30"/>
          <w:lang w:val="en-US" w:eastAsia="zh-CN"/>
        </w:rPr>
        <w:t>78.65</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w:t>
      </w:r>
      <w:r>
        <w:rPr>
          <w:rFonts w:hint="eastAsia" w:ascii="仿宋" w:hAnsi="仿宋" w:eastAsia="仿宋" w:cs="仿宋"/>
          <w:sz w:val="30"/>
          <w:szCs w:val="30"/>
        </w:rPr>
        <w:t>农业机械化水平</w:t>
      </w:r>
      <w:r>
        <w:rPr>
          <w:rFonts w:hint="eastAsia" w:ascii="仿宋" w:hAnsi="仿宋" w:eastAsia="仿宋" w:cs="仿宋"/>
          <w:sz w:val="30"/>
          <w:szCs w:val="30"/>
          <w:lang w:val="en-US" w:eastAsia="zh-CN"/>
        </w:rPr>
        <w:t>稳步提升</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lang w:val="en-US" w:eastAsia="zh-CN"/>
        </w:rPr>
        <w:t>三是新</w:t>
      </w:r>
      <w:r>
        <w:rPr>
          <w:rFonts w:hint="eastAsia" w:ascii="仿宋" w:hAnsi="仿宋" w:eastAsia="仿宋" w:cs="仿宋"/>
          <w:sz w:val="30"/>
          <w:szCs w:val="30"/>
          <w:lang w:val="en-US" w:eastAsia="zh-CN"/>
        </w:rPr>
        <w:t>建成</w:t>
      </w:r>
      <w:r>
        <w:rPr>
          <w:rFonts w:hint="eastAsia" w:ascii="仿宋" w:hAnsi="仿宋" w:eastAsia="仿宋" w:cs="仿宋"/>
          <w:sz w:val="30"/>
          <w:szCs w:val="30"/>
        </w:rPr>
        <w:t>各类设施大棚</w:t>
      </w:r>
      <w:r>
        <w:rPr>
          <w:rFonts w:hint="eastAsia" w:ascii="仿宋" w:hAnsi="仿宋" w:eastAsia="仿宋" w:cs="仿宋"/>
          <w:sz w:val="30"/>
          <w:szCs w:val="30"/>
          <w:lang w:val="en-US" w:eastAsia="zh-CN"/>
        </w:rPr>
        <w:t>面积2</w:t>
      </w:r>
      <w:r>
        <w:rPr>
          <w:rFonts w:hint="eastAsia" w:ascii="仿宋" w:hAnsi="仿宋" w:eastAsia="仿宋" w:cs="仿宋"/>
          <w:sz w:val="30"/>
          <w:szCs w:val="30"/>
        </w:rPr>
        <w:t>万</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农产品冷藏保鲜设施1.5万m³，设施农业快速发展。四是新增规模生猪养殖场10家，促成新希望六和公司6月份正式投产运营，全县50头以上的规模养殖场达2470个，生猪养殖基础更加扎实，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color w:val="auto"/>
          <w:spacing w:val="0"/>
          <w:sz w:val="30"/>
          <w:szCs w:val="30"/>
          <w:lang w:val="en-US" w:eastAsia="zh-CN"/>
        </w:rPr>
        <w:t>4、农村人居环境不断改善。</w:t>
      </w:r>
      <w:r>
        <w:rPr>
          <w:rFonts w:hint="eastAsia" w:ascii="仿宋" w:hAnsi="仿宋" w:eastAsia="仿宋" w:cs="仿宋"/>
          <w:sz w:val="30"/>
          <w:szCs w:val="30"/>
          <w:lang w:val="en-US" w:eastAsia="zh-CN"/>
        </w:rPr>
        <w:t>一是美丽乡村建设有序推进，</w:t>
      </w:r>
      <w:r>
        <w:rPr>
          <w:rFonts w:hint="eastAsia" w:ascii="仿宋" w:hAnsi="仿宋" w:eastAsia="仿宋" w:cs="仿宋"/>
          <w:sz w:val="30"/>
          <w:szCs w:val="30"/>
        </w:rPr>
        <w:t>荷香桥</w:t>
      </w:r>
      <w:r>
        <w:rPr>
          <w:rFonts w:hint="eastAsia" w:ascii="仿宋" w:hAnsi="仿宋" w:eastAsia="仿宋" w:cs="仿宋"/>
          <w:sz w:val="30"/>
          <w:szCs w:val="30"/>
          <w:lang w:val="en-US" w:eastAsia="zh-CN"/>
        </w:rPr>
        <w:t>镇</w:t>
      </w:r>
      <w:r>
        <w:rPr>
          <w:rFonts w:hint="eastAsia" w:ascii="仿宋" w:hAnsi="仿宋" w:eastAsia="仿宋" w:cs="仿宋"/>
          <w:sz w:val="30"/>
          <w:szCs w:val="30"/>
        </w:rPr>
        <w:t>九牛坳村</w:t>
      </w:r>
      <w:r>
        <w:rPr>
          <w:rFonts w:hint="eastAsia" w:ascii="仿宋" w:hAnsi="仿宋" w:eastAsia="仿宋" w:cs="仿宋"/>
          <w:sz w:val="30"/>
          <w:szCs w:val="30"/>
          <w:lang w:val="en-US" w:eastAsia="zh-CN"/>
        </w:rPr>
        <w:t>创建</w:t>
      </w:r>
      <w:r>
        <w:rPr>
          <w:rFonts w:hint="eastAsia" w:ascii="仿宋" w:hAnsi="仿宋" w:eastAsia="仿宋" w:cs="仿宋"/>
          <w:sz w:val="30"/>
          <w:szCs w:val="30"/>
        </w:rPr>
        <w:t>省级特色精品乡村。</w:t>
      </w:r>
      <w:r>
        <w:rPr>
          <w:rFonts w:hint="eastAsia" w:ascii="仿宋" w:hAnsi="仿宋" w:eastAsia="仿宋" w:cs="仿宋"/>
          <w:sz w:val="30"/>
          <w:szCs w:val="30"/>
          <w:lang w:val="en-US" w:eastAsia="zh-CN"/>
        </w:rPr>
        <w:t>二是</w:t>
      </w:r>
      <w:r>
        <w:rPr>
          <w:rFonts w:hint="eastAsia" w:ascii="仿宋" w:hAnsi="仿宋" w:eastAsia="仿宋" w:cs="仿宋"/>
          <w:sz w:val="30"/>
          <w:szCs w:val="30"/>
        </w:rPr>
        <w:t>农村改厕</w:t>
      </w:r>
      <w:r>
        <w:rPr>
          <w:rFonts w:hint="eastAsia" w:ascii="仿宋" w:hAnsi="仿宋" w:eastAsia="仿宋" w:cs="仿宋"/>
          <w:sz w:val="30"/>
          <w:szCs w:val="30"/>
          <w:lang w:eastAsia="zh-CN"/>
        </w:rPr>
        <w:t>稳步推进</w:t>
      </w:r>
      <w:r>
        <w:rPr>
          <w:rFonts w:hint="eastAsia" w:ascii="仿宋" w:hAnsi="仿宋" w:eastAsia="仿宋" w:cs="仿宋"/>
          <w:sz w:val="30"/>
          <w:szCs w:val="30"/>
        </w:rPr>
        <w:t>，</w:t>
      </w:r>
      <w:r>
        <w:rPr>
          <w:rFonts w:hint="eastAsia" w:ascii="仿宋" w:hAnsi="仿宋" w:eastAsia="仿宋" w:cs="仿宋"/>
          <w:sz w:val="30"/>
          <w:szCs w:val="30"/>
          <w:lang w:val="en-US" w:eastAsia="zh-CN"/>
        </w:rPr>
        <w:t>农村卫生厕所普及率进一步提高。三是农药化肥减量行动扎实开展，农药使用量比上年减少4.1%。农业废弃物资源化利用成效明显。</w:t>
      </w:r>
      <w:r>
        <w:rPr>
          <w:rFonts w:hint="eastAsia" w:ascii="仿宋" w:hAnsi="仿宋" w:eastAsia="仿宋" w:cs="仿宋"/>
          <w:color w:val="auto"/>
          <w:spacing w:val="0"/>
          <w:sz w:val="30"/>
          <w:szCs w:val="30"/>
          <w:lang w:val="en-US" w:eastAsia="zh-CN"/>
        </w:rPr>
        <w:t>四是</w:t>
      </w:r>
      <w:r>
        <w:rPr>
          <w:rFonts w:hint="eastAsia" w:ascii="仿宋" w:hAnsi="仿宋" w:eastAsia="仿宋" w:cs="仿宋"/>
          <w:sz w:val="30"/>
          <w:szCs w:val="30"/>
          <w:lang w:val="en-US" w:eastAsia="zh-CN"/>
        </w:rPr>
        <w:t>十年禁渔持续开展，查处各类非法钓鱼、电鱼、捕鱼案件30余起，查处涉渔三无船舶行政处罚案件18起，移送公安机关刑事立案4起，县内重点水域生态环境明显好转。</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kern w:val="0"/>
          <w:sz w:val="30"/>
          <w:szCs w:val="30"/>
          <w:lang w:val="en-US" w:eastAsia="zh-CN"/>
        </w:rPr>
      </w:pPr>
      <w:r>
        <w:rPr>
          <w:rFonts w:hint="eastAsia" w:ascii="仿宋" w:hAnsi="仿宋" w:eastAsia="仿宋" w:cs="仿宋"/>
          <w:b/>
          <w:bCs/>
          <w:color w:val="auto"/>
          <w:spacing w:val="0"/>
          <w:sz w:val="30"/>
          <w:szCs w:val="30"/>
          <w:lang w:val="en-US" w:eastAsia="zh-CN"/>
        </w:rPr>
        <w:t>5、“三农”服务能力不断加强。</w:t>
      </w:r>
      <w:r>
        <w:rPr>
          <w:rFonts w:hint="eastAsia" w:ascii="仿宋" w:hAnsi="仿宋" w:eastAsia="仿宋" w:cs="仿宋"/>
          <w:b/>
          <w:bCs/>
          <w:sz w:val="30"/>
          <w:szCs w:val="30"/>
          <w:lang w:val="en-US" w:eastAsia="zh-CN"/>
        </w:rPr>
        <w:t>一是</w:t>
      </w:r>
      <w:r>
        <w:rPr>
          <w:rFonts w:hint="eastAsia" w:ascii="仿宋" w:hAnsi="仿宋" w:eastAsia="仿宋" w:cs="仿宋"/>
          <w:sz w:val="30"/>
          <w:szCs w:val="30"/>
          <w:lang w:val="en-US" w:eastAsia="zh-CN"/>
        </w:rPr>
        <w:t>大力推行权责清单动态管理和一件事一次办，办事效率大大提高。全年共办理涉农行政许可事项351件，群众满意度较高。二是大力开展涉农安全生产检查341次，排查安全隐患139起，妥善处理网上舆情16件，高质量回复12345热线接单答复24条，为“三农”发展提供了良好的外部环境。三是</w:t>
      </w:r>
      <w:r>
        <w:rPr>
          <w:rFonts w:hint="eastAsia" w:ascii="仿宋" w:hAnsi="仿宋" w:eastAsia="仿宋" w:cs="仿宋"/>
          <w:kern w:val="0"/>
          <w:sz w:val="30"/>
          <w:szCs w:val="30"/>
        </w:rPr>
        <w:t>严格</w:t>
      </w:r>
      <w:r>
        <w:rPr>
          <w:rFonts w:hint="eastAsia" w:ascii="仿宋" w:hAnsi="仿宋" w:eastAsia="仿宋" w:cs="仿宋"/>
          <w:sz w:val="30"/>
          <w:szCs w:val="30"/>
          <w:lang w:val="en-US" w:eastAsia="zh-CN"/>
        </w:rPr>
        <w:t>依法行政，立案查办种子化肥农药等农业行政违法案件，处置农村乱占耕地建房223宗，有效维护了农民合法权益，保障了农业安全和农村稳定。四是坚决</w:t>
      </w:r>
      <w:r>
        <w:rPr>
          <w:rFonts w:hint="eastAsia" w:ascii="仿宋" w:hAnsi="仿宋" w:eastAsia="仿宋" w:cs="仿宋"/>
          <w:kern w:val="0"/>
          <w:sz w:val="30"/>
          <w:szCs w:val="30"/>
        </w:rPr>
        <w:t>落实惠农减负政策，与全县25个乡镇（街道）、23个涉农单位签订了《惠农减负责任状》</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发放惠农补贴与农民负担监督卡近40万份，开展</w:t>
      </w:r>
      <w:r>
        <w:rPr>
          <w:rFonts w:hint="eastAsia" w:ascii="仿宋" w:hAnsi="仿宋" w:eastAsia="仿宋" w:cs="仿宋"/>
          <w:kern w:val="0"/>
          <w:sz w:val="30"/>
          <w:szCs w:val="30"/>
        </w:rPr>
        <w:t>涉农收费</w:t>
      </w:r>
      <w:r>
        <w:rPr>
          <w:rFonts w:hint="eastAsia" w:ascii="仿宋" w:hAnsi="仿宋" w:eastAsia="仿宋" w:cs="仿宋"/>
          <w:kern w:val="0"/>
          <w:sz w:val="30"/>
          <w:szCs w:val="30"/>
          <w:lang w:eastAsia="zh-CN"/>
        </w:rPr>
        <w:t>专项检查</w:t>
      </w:r>
      <w:r>
        <w:rPr>
          <w:rFonts w:hint="eastAsia" w:ascii="仿宋" w:hAnsi="仿宋" w:eastAsia="仿宋" w:cs="仿宋"/>
          <w:kern w:val="0"/>
          <w:sz w:val="30"/>
          <w:szCs w:val="30"/>
          <w:lang w:val="en-US" w:eastAsia="zh-CN"/>
        </w:rPr>
        <w:t>督查12次，维护了农民权益，减轻了农民负担。</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6、乡村治理水平不断提高。</w:t>
      </w:r>
      <w:r>
        <w:rPr>
          <w:rFonts w:hint="eastAsia" w:ascii="仿宋" w:hAnsi="仿宋" w:eastAsia="仿宋" w:cs="仿宋"/>
          <w:sz w:val="30"/>
          <w:szCs w:val="30"/>
          <w:lang w:val="en-US" w:eastAsia="zh-CN"/>
        </w:rPr>
        <w:t>一是移风易俗深入开展,“一约四会”基本建立并发挥作用,大操大办婚丧喜庆事宜得到有效遏制，新时代文明实践工作走在省市前列。隆回县被列为全国首批、全国第二批试点县，金石桥镇、岩口镇向家村获全国文明村镇。二是农村党支部基本达到“五化”标准,乡村有效治理长效机制逐步完善,“积分制管理”“屋场会”等乡村治理有效模式得到推广。三是村级办公条件全面改善，实现基层“一门式”公共服务全覆盖，村级代办服务工作在全省推介。四是创新以村为主信访机制，推进积案化解，获评全国信访工作“三无”县。</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color w:val="auto"/>
          <w:spacing w:val="0"/>
          <w:sz w:val="30"/>
          <w:szCs w:val="30"/>
          <w:lang w:val="en-US" w:eastAsia="zh-CN"/>
        </w:rPr>
        <w:t>7、农业农村改革不断深化。</w:t>
      </w:r>
      <w:r>
        <w:rPr>
          <w:rFonts w:hint="eastAsia" w:ascii="仿宋" w:hAnsi="仿宋" w:eastAsia="仿宋" w:cs="仿宋"/>
          <w:b/>
          <w:bCs/>
          <w:sz w:val="30"/>
          <w:szCs w:val="30"/>
          <w:lang w:val="en-US" w:eastAsia="zh-CN"/>
        </w:rPr>
        <w:t>一是</w:t>
      </w:r>
      <w:r>
        <w:rPr>
          <w:rFonts w:hint="eastAsia" w:ascii="仿宋" w:hAnsi="仿宋" w:eastAsia="仿宋" w:cs="仿宋"/>
          <w:sz w:val="30"/>
          <w:szCs w:val="30"/>
          <w:lang w:val="en-US" w:eastAsia="zh-CN"/>
        </w:rPr>
        <w:t>农村宅基地管理与改革工作积极推进，农村宅基地得到</w:t>
      </w:r>
      <w:r>
        <w:rPr>
          <w:rFonts w:hint="eastAsia" w:ascii="仿宋" w:hAnsi="仿宋" w:eastAsia="仿宋" w:cs="仿宋"/>
          <w:color w:val="auto"/>
          <w:spacing w:val="0"/>
          <w:sz w:val="30"/>
          <w:szCs w:val="30"/>
        </w:rPr>
        <w:t>进一步</w:t>
      </w:r>
      <w:r>
        <w:rPr>
          <w:rFonts w:hint="eastAsia" w:ascii="仿宋" w:hAnsi="仿宋" w:eastAsia="仿宋" w:cs="仿宋"/>
          <w:color w:val="auto"/>
          <w:spacing w:val="0"/>
          <w:sz w:val="30"/>
          <w:szCs w:val="30"/>
          <w:lang w:val="en-US" w:eastAsia="zh-CN"/>
        </w:rPr>
        <w:t>规范</w:t>
      </w:r>
      <w:r>
        <w:rPr>
          <w:rFonts w:hint="eastAsia" w:ascii="仿宋" w:hAnsi="仿宋" w:eastAsia="仿宋" w:cs="仿宋"/>
          <w:sz w:val="30"/>
          <w:szCs w:val="30"/>
          <w:lang w:val="en-US" w:eastAsia="zh-CN"/>
        </w:rPr>
        <w:t>。二是</w:t>
      </w:r>
      <w:r>
        <w:rPr>
          <w:rFonts w:hint="eastAsia" w:ascii="仿宋" w:hAnsi="仿宋" w:eastAsia="仿宋" w:cs="仿宋"/>
          <w:sz w:val="30"/>
          <w:szCs w:val="30"/>
        </w:rPr>
        <w:t>农村集体产权制度改革</w:t>
      </w:r>
      <w:r>
        <w:rPr>
          <w:rFonts w:hint="eastAsia" w:ascii="仿宋" w:hAnsi="仿宋" w:eastAsia="仿宋" w:cs="仿宋"/>
          <w:sz w:val="30"/>
          <w:szCs w:val="30"/>
          <w:lang w:eastAsia="zh-CN"/>
        </w:rPr>
        <w:t>有序</w:t>
      </w:r>
      <w:r>
        <w:rPr>
          <w:rFonts w:hint="eastAsia" w:ascii="仿宋" w:hAnsi="仿宋" w:eastAsia="仿宋" w:cs="仿宋"/>
          <w:sz w:val="30"/>
          <w:szCs w:val="30"/>
        </w:rPr>
        <w:t>推进</w:t>
      </w:r>
      <w:r>
        <w:rPr>
          <w:rFonts w:hint="eastAsia" w:ascii="仿宋" w:hAnsi="仿宋" w:eastAsia="仿宋" w:cs="仿宋"/>
          <w:sz w:val="30"/>
          <w:szCs w:val="30"/>
          <w:lang w:eastAsia="zh-CN"/>
        </w:rPr>
        <w:t>，全</w:t>
      </w:r>
      <w:r>
        <w:rPr>
          <w:rFonts w:hint="eastAsia" w:ascii="仿宋" w:hAnsi="仿宋" w:eastAsia="仿宋" w:cs="仿宋"/>
          <w:b w:val="0"/>
          <w:bCs w:val="0"/>
          <w:sz w:val="30"/>
          <w:szCs w:val="30"/>
          <w:lang w:val="en-US" w:eastAsia="zh-CN"/>
        </w:rPr>
        <w:t>县572个村（社区）全部完成了成员身份确认，41个经营性资产的村（社区）成立了股份合作社，</w:t>
      </w:r>
      <w:r>
        <w:rPr>
          <w:rFonts w:hint="eastAsia" w:ascii="仿宋" w:hAnsi="仿宋" w:eastAsia="仿宋" w:cs="仿宋"/>
          <w:sz w:val="30"/>
          <w:szCs w:val="30"/>
        </w:rPr>
        <w:t>农村集体产权制度改革</w:t>
      </w:r>
      <w:r>
        <w:rPr>
          <w:rFonts w:hint="eastAsia" w:ascii="仿宋" w:hAnsi="仿宋" w:eastAsia="仿宋" w:cs="仿宋"/>
          <w:b w:val="0"/>
          <w:bCs w:val="0"/>
          <w:sz w:val="30"/>
          <w:szCs w:val="30"/>
          <w:lang w:val="en-US" w:eastAsia="zh-CN"/>
        </w:rPr>
        <w:t>100%完成。</w:t>
      </w:r>
      <w:r>
        <w:rPr>
          <w:rFonts w:hint="eastAsia" w:ascii="仿宋" w:hAnsi="仿宋" w:eastAsia="仿宋" w:cs="仿宋"/>
          <w:sz w:val="30"/>
          <w:szCs w:val="30"/>
          <w:lang w:val="en-US" w:eastAsia="zh-CN"/>
        </w:rPr>
        <w:t>三是出台了《隆回县农村土地流转奖补工作经费申报操作细则》等文件，推进农村承包土地经营权流转</w:t>
      </w:r>
      <w:r>
        <w:rPr>
          <w:rFonts w:hint="eastAsia" w:ascii="仿宋" w:hAnsi="仿宋" w:eastAsia="仿宋" w:cs="仿宋"/>
          <w:i w:val="0"/>
          <w:iCs w:val="0"/>
          <w:caps w:val="0"/>
          <w:color w:val="333333"/>
          <w:spacing w:val="0"/>
          <w:sz w:val="30"/>
          <w:szCs w:val="30"/>
          <w:u w:val="none"/>
          <w:shd w:val="clear" w:color="auto" w:fill="FFFFFF"/>
          <w:lang w:val="en-US" w:eastAsia="zh-CN"/>
        </w:rPr>
        <w:t>四是</w:t>
      </w:r>
      <w:r>
        <w:rPr>
          <w:rFonts w:hint="eastAsia" w:ascii="仿宋" w:hAnsi="仿宋" w:eastAsia="仿宋" w:cs="仿宋"/>
          <w:b w:val="0"/>
          <w:bCs w:val="0"/>
          <w:sz w:val="30"/>
          <w:szCs w:val="30"/>
          <w:lang w:val="en-US" w:eastAsia="zh-CN"/>
        </w:rPr>
        <w:t>出台了</w:t>
      </w:r>
      <w:r>
        <w:rPr>
          <w:rFonts w:hint="eastAsia" w:ascii="仿宋" w:hAnsi="仿宋" w:eastAsia="仿宋" w:cs="仿宋"/>
          <w:sz w:val="30"/>
          <w:szCs w:val="30"/>
          <w:lang w:val="en-US" w:eastAsia="zh-CN"/>
        </w:rPr>
        <w:t>《关于村级集体经济发展创收奖励的指导意见》等文件</w:t>
      </w:r>
      <w:r>
        <w:rPr>
          <w:rFonts w:hint="eastAsia" w:ascii="仿宋" w:hAnsi="仿宋" w:eastAsia="仿宋" w:cs="仿宋"/>
          <w:b w:val="0"/>
          <w:bCs w:val="0"/>
          <w:sz w:val="30"/>
          <w:szCs w:val="30"/>
          <w:lang w:val="en-US" w:eastAsia="zh-CN"/>
        </w:rPr>
        <w:t>，</w:t>
      </w:r>
      <w:r>
        <w:rPr>
          <w:rFonts w:hint="eastAsia" w:ascii="仿宋" w:hAnsi="仿宋" w:eastAsia="仿宋" w:cs="仿宋"/>
          <w:sz w:val="30"/>
          <w:szCs w:val="30"/>
          <w:lang w:val="en-US" w:eastAsia="zh-CN"/>
        </w:rPr>
        <w:t>村集体经济收入快速增加。</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四、存在的问题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财政农业产业发展资金投入不足，四大主导产业“金银花、优质稻、生猪、烤烟”和四大特色产业“油茶、百合、辣椒、果蔬茶药糖”缺乏资金引领，产业发展步伐放缓。</w:t>
      </w:r>
    </w:p>
    <w:p>
      <w:pPr>
        <w:keepNext w:val="0"/>
        <w:keepLines w:val="0"/>
        <w:pageBreakBefore w:val="0"/>
        <w:widowControl w:val="0"/>
        <w:numPr>
          <w:ilvl w:val="0"/>
          <w:numId w:val="5"/>
        </w:numPr>
        <w:pBdr>
          <w:bottom w:val="single" w:color="FFFFFF" w:sz="4" w:space="31"/>
        </w:pBdr>
        <w:kinsoku/>
        <w:wordWrap/>
        <w:overflowPunct/>
        <w:topLinePunct w:val="0"/>
        <w:autoSpaceDE/>
        <w:autoSpaceDN/>
        <w:bidi w:val="0"/>
        <w:adjustRightInd/>
        <w:snapToGrid/>
        <w:spacing w:line="620" w:lineRule="exact"/>
        <w:ind w:left="0" w:leftChars="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改进措施和有关建议</w:t>
      </w:r>
    </w:p>
    <w:p>
      <w:pPr>
        <w:keepNext w:val="0"/>
        <w:keepLines w:val="0"/>
        <w:pageBreakBefore w:val="0"/>
        <w:widowControl w:val="0"/>
        <w:numPr>
          <w:ilvl w:val="0"/>
          <w:numId w:val="6"/>
        </w:numPr>
        <w:pBdr>
          <w:bottom w:val="single" w:color="FFFFFF" w:sz="4" w:space="31"/>
        </w:pBd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及早谋划明年粮食生产。</w:t>
      </w:r>
    </w:p>
    <w:p>
      <w:pPr>
        <w:keepNext w:val="0"/>
        <w:keepLines w:val="0"/>
        <w:pageBreakBefore w:val="0"/>
        <w:widowControl w:val="0"/>
        <w:numPr>
          <w:ilvl w:val="0"/>
          <w:numId w:val="6"/>
        </w:numPr>
        <w:pBdr>
          <w:bottom w:val="single" w:color="FFFFFF" w:sz="4" w:space="31"/>
        </w:pBdr>
        <w:kinsoku/>
        <w:wordWrap/>
        <w:overflowPunct/>
        <w:topLinePunct w:val="0"/>
        <w:autoSpaceDE/>
        <w:autoSpaceDN/>
        <w:bidi w:val="0"/>
        <w:adjustRightInd/>
        <w:snapToGrid/>
        <w:spacing w:line="620" w:lineRule="exact"/>
        <w:ind w:left="0" w:leftChars="0"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加强农产品质量安全监管。</w:t>
      </w:r>
    </w:p>
    <w:p>
      <w:pPr>
        <w:keepNext w:val="0"/>
        <w:keepLines w:val="0"/>
        <w:pageBreakBefore w:val="0"/>
        <w:widowControl w:val="0"/>
        <w:numPr>
          <w:ilvl w:val="0"/>
          <w:numId w:val="6"/>
        </w:numPr>
        <w:pBdr>
          <w:bottom w:val="single" w:color="FFFFFF" w:sz="4" w:space="31"/>
        </w:pBdr>
        <w:kinsoku/>
        <w:wordWrap/>
        <w:overflowPunct/>
        <w:topLinePunct w:val="0"/>
        <w:autoSpaceDE/>
        <w:autoSpaceDN/>
        <w:bidi w:val="0"/>
        <w:adjustRightInd/>
        <w:snapToGrid/>
        <w:spacing w:line="620" w:lineRule="exact"/>
        <w:ind w:left="0" w:leftChars="0"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做好特色果蔬茶规划。</w:t>
      </w:r>
    </w:p>
    <w:p>
      <w:pPr>
        <w:keepNext w:val="0"/>
        <w:keepLines w:val="0"/>
        <w:pageBreakBefore w:val="0"/>
        <w:widowControl w:val="0"/>
        <w:numPr>
          <w:ilvl w:val="0"/>
          <w:numId w:val="6"/>
        </w:numPr>
        <w:pBdr>
          <w:bottom w:val="single" w:color="FFFFFF" w:sz="4" w:space="31"/>
        </w:pBdr>
        <w:kinsoku/>
        <w:wordWrap/>
        <w:overflowPunct/>
        <w:topLinePunct w:val="0"/>
        <w:autoSpaceDE/>
        <w:autoSpaceDN/>
        <w:bidi w:val="0"/>
        <w:adjustRightInd/>
        <w:snapToGrid/>
        <w:spacing w:line="620" w:lineRule="exact"/>
        <w:ind w:left="0" w:leftChars="0"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着重抓好农业领域补短板项目建设。</w:t>
      </w:r>
    </w:p>
    <w:p>
      <w:pPr>
        <w:keepNext w:val="0"/>
        <w:keepLines w:val="0"/>
        <w:pageBreakBefore w:val="0"/>
        <w:widowControl w:val="0"/>
        <w:numPr>
          <w:ilvl w:val="0"/>
          <w:numId w:val="6"/>
        </w:numPr>
        <w:pBdr>
          <w:bottom w:val="single" w:color="FFFFFF" w:sz="4" w:space="31"/>
        </w:pBdr>
        <w:kinsoku/>
        <w:wordWrap/>
        <w:overflowPunct/>
        <w:topLinePunct w:val="0"/>
        <w:autoSpaceDE/>
        <w:autoSpaceDN/>
        <w:bidi w:val="0"/>
        <w:adjustRightInd/>
        <w:snapToGrid/>
        <w:spacing w:line="620" w:lineRule="exact"/>
        <w:ind w:left="0" w:leftChars="0"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推进农业产业化、做优做强产业。</w:t>
      </w:r>
    </w:p>
    <w:p>
      <w:pPr>
        <w:keepNext w:val="0"/>
        <w:keepLines w:val="0"/>
        <w:pageBreakBefore w:val="0"/>
        <w:widowControl w:val="0"/>
        <w:numPr>
          <w:ilvl w:val="0"/>
          <w:numId w:val="6"/>
        </w:numPr>
        <w:pBdr>
          <w:bottom w:val="single" w:color="FFFFFF" w:sz="4" w:space="31"/>
        </w:pBdr>
        <w:kinsoku/>
        <w:wordWrap/>
        <w:overflowPunct/>
        <w:topLinePunct w:val="0"/>
        <w:autoSpaceDE/>
        <w:autoSpaceDN/>
        <w:bidi w:val="0"/>
        <w:adjustRightInd/>
        <w:snapToGrid/>
        <w:spacing w:line="620" w:lineRule="exact"/>
        <w:ind w:left="0" w:leftChars="0"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聚力产业发展、加快乡村振兴。</w:t>
      </w:r>
    </w:p>
    <w:p>
      <w:pPr>
        <w:spacing w:line="520" w:lineRule="exact"/>
        <w:ind w:firstLine="600" w:firstLineChars="20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w:t>
      </w:r>
    </w:p>
    <w:p>
      <w:pPr>
        <w:pStyle w:val="9"/>
        <w:rPr>
          <w:rFonts w:hint="eastAsia" w:ascii="仿宋" w:hAnsi="仿宋" w:eastAsia="仿宋" w:cs="仿宋"/>
          <w:sz w:val="30"/>
          <w:szCs w:val="30"/>
          <w:lang w:val="en-US" w:eastAsia="zh-CN"/>
        </w:rPr>
      </w:pPr>
    </w:p>
    <w:p>
      <w:pPr>
        <w:pStyle w:val="9"/>
        <w:rPr>
          <w:rFonts w:hint="eastAsia" w:ascii="仿宋" w:hAnsi="仿宋" w:eastAsia="仿宋" w:cs="仿宋"/>
          <w:sz w:val="30"/>
          <w:szCs w:val="30"/>
          <w:lang w:val="en-US" w:eastAsia="zh-CN"/>
        </w:rPr>
      </w:pPr>
    </w:p>
    <w:p>
      <w:pPr>
        <w:pStyle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隆回县农业农村局</w:t>
      </w:r>
    </w:p>
    <w:p>
      <w:pPr>
        <w:pStyle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2022年5月8日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07423"/>
    <w:multiLevelType w:val="singleLevel"/>
    <w:tmpl w:val="46E07423"/>
    <w:lvl w:ilvl="0" w:tentative="0">
      <w:start w:val="1"/>
      <w:numFmt w:val="decimal"/>
      <w:suff w:val="nothing"/>
      <w:lvlText w:val="%1、"/>
      <w:lvlJc w:val="left"/>
    </w:lvl>
  </w:abstractNum>
  <w:abstractNum w:abstractNumId="1">
    <w:nsid w:val="59A68B01"/>
    <w:multiLevelType w:val="singleLevel"/>
    <w:tmpl w:val="59A68B01"/>
    <w:lvl w:ilvl="0" w:tentative="0">
      <w:start w:val="1"/>
      <w:numFmt w:val="chineseCounting"/>
      <w:suff w:val="nothing"/>
      <w:lvlText w:val="%1、"/>
      <w:lvlJc w:val="left"/>
    </w:lvl>
  </w:abstractNum>
  <w:abstractNum w:abstractNumId="2">
    <w:nsid w:val="59A760A3"/>
    <w:multiLevelType w:val="singleLevel"/>
    <w:tmpl w:val="59A760A3"/>
    <w:lvl w:ilvl="0" w:tentative="0">
      <w:start w:val="1"/>
      <w:numFmt w:val="chineseCounting"/>
      <w:suff w:val="nothing"/>
      <w:lvlText w:val="(%1)"/>
      <w:lvlJc w:val="left"/>
    </w:lvl>
  </w:abstractNum>
  <w:abstractNum w:abstractNumId="3">
    <w:nsid w:val="59A76AA1"/>
    <w:multiLevelType w:val="singleLevel"/>
    <w:tmpl w:val="59A76AA1"/>
    <w:lvl w:ilvl="0" w:tentative="0">
      <w:start w:val="2"/>
      <w:numFmt w:val="decimal"/>
      <w:suff w:val="nothing"/>
      <w:lvlText w:val="%1、"/>
      <w:lvlJc w:val="left"/>
    </w:lvl>
  </w:abstractNum>
  <w:abstractNum w:abstractNumId="4">
    <w:nsid w:val="59A77220"/>
    <w:multiLevelType w:val="singleLevel"/>
    <w:tmpl w:val="59A77220"/>
    <w:lvl w:ilvl="0" w:tentative="0">
      <w:start w:val="2"/>
      <w:numFmt w:val="chineseCounting"/>
      <w:suff w:val="nothing"/>
      <w:lvlText w:val="（%1）"/>
      <w:lvlJc w:val="left"/>
    </w:lvl>
  </w:abstractNum>
  <w:abstractNum w:abstractNumId="5">
    <w:nsid w:val="59A914CD"/>
    <w:multiLevelType w:val="singleLevel"/>
    <w:tmpl w:val="59A914CD"/>
    <w:lvl w:ilvl="0" w:tentative="0">
      <w:start w:val="3"/>
      <w:numFmt w:val="chineseCounting"/>
      <w:suff w:val="nothing"/>
      <w:lvlText w:val="%1、"/>
      <w:lvlJc w:val="left"/>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DUwMWYwMzQ2NWQwNzU2Y2YyYzNjMDc0ZTk1YWYifQ=="/>
  </w:docVars>
  <w:rsids>
    <w:rsidRoot w:val="00000000"/>
    <w:rsid w:val="00221C5D"/>
    <w:rsid w:val="009D3363"/>
    <w:rsid w:val="01634DE8"/>
    <w:rsid w:val="022802FC"/>
    <w:rsid w:val="029B5849"/>
    <w:rsid w:val="045D2E23"/>
    <w:rsid w:val="073E3475"/>
    <w:rsid w:val="0915009A"/>
    <w:rsid w:val="0A3E7253"/>
    <w:rsid w:val="0B385B69"/>
    <w:rsid w:val="0D3335E1"/>
    <w:rsid w:val="0ED67E97"/>
    <w:rsid w:val="0FEE5D19"/>
    <w:rsid w:val="10A338B3"/>
    <w:rsid w:val="11760658"/>
    <w:rsid w:val="11BD3153"/>
    <w:rsid w:val="14113E49"/>
    <w:rsid w:val="141B00F3"/>
    <w:rsid w:val="14540C27"/>
    <w:rsid w:val="153B06CA"/>
    <w:rsid w:val="15F21CF8"/>
    <w:rsid w:val="16C650F1"/>
    <w:rsid w:val="170D4263"/>
    <w:rsid w:val="18CF3F3C"/>
    <w:rsid w:val="1AB73BAE"/>
    <w:rsid w:val="1AEA53A4"/>
    <w:rsid w:val="1BAC1185"/>
    <w:rsid w:val="1D6869D6"/>
    <w:rsid w:val="1E156476"/>
    <w:rsid w:val="224446AF"/>
    <w:rsid w:val="228E3AFF"/>
    <w:rsid w:val="229B6750"/>
    <w:rsid w:val="232E7CA6"/>
    <w:rsid w:val="233554A3"/>
    <w:rsid w:val="24154001"/>
    <w:rsid w:val="24344D9F"/>
    <w:rsid w:val="251A5B4B"/>
    <w:rsid w:val="26462BC2"/>
    <w:rsid w:val="26BA4D7A"/>
    <w:rsid w:val="299B1B74"/>
    <w:rsid w:val="2A6F0F62"/>
    <w:rsid w:val="2AA064D8"/>
    <w:rsid w:val="2AF97B3E"/>
    <w:rsid w:val="2D377CFC"/>
    <w:rsid w:val="2DB36955"/>
    <w:rsid w:val="2EB25A02"/>
    <w:rsid w:val="2FBD5B34"/>
    <w:rsid w:val="2FEF6E80"/>
    <w:rsid w:val="2FFC6BB6"/>
    <w:rsid w:val="30635AAB"/>
    <w:rsid w:val="310224D9"/>
    <w:rsid w:val="32A97AD8"/>
    <w:rsid w:val="32AD1047"/>
    <w:rsid w:val="33320259"/>
    <w:rsid w:val="3464173E"/>
    <w:rsid w:val="34952F99"/>
    <w:rsid w:val="35772E3F"/>
    <w:rsid w:val="358C230C"/>
    <w:rsid w:val="36BB3F94"/>
    <w:rsid w:val="370C2303"/>
    <w:rsid w:val="37122451"/>
    <w:rsid w:val="3786733C"/>
    <w:rsid w:val="39172464"/>
    <w:rsid w:val="39740744"/>
    <w:rsid w:val="3B2E0688"/>
    <w:rsid w:val="3B352FF6"/>
    <w:rsid w:val="3C0E076F"/>
    <w:rsid w:val="3D330256"/>
    <w:rsid w:val="3D6D7F48"/>
    <w:rsid w:val="3E4D74A5"/>
    <w:rsid w:val="3F035FA1"/>
    <w:rsid w:val="3F7146B4"/>
    <w:rsid w:val="40DA7863"/>
    <w:rsid w:val="41591D4C"/>
    <w:rsid w:val="41D048AF"/>
    <w:rsid w:val="42AC48F2"/>
    <w:rsid w:val="42ED4483"/>
    <w:rsid w:val="43134E7C"/>
    <w:rsid w:val="43BF0790"/>
    <w:rsid w:val="44A6343B"/>
    <w:rsid w:val="44FD649D"/>
    <w:rsid w:val="463C3C2B"/>
    <w:rsid w:val="47EC5DA6"/>
    <w:rsid w:val="4A1F7505"/>
    <w:rsid w:val="4AA067EA"/>
    <w:rsid w:val="4B2E437D"/>
    <w:rsid w:val="4B7C0693"/>
    <w:rsid w:val="4BB419D2"/>
    <w:rsid w:val="4D127FA1"/>
    <w:rsid w:val="4E3C30BC"/>
    <w:rsid w:val="51203305"/>
    <w:rsid w:val="51BC255A"/>
    <w:rsid w:val="53C00225"/>
    <w:rsid w:val="53CB39D4"/>
    <w:rsid w:val="54051742"/>
    <w:rsid w:val="589A694B"/>
    <w:rsid w:val="593D5532"/>
    <w:rsid w:val="59412F5C"/>
    <w:rsid w:val="5EB16E64"/>
    <w:rsid w:val="5FF51B1A"/>
    <w:rsid w:val="60413C8B"/>
    <w:rsid w:val="6100563B"/>
    <w:rsid w:val="614514BC"/>
    <w:rsid w:val="617E0348"/>
    <w:rsid w:val="62644D42"/>
    <w:rsid w:val="648A3556"/>
    <w:rsid w:val="67502036"/>
    <w:rsid w:val="67782732"/>
    <w:rsid w:val="67DE68AF"/>
    <w:rsid w:val="697F29A7"/>
    <w:rsid w:val="69B62855"/>
    <w:rsid w:val="6ADA5370"/>
    <w:rsid w:val="6B4741CD"/>
    <w:rsid w:val="6B5E08B0"/>
    <w:rsid w:val="6D795244"/>
    <w:rsid w:val="6E16344C"/>
    <w:rsid w:val="6E731D44"/>
    <w:rsid w:val="6F111B1E"/>
    <w:rsid w:val="6FE04C79"/>
    <w:rsid w:val="70632884"/>
    <w:rsid w:val="706B334F"/>
    <w:rsid w:val="708C5FE7"/>
    <w:rsid w:val="70F731BB"/>
    <w:rsid w:val="7101397C"/>
    <w:rsid w:val="728022E2"/>
    <w:rsid w:val="73C11086"/>
    <w:rsid w:val="7410146D"/>
    <w:rsid w:val="742F1335"/>
    <w:rsid w:val="746F5516"/>
    <w:rsid w:val="747621DC"/>
    <w:rsid w:val="75610D56"/>
    <w:rsid w:val="75792FFF"/>
    <w:rsid w:val="764D66D4"/>
    <w:rsid w:val="782E2CFC"/>
    <w:rsid w:val="78517B04"/>
    <w:rsid w:val="7B0B25E0"/>
    <w:rsid w:val="7BBD0CB8"/>
    <w:rsid w:val="7D175A52"/>
    <w:rsid w:val="7D2C4FF6"/>
    <w:rsid w:val="7E4772AE"/>
    <w:rsid w:val="7E5F40BB"/>
    <w:rsid w:val="7F2C46F9"/>
    <w:rsid w:val="7F924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440" w:lineRule="exact"/>
      <w:outlineLvl w:val="3"/>
    </w:pPr>
    <w:rPr>
      <w:rFonts w:ascii="宋体" w:hAnsi="Arial" w:eastAsia="宋体" w:cs="Times New Roman"/>
      <w:spacing w:val="16"/>
      <w:kern w:val="28"/>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Normal Indent"/>
    <w:basedOn w:val="1"/>
    <w:unhideWhenUsed/>
    <w:qFormat/>
    <w:uiPriority w:val="99"/>
    <w:pPr>
      <w:spacing w:beforeLines="0" w:afterLines="0"/>
      <w:ind w:firstLine="420" w:firstLineChars="200"/>
    </w:pPr>
    <w:rPr>
      <w:rFonts w:hint="eastAsia" w:ascii="Times New Roman" w:hAnsi="Times New Roman"/>
      <w:sz w:val="21"/>
      <w:szCs w:val="24"/>
    </w:rPr>
  </w:style>
  <w:style w:type="paragraph" w:styleId="5">
    <w:name w:val="Body Text Indent"/>
    <w:basedOn w:val="1"/>
    <w:qFormat/>
    <w:uiPriority w:val="0"/>
    <w:pPr>
      <w:spacing w:line="600" w:lineRule="exact"/>
      <w:ind w:firstLine="645"/>
    </w:pPr>
    <w:rPr>
      <w:rFonts w:ascii="Times New Roman" w:hAnsi="Times New Roman" w:eastAsia="仿宋_GB2312"/>
      <w:sz w:val="32"/>
    </w:rPr>
  </w:style>
  <w:style w:type="paragraph" w:styleId="6">
    <w:name w:val="Body Text Indent 2"/>
    <w:basedOn w:val="1"/>
    <w:qFormat/>
    <w:uiPriority w:val="0"/>
    <w:pPr>
      <w:autoSpaceDE w:val="0"/>
      <w:autoSpaceDN w:val="0"/>
      <w:ind w:firstLine="540"/>
    </w:pPr>
    <w:rPr>
      <w:rFonts w:eastAsia="宋体"/>
      <w:sz w:val="3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3900</Words>
  <Characters>4176</Characters>
  <Lines>0</Lines>
  <Paragraphs>0</Paragraphs>
  <TotalTime>21</TotalTime>
  <ScaleCrop>false</ScaleCrop>
  <LinksUpToDate>false</LinksUpToDate>
  <CharactersWithSpaces>4255</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天水一色</cp:lastModifiedBy>
  <dcterms:modified xsi:type="dcterms:W3CDTF">2022-08-19T09:24:59Z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4EDD4DBCEB9C47BF91347DEC99711F0C</vt:lpwstr>
  </property>
</Properties>
</file>