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隆回县农村经营服务站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</w:t>
      </w:r>
    </w:p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机构设置情况、人员编制情况、主要职能职责、202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年的重点工作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、绩效目标设定情况。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隆回县农村经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营服务站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现有内设机构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个，办公室、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集体经济组织服务部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土地承包和流转事务部、农民负担监测事务部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机关纳入财政预算，20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年年初预算，编制人数为1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人，实有人数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人，在职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人，退休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人。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单位主要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职能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职责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为：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承办土地承包和土地承包纠纷调解、仲裁等方面的工作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承办指导农民专业合作社、家庭农场建设和发展方面的事务性工作及相关服务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承办指导全县农村集体经济组织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发展集体经济</w:t>
      </w:r>
      <w:r>
        <w:rPr>
          <w:rFonts w:hint="eastAsia" w:ascii="仿宋" w:hAnsi="仿宋" w:eastAsia="仿宋" w:cs="仿宋"/>
          <w:sz w:val="32"/>
          <w:szCs w:val="32"/>
        </w:rPr>
        <w:t>、财务审计等方面的事务性工作。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4.承办农民</w:t>
      </w:r>
      <w:r>
        <w:rPr>
          <w:rFonts w:hint="eastAsia" w:ascii="仿宋" w:hAnsi="仿宋" w:eastAsia="仿宋" w:cs="仿宋"/>
          <w:sz w:val="32"/>
          <w:szCs w:val="32"/>
        </w:rPr>
        <w:t>负担监督方面的相关事务性工作。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承办县委、县政府及主管部门交办的其他工作。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="0" w:leftChars="0" w:firstLine="642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2023年的重点工作：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地确权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系统运营、维护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土地流转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中心运作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及土地纠纷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调解、仲裁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新型农业经营主体的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培育与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发展工作。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农民负担的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监测与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管理工作。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农村集体经济收入的发展。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村级财务审计的指导工作。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绩效目标设定情况：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2023年本部门基本支出预算数为167.40万元，主要是为保障部门正常运转、完成日常工作任务而发生的各项支出，包括用于基本工资、津贴补贴等人员经费以及办公费、印刷费、水电费、办公设备购置等公用经费；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完成土地纠纷调解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3起、仲裁4起；发展农民专业合作社30家、家庭农场50家；村级集体经济收入提高20%。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部门整体支出情况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年度单位全年经费支出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616.4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/>
        </w:rPr>
        <w:t>282.4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334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年度单位全年基本支出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282.4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万元，商品和福利支出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48.5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万元，对个人和家庭补助支出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55.9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县级专项资金</w:t>
      </w:r>
      <w:r>
        <w:rPr>
          <w:rFonts w:hint="eastAsia" w:ascii="楷体" w:hAnsi="楷体" w:eastAsia="楷体" w:cs="楷体"/>
          <w:sz w:val="32"/>
          <w:szCs w:val="32"/>
        </w:rPr>
        <w:t>情况</w:t>
      </w:r>
      <w:r>
        <w:rPr>
          <w:rFonts w:hint="eastAsia" w:ascii="楷体" w:hAnsi="楷体" w:eastAsia="楷体" w:cs="楷体"/>
          <w:sz w:val="32"/>
          <w:szCs w:val="32"/>
          <w:lang w:val="en-US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（三）“三公”经费情况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因公出国（境）费用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本单位无政府性基金预算支出。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四、国有资本经营预算支出情况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本单位无国有资本经营预算支出。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本单位无社会保险基金预算支出。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六、部门整体支出绩效情况</w:t>
      </w:r>
    </w:p>
    <w:p>
      <w:pPr>
        <w:pStyle w:val="1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spacing w:beforeLines="0" w:afterLines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年，根据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年初工作规划和重点性工作，围绕县委、县政府全面建成小康社会的发展蓝图，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履职，强化管理，较好的完成了年度工作目标。通过加强预算收支管理，不断建立健全内部管理制度，梳理内部管理流程，部门整体支出管理情况得到提升。根据20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年度部门整体支出情况的概述和分析，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我站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2023年支出的主要绩效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Chars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今年我县就集体经济发展制订的目标任务：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每个乡镇（街道，下同）村级集体经济经营性收入总体上稳健发展，年度总量在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2022年的基础上增长20%以上，所有村（社区）经营性收入5万元以上，60%以上村（社区）要超过10万元。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到12月底止，全县村级集体经济经营性收入10268万元，村均17.95万元。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其中5-10万元的村145个，10-20万元的村348个，20-50万元的村67个，50-100万元的村9个，100万元以上的村3个。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2023年加大培育力度，成功创建省级示范社及重点支持的合作社5家，省级示范农场及重点支持的家庭农场7家。成功申报市级示范合作社13家，市级示范家庭农场15家。新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发展农民专业合作社35家、家庭农场57家。</w:t>
      </w:r>
      <w:r>
        <w:rPr>
          <w:rFonts w:hint="eastAsia" w:ascii="仿宋" w:hAnsi="仿宋" w:eastAsia="仿宋" w:cs="仿宋"/>
          <w:sz w:val="32"/>
          <w:szCs w:val="32"/>
        </w:rPr>
        <w:t>对全县农民专业合作社领域不正之风和腐败问题进行专项整治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，建立整治台账，</w:t>
      </w:r>
      <w:r>
        <w:rPr>
          <w:rFonts w:hint="eastAsia" w:ascii="仿宋" w:hAnsi="仿宋" w:eastAsia="仿宋" w:cs="仿宋"/>
          <w:sz w:val="32"/>
          <w:szCs w:val="32"/>
        </w:rPr>
        <w:t>形成问题清单、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线索清单和</w:t>
      </w:r>
      <w:r>
        <w:rPr>
          <w:rFonts w:hint="eastAsia" w:ascii="仿宋" w:hAnsi="仿宋" w:eastAsia="仿宋" w:cs="仿宋"/>
          <w:sz w:val="32"/>
          <w:szCs w:val="32"/>
        </w:rPr>
        <w:t>责任清单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发现的问题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立行立改。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以“三湘护农”专项行动为抓手，积极进行“三资”整治，重点开展好资产资源闲置、集体经济合同不规范、债权债务清查工作。共清出集体资产管理混乱问题313个，现已整改306个，挽回集体经济损失100余万元；不规范经济合同问题220个，现已整改202个，增加承包收入20余万元；债权债务问题10个，现已整改8个，减少村级债务100余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全县共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发生</w:t>
      </w:r>
      <w:r>
        <w:rPr>
          <w:rFonts w:hint="eastAsia" w:ascii="仿宋" w:hAnsi="仿宋" w:eastAsia="仿宋" w:cs="仿宋"/>
          <w:sz w:val="32"/>
          <w:szCs w:val="32"/>
        </w:rPr>
        <w:t>农村土地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承包经营纠纷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</w:rPr>
        <w:t>件，调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</w:rPr>
        <w:t>成功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102件，调处成功率100%，</w:t>
      </w:r>
      <w:r>
        <w:rPr>
          <w:rFonts w:hint="eastAsia" w:ascii="仿宋" w:hAnsi="仿宋" w:eastAsia="仿宋" w:cs="仿宋"/>
          <w:sz w:val="32"/>
          <w:szCs w:val="32"/>
        </w:rPr>
        <w:t>其中乡镇调解成功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件，县仲裁委调解成功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，仲裁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1件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年全年没有发生因农村土地纠纷引起的重大群体性事件，无因土地纠纷上市、省或入京信访事件。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初预算的编制较为精细，按照费用支出的使用范围和内容，进行了类、款、项三个层次的明细预算，进行了基本支出、项目支出的严格区分，同时在基本支出和项目支出中又进行了更为明细的预算。但对于追加项目支出的项目资金，没有进行预算分解，编制明细预算，因此涉及追加预算的项目支出的预算管理仅从总额进行控制，不便于进行精细化的预算管理和分析评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八、改进措施及有关建议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1.细化预算编制工作，认真做好预算的编制。进一步加强单位内部机构的预算管理意识，严格按照预算编制的相关制度和要求进行预算编制，进一步提高预算编制的科学性、严谨性和可控性。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报告应包括以下附件：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1.部门整体支出绩效评价基础数据表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before="0" w:after="0" w:line="60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2.部门整体支出绩效自评表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部门整体支出绩效评价基础数据表</w:t>
      </w:r>
    </w:p>
    <w:tbl>
      <w:tblPr>
        <w:tblStyle w:val="10"/>
        <w:tblW w:w="500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077"/>
        <w:gridCol w:w="1119"/>
        <w:gridCol w:w="1279"/>
        <w:gridCol w:w="1106"/>
        <w:gridCol w:w="1155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3592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隆回县农村经营服务站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7" w:type="pct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07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7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0.69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07" w:type="pct"/>
            <w:vAlign w:val="center"/>
          </w:tcPr>
          <w:p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07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07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0.69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07" w:type="pct"/>
            <w:vAlign w:val="center"/>
          </w:tcPr>
          <w:p>
            <w:pPr>
              <w:pStyle w:val="2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07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......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72.62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22.31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07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14.18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07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14.99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07" w:type="pct"/>
            <w:vAlign w:val="center"/>
          </w:tcPr>
          <w:p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13.11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2.07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181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167.08</w:t>
            </w:r>
          </w:p>
        </w:tc>
        <w:tc>
          <w:tcPr>
            <w:tcW w:w="1283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167.4</w:t>
            </w:r>
          </w:p>
        </w:tc>
        <w:tc>
          <w:tcPr>
            <w:tcW w:w="1127" w:type="pct"/>
            <w:gridSpan w:val="2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07" w:type="pct"/>
            <w:vMerge w:val="restart"/>
            <w:vAlign w:val="center"/>
          </w:tcPr>
          <w:p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579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602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688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594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621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505" w:type="pct"/>
            <w:vAlign w:val="center"/>
          </w:tcPr>
          <w:p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07" w:type="pct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79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02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88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94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21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05" w:type="pct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07" w:type="pc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3592" w:type="pct"/>
            <w:gridSpan w:val="6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3" w:beforeLines="30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填表人：刘期平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 填报日期：2024.05.21  联系电话：13873921738  单位负责人签字：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97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隆回县农村经营服务站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167.4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616.4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616.4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616.4</w:t>
            </w:r>
          </w:p>
        </w:tc>
        <w:tc>
          <w:tcPr>
            <w:tcW w:w="4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616.4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616.4</w:t>
            </w:r>
          </w:p>
        </w:tc>
        <w:tc>
          <w:tcPr>
            <w:tcW w:w="4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720" w:firstLineChars="40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4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900" w:firstLineChars="50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项目资金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4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260" w:firstLineChars="70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4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1080" w:firstLineChars="60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48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新型经营主体培育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80家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92家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土地纠纷仲裁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很多土地纠纷现乡镇已做调解处理，不要再仲裁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指标：土地纠纷调解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1起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土地纠纷乡都已分解到乡镇，乡镇调解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验收合格率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新型经营主体培育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1年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每起土地纠纷调解、仲裁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3个月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3个月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各项工作开展差旅费、办公费、会议费、培训费等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20万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21.97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村级集体经济组织收入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9800万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10268万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服务群众满意度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360"/>
              <w:jc w:val="left"/>
              <w:textAlignment w:val="auto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spacing w:line="600" w:lineRule="exact"/>
        <w:jc w:val="left"/>
        <w:rPr>
          <w:rFonts w:hint="eastAsia" w:ascii="仿宋" w:hAnsi="仿宋" w:eastAsia="仿宋" w:cs="仿宋"/>
          <w:kern w:val="0"/>
        </w:rPr>
      </w:pPr>
      <w:r>
        <w:rPr>
          <w:rFonts w:eastAsia="仿宋_GB2312"/>
          <w:kern w:val="0"/>
          <w:sz w:val="21"/>
          <w:szCs w:val="21"/>
        </w:rPr>
        <w:t>填表人：</w:t>
      </w:r>
      <w:r>
        <w:rPr>
          <w:rFonts w:hint="eastAsia" w:eastAsia="仿宋_GB2312"/>
          <w:kern w:val="0"/>
          <w:sz w:val="21"/>
          <w:szCs w:val="21"/>
          <w:lang w:eastAsia="zh-CN"/>
        </w:rPr>
        <w:t>刘期平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eastAsia="仿宋_GB2312"/>
          <w:kern w:val="0"/>
          <w:sz w:val="21"/>
          <w:szCs w:val="21"/>
        </w:rPr>
        <w:t xml:space="preserve">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2024.5.21</w:t>
      </w:r>
      <w:r>
        <w:rPr>
          <w:rFonts w:eastAsia="仿宋_GB2312"/>
          <w:kern w:val="0"/>
          <w:sz w:val="21"/>
          <w:szCs w:val="21"/>
        </w:rPr>
        <w:t xml:space="preserve">   联系电话：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13873921738</w:t>
      </w:r>
      <w:r>
        <w:rPr>
          <w:rFonts w:eastAsia="仿宋_GB2312"/>
          <w:kern w:val="0"/>
          <w:sz w:val="21"/>
          <w:szCs w:val="21"/>
        </w:rPr>
        <w:t xml:space="preserve">    单位负责人签字：</w:t>
      </w:r>
    </w:p>
    <w:sectPr>
      <w:headerReference r:id="rId3" w:type="default"/>
      <w:footerReference r:id="rId4" w:type="default"/>
      <w:footerReference r:id="rId5" w:type="even"/>
      <w:pgSz w:w="11905" w:h="16837"/>
      <w:pgMar w:top="1701" w:right="1417" w:bottom="1417" w:left="1417" w:header="720" w:footer="1020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EE2AD"/>
    <w:multiLevelType w:val="singleLevel"/>
    <w:tmpl w:val="E7BEE2A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jE5ZWI5NzNlZjFiMGM2MDliZjJiNTU4MGE3YTI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547AD1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6A1E38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15058D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A39AF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9EF1F1E"/>
    <w:rsid w:val="3A754CC9"/>
    <w:rsid w:val="3A771FCA"/>
    <w:rsid w:val="3B082DE1"/>
    <w:rsid w:val="3B4A51A8"/>
    <w:rsid w:val="3B563B4D"/>
    <w:rsid w:val="3BDC6748"/>
    <w:rsid w:val="3BEA370A"/>
    <w:rsid w:val="3C6B3628"/>
    <w:rsid w:val="3CD222CD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071C49"/>
    <w:rsid w:val="46222FA9"/>
    <w:rsid w:val="46A2058E"/>
    <w:rsid w:val="46D52711"/>
    <w:rsid w:val="47215957"/>
    <w:rsid w:val="474927B8"/>
    <w:rsid w:val="474A4715"/>
    <w:rsid w:val="475F4422"/>
    <w:rsid w:val="47743CD8"/>
    <w:rsid w:val="4786135E"/>
    <w:rsid w:val="4874505C"/>
    <w:rsid w:val="488F069E"/>
    <w:rsid w:val="48A56114"/>
    <w:rsid w:val="49136AFE"/>
    <w:rsid w:val="49201968"/>
    <w:rsid w:val="49C20D29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B60EBE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465BFF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CFEF36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6FFF95F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3B4D95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CB395CB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9EC7F2"/>
    <w:rsid w:val="7EB048EF"/>
    <w:rsid w:val="7F930498"/>
    <w:rsid w:val="7FA61257"/>
    <w:rsid w:val="7FBC5A54"/>
    <w:rsid w:val="7FDB2EBE"/>
    <w:rsid w:val="7FFD1F4F"/>
    <w:rsid w:val="9EBED906"/>
    <w:rsid w:val="E9A757E6"/>
    <w:rsid w:val="F7FAFC61"/>
    <w:rsid w:val="FBE77A08"/>
    <w:rsid w:val="FE6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 w:cs="Times New Roman"/>
      <w:sz w:val="32"/>
    </w:rPr>
  </w:style>
  <w:style w:type="paragraph" w:styleId="6">
    <w:name w:val="toa heading"/>
    <w:basedOn w:val="1"/>
    <w:next w:val="1"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4510</Words>
  <Characters>4803</Characters>
  <Lines>0</Lines>
  <Paragraphs>0</Paragraphs>
  <TotalTime>38</TotalTime>
  <ScaleCrop>false</ScaleCrop>
  <LinksUpToDate>false</LinksUpToDate>
  <CharactersWithSpaces>5061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2021-04-21T23:48:00Z</dcterms:created>
  <dc:creator>彭礼孝</dc:creator>
  <cp:lastModifiedBy>thtf</cp:lastModifiedBy>
  <cp:lastPrinted>2024-07-05T08:53:01Z</cp:lastPrinted>
  <dcterms:modified xsi:type="dcterms:W3CDTF">2024-07-05T08:53:51Z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AB810C59E2894EE691622EC438F15754_13</vt:lpwstr>
  </property>
</Properties>
</file>