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隆回县医疗保障局2023年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（一）机构设置情况、人员编制情况、主要职能职责、202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、绩效目标设定情况。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隆回县医疗保障局是2019年3月新成立的正科级县政府工作部门。下辖两二级机构：隆回县医疗保障事务中心（参公）、医保基金稽核中心（事业）。局机关编制9名，实有人数9人；隆回县医疗保障事务中心编制48名，实有46人，退休4人；医保基金稽核中心编制27名，实有27人，退休1人。医疗保障事务中心小车1台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职能职责：1.贯彻执行国家和省、市基本医疗保险、生育保险、医疗救助等医疗保障工作方针政策和法律法规，拟定相关地方性政策、规划和标准；2.组织制定并实施全县医疗保障基金监督管理办法，监督管理全县医疗保障基金；3.组织全县医疗保障资金筹措、落实医保和待遇政策；4.组织实施全县城乡统一的药品、医用耗材、医疗服务项目、医疗服务设施等医保目录和支付标准，建立了动态调整机制；5.组织制定实施全县药品、医用耗材价格等政策，建立医保支付医药服务价格合理确定和动态调整机制；6.贯彻落实国家和省市有关药品、医用耗材招标采购政策，制定全县药品、医用耗材招标采购措施并组织实施；7.制定定点医药机构协议和支付管理办法并组织实施，建立健全医疗保障信用评价体系和信息披露制度，依法查处医疗保障领域违法违规行为；8.负责全县医疗保障经办管理、公共服务体系和信息化建设；9.负责城乡大病医疗救助管理工作，完善城乡困难群众大病医疗救助制度；10.完成县委、县政府和市医保局交办的其它任务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重点工作：1.进一步加强经办服务体系建设。以提高乡镇（街道）、村（社区）经办能力为重点，引导群众到“家门口”办事，充分发挥“15分钟服务圈”作用；2.持续加强医保经办服务能力建设。通过多种形式的学习、培训，不断提高经办服务能力和服务水平；3.进一步完善医保信息化建设。深入推进“互联网+医保”服务，全面推广应用医保电子凭证在就医、结算中的应用，逐步实现参保人员全覆盖；4.提升医保基金监管质效。加强部门信息共享和联合执法，严厉惩处欺诈骗保。进一步加强日常监管和两定机构服务协议管理常态化。利用智慧医保，采用智能化设备多方位对医疗费用进行事前、事中防范监管；5.全力以赴完成基金征缴工作，确保县城乡居民基本医疗保险参保率稳定在95%以上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2023年的绩效目标：1.城乡居民医疗保险参保率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95%；2.非税收入任务完成率100%；3.医疗救助申请发放符合规定，不存在优亲厚友、挪用等情况；4.医疗救助及时足额发放；5.医保基金运行安全平稳；6.规范两定机构诊疗行为；7.最大程度方便群众看病就医报销；8.群众满意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95%。</w:t>
      </w:r>
    </w:p>
    <w:p>
      <w:pPr>
        <w:pStyle w:val="11"/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部门整体支出情况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2023年本单位年度总支出9326.79万元。其中基本支出1389.89万元、项目支出7936.90万元。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numPr>
          <w:ilvl w:val="0"/>
          <w:numId w:val="0"/>
        </w:numPr>
        <w:ind w:left="531" w:left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  <w:r>
        <w:rPr>
          <w:rFonts w:hint="eastAsia" w:eastAsia="仿宋_GB2312"/>
          <w:sz w:val="32"/>
          <w:szCs w:val="32"/>
          <w:lang w:val="en-US" w:eastAsia="zh-CN"/>
        </w:rPr>
        <w:t>：2023年基本支出1389.89万元。其中人员经费1088.67万元，日常公用经费301.22万元。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（二）县级专项资金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2023年度本单位无县级专项支出。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2023年本单位因公出国（境）费用为0万元。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2023年本单位公务接待费为1.14万元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2023年度公务用车购置费为0万元，公务用车运行维护费0.69万元。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2023年度本单位政府性基金预算支出1.05万元，是2022年度结转的中央医疗救助资金，用于支付2023年1-10月25日一二类对象医疗救助。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四、国有资本经营预算支出情况：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2023年度本单位无国有资本经营预算支出。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五、社会保险基金预算支出情况：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2023年度本单位无社会保险基金预算支出。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医疗救助对象稳步拓展。覆盖了特困人员、孤儿、事实无人抚养儿童、低保对象、重度残疾人、边缘家庭成员、监测对象等。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2023年共救助229265人次，其中住院救助22575人次、门诊救助142879人次。医疗救助资金已足额及时发放到救助对象账户中；2.2023年度已缴国库的非税收入为198.89万元，非税收入完成率110.49%；3.圆满完成参保任务。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2023年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度共参保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102.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98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，参保率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省加权任务数的96.03%，参保总量和参保率均为邵阳市第一，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lang w:val="en-US" w:eastAsia="zh-CN" w:bidi="ar-SA"/>
        </w:rPr>
        <w:t>获评全省“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2023年度城乡居民基本医疗保险费征收工作突出单位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lang w:val="en-US" w:eastAsia="zh-CN" w:bidi="ar-SA"/>
        </w:rPr>
        <w:t>”；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.加强两定机构管理，紧抓基金监管不放松，大力规范诊疗行为，确保医保基金使用规范。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  <w:t>2023年共追回或拒付医保基金671.18万元，罚款637.91万元，</w:t>
      </w: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发布检查处理通报13期，移送纪检、公安、卫健问题线索11个。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与所有联网结算定点医疗机构签订了2023年医保服务电子协议，对2022年度履行协议情况进行了绩效考核，按考核成绩评定优秀、良好、三个等级，暂停医保协议、限期整改5家，取消医疗保障定点资格1家，扣除保证金14.28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组织开展了6批自查自纠活动，累计发现问题181个，退还医保基金28.66万元。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扎实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开展了民营医院提级整改交叉检查、配合第三方机构大数据比对专项检查、门诊基金使用检查等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行动，特别是打击欺诈骗保专项整治暨五医联动集中整治成效显著，对县人民医院追回违规基金1317465.72元、罚款1740784.9元，并将虚记白内障手术人工晶体费用问题移交县纪委监委进一步处理，将药品、耗材违规进销等财务问题移交县卫健局处理；5.</w:t>
      </w: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lang w:val="en-US" w:eastAsia="zh-CN" w:bidi="ar-SA"/>
        </w:rPr>
        <w:t>我县医保基金运行安全平稳，2023年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城乡居民医保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收入9.82亿元，总支出10.7亿元（含2021及2022年异地联网跨省及省内住院资金清算1.65亿元），累计基金结余5.58亿元。职工医保全年总收入2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元，总支出1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元，当前累计结余3.1亿元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6.办事群众满意度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目前，我县定点协议医疗机构58家，定点协议零售药店204家，定点门诊服务药店43家，医保基金监管点多线长面广，加之职工门诊共济政策的推进实施和城乡居民门诊的全面放开，给医保基金监管工作增加了巨大的工作量和难度。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八、改进措施及有关建议：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lang w:val="en-US" w:eastAsia="zh-CN" w:bidi="ar-SA"/>
        </w:rPr>
        <w:t>持续深化医保支付方式改革，平稳实施DIP支付方式，落实“互联网+”医疗服务价格和医保支付政策；持续开展打击欺诈骗保套保挪用贪占医保基金集中整治行动，协同卫健、公安、市监等部门确保监督检查全覆盖</w:t>
      </w: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pStyle w:val="11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kern w:val="0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440" w:right="1916" w:bottom="567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11C45"/>
    <w:multiLevelType w:val="singleLevel"/>
    <w:tmpl w:val="9B011C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MDZjOWVkMWFlNjYwOWZiMDkwNTAzZWZhMDNkOTQ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257CA"/>
    <w:rsid w:val="06536294"/>
    <w:rsid w:val="06F51A39"/>
    <w:rsid w:val="07155C37"/>
    <w:rsid w:val="071F2B16"/>
    <w:rsid w:val="07287718"/>
    <w:rsid w:val="074D22E3"/>
    <w:rsid w:val="077E558A"/>
    <w:rsid w:val="086C1887"/>
    <w:rsid w:val="08FD0574"/>
    <w:rsid w:val="095A56B6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AF22EB6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6E102C"/>
    <w:rsid w:val="0E8F2773"/>
    <w:rsid w:val="0EB07E8D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1F172C"/>
    <w:rsid w:val="18383533"/>
    <w:rsid w:val="184E2D57"/>
    <w:rsid w:val="18956BD8"/>
    <w:rsid w:val="18BC23B6"/>
    <w:rsid w:val="18CE1C3F"/>
    <w:rsid w:val="18D538B0"/>
    <w:rsid w:val="18E032C2"/>
    <w:rsid w:val="19954A44"/>
    <w:rsid w:val="19A277FE"/>
    <w:rsid w:val="19AC4C5A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521551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1BB2FE4"/>
    <w:rsid w:val="220527FD"/>
    <w:rsid w:val="22BE0E76"/>
    <w:rsid w:val="22DE4C55"/>
    <w:rsid w:val="22F64241"/>
    <w:rsid w:val="23250B58"/>
    <w:rsid w:val="244A2F6C"/>
    <w:rsid w:val="2483632E"/>
    <w:rsid w:val="24883A94"/>
    <w:rsid w:val="24AE34FB"/>
    <w:rsid w:val="24CE14D2"/>
    <w:rsid w:val="24F9229C"/>
    <w:rsid w:val="25127286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6D225BE"/>
    <w:rsid w:val="273852FE"/>
    <w:rsid w:val="274517C9"/>
    <w:rsid w:val="27873B8F"/>
    <w:rsid w:val="27BE584A"/>
    <w:rsid w:val="281D135F"/>
    <w:rsid w:val="28377363"/>
    <w:rsid w:val="284F4AD8"/>
    <w:rsid w:val="28BF4190"/>
    <w:rsid w:val="28C4406E"/>
    <w:rsid w:val="28C878C3"/>
    <w:rsid w:val="29037B8D"/>
    <w:rsid w:val="29B003A4"/>
    <w:rsid w:val="2A4918C6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EB92346"/>
    <w:rsid w:val="2EFA782D"/>
    <w:rsid w:val="2F4D139E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1316BD"/>
    <w:rsid w:val="3546366F"/>
    <w:rsid w:val="35492DCC"/>
    <w:rsid w:val="357070B5"/>
    <w:rsid w:val="35867B7C"/>
    <w:rsid w:val="36FD3A2F"/>
    <w:rsid w:val="37017A35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A884E1F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292E1B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1164A5"/>
    <w:rsid w:val="4DE4323A"/>
    <w:rsid w:val="4E0B709E"/>
    <w:rsid w:val="4E2A5D47"/>
    <w:rsid w:val="4E5C1CEF"/>
    <w:rsid w:val="4E7E368F"/>
    <w:rsid w:val="4ED02B7B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3A7A99"/>
    <w:rsid w:val="5167040A"/>
    <w:rsid w:val="521E54EC"/>
    <w:rsid w:val="522E2CD6"/>
    <w:rsid w:val="527E3C5D"/>
    <w:rsid w:val="52C25ED5"/>
    <w:rsid w:val="53733B11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6B917C4"/>
    <w:rsid w:val="56D24193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2F6141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4E70EB4"/>
    <w:rsid w:val="6502071E"/>
    <w:rsid w:val="650E0E71"/>
    <w:rsid w:val="65491EA9"/>
    <w:rsid w:val="6570550E"/>
    <w:rsid w:val="65A417D5"/>
    <w:rsid w:val="65B57F02"/>
    <w:rsid w:val="65B75B1D"/>
    <w:rsid w:val="65BA2DA7"/>
    <w:rsid w:val="65D06126"/>
    <w:rsid w:val="65ED7F30"/>
    <w:rsid w:val="666A3541"/>
    <w:rsid w:val="66FC06A2"/>
    <w:rsid w:val="670B01C0"/>
    <w:rsid w:val="68045877"/>
    <w:rsid w:val="682235A3"/>
    <w:rsid w:val="682D5AB2"/>
    <w:rsid w:val="68456707"/>
    <w:rsid w:val="684673CA"/>
    <w:rsid w:val="685A261F"/>
    <w:rsid w:val="68B9377C"/>
    <w:rsid w:val="68C53B15"/>
    <w:rsid w:val="69074555"/>
    <w:rsid w:val="692F7608"/>
    <w:rsid w:val="695232F6"/>
    <w:rsid w:val="69780FAF"/>
    <w:rsid w:val="69CB5582"/>
    <w:rsid w:val="6A3F1ACC"/>
    <w:rsid w:val="6A522671"/>
    <w:rsid w:val="6A531C00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023972"/>
    <w:rsid w:val="6D946D06"/>
    <w:rsid w:val="6DF27FD2"/>
    <w:rsid w:val="6E615BFD"/>
    <w:rsid w:val="6E71421E"/>
    <w:rsid w:val="6E9469BC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2D47A43"/>
    <w:rsid w:val="73301622"/>
    <w:rsid w:val="7343262D"/>
    <w:rsid w:val="738B5D82"/>
    <w:rsid w:val="73B0722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CF545B"/>
    <w:rsid w:val="78D51699"/>
    <w:rsid w:val="78FD502C"/>
    <w:rsid w:val="790A5798"/>
    <w:rsid w:val="79367029"/>
    <w:rsid w:val="79A96F62"/>
    <w:rsid w:val="79C42DA7"/>
    <w:rsid w:val="79DC699D"/>
    <w:rsid w:val="79DE00CB"/>
    <w:rsid w:val="7A031D57"/>
    <w:rsid w:val="7A171B0F"/>
    <w:rsid w:val="7A3613CA"/>
    <w:rsid w:val="7A5004C6"/>
    <w:rsid w:val="7AF4420D"/>
    <w:rsid w:val="7AFE508C"/>
    <w:rsid w:val="7B09415C"/>
    <w:rsid w:val="7B3D3D71"/>
    <w:rsid w:val="7B5573A2"/>
    <w:rsid w:val="7C957FAD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7656E2"/>
    <w:rsid w:val="7EB048EF"/>
    <w:rsid w:val="7F930498"/>
    <w:rsid w:val="7FA61257"/>
    <w:rsid w:val="7FAC7B0B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unhideWhenUsed/>
    <w:qFormat/>
    <w:uiPriority w:val="1"/>
    <w:pPr>
      <w:ind w:left="111"/>
    </w:pPr>
    <w:rPr>
      <w:rFonts w:hint="eastAsia" w:ascii="仿宋_GB2312" w:hAnsi="仿宋_GB2312" w:eastAsia="仿宋_GB2312"/>
      <w:sz w:val="3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7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spacing w:line="580" w:lineRule="exact"/>
      <w:jc w:val="left"/>
    </w:pPr>
    <w:rPr>
      <w:rFonts w:ascii="Calibri" w:hAnsi="Calibri" w:eastAsia="宋体" w:cs="Times New Roman"/>
    </w:rPr>
  </w:style>
  <w:style w:type="paragraph" w:styleId="11">
    <w:name w:val="Body Text First Indent 2"/>
    <w:basedOn w:val="7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4510</Words>
  <Characters>4803</Characters>
  <Lines>0</Lines>
  <Paragraphs>0</Paragraphs>
  <TotalTime>6</TotalTime>
  <ScaleCrop>false</ScaleCrop>
  <LinksUpToDate>false</LinksUpToDate>
  <CharactersWithSpaces>5061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2024-04-23T08:44:00Z</cp:lastPrinted>
  <dcterms:modified xsi:type="dcterms:W3CDTF">2024-09-03T00:10:06Z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AB810C59E2894EE691622EC438F15754_13</vt:lpwstr>
  </property>
</Properties>
</file>