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3" w:rightChars="31"/>
        <w:jc w:val="left"/>
        <w:textAlignment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附件4</w:t>
      </w:r>
    </w:p>
    <w:p>
      <w:pPr>
        <w:widowControl/>
        <w:ind w:right="63" w:rightChars="31"/>
        <w:jc w:val="center"/>
        <w:textAlignment w:val="center"/>
        <w:rPr>
          <w:rFonts w:ascii="创艺简标宋" w:hAnsi="创艺简标宋" w:eastAsia="创艺简标宋" w:cs="创艺简标宋"/>
          <w:sz w:val="36"/>
          <w:szCs w:val="36"/>
        </w:rPr>
      </w:pPr>
      <w:bookmarkStart w:id="0" w:name="_GoBack"/>
      <w:r>
        <w:rPr>
          <w:rFonts w:ascii="创艺简标宋" w:hAnsi="创艺简标宋" w:eastAsia="创艺简标宋" w:cs="创艺简标宋"/>
          <w:sz w:val="36"/>
          <w:szCs w:val="36"/>
        </w:rPr>
        <w:t>绩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 xml:space="preserve"> </w:t>
      </w:r>
      <w:r>
        <w:rPr>
          <w:rFonts w:ascii="创艺简标宋" w:hAnsi="创艺简标宋" w:eastAsia="创艺简标宋" w:cs="创艺简标宋"/>
          <w:sz w:val="36"/>
          <w:szCs w:val="36"/>
        </w:rPr>
        <w:t>效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 xml:space="preserve"> </w:t>
      </w:r>
      <w:r>
        <w:rPr>
          <w:rFonts w:ascii="创艺简标宋" w:hAnsi="创艺简标宋" w:eastAsia="创艺简标宋" w:cs="创艺简标宋"/>
          <w:sz w:val="36"/>
          <w:szCs w:val="36"/>
        </w:rPr>
        <w:t>目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 xml:space="preserve"> </w:t>
      </w:r>
      <w:r>
        <w:rPr>
          <w:rFonts w:ascii="创艺简标宋" w:hAnsi="创艺简标宋" w:eastAsia="创艺简标宋" w:cs="创艺简标宋"/>
          <w:sz w:val="36"/>
          <w:szCs w:val="36"/>
        </w:rPr>
        <w:t>标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 xml:space="preserve"> </w:t>
      </w:r>
      <w:r>
        <w:rPr>
          <w:rFonts w:ascii="创艺简标宋" w:hAnsi="创艺简标宋" w:eastAsia="创艺简标宋" w:cs="创艺简标宋"/>
          <w:sz w:val="36"/>
          <w:szCs w:val="36"/>
        </w:rPr>
        <w:t>表</w:t>
      </w:r>
    </w:p>
    <w:bookmarkEnd w:id="0"/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72"/>
        <w:gridCol w:w="1590"/>
        <w:gridCol w:w="3275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项目名称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隆回县2024年度森林植被恢复费</w:t>
            </w:r>
            <w:r>
              <w:rPr>
                <w:rFonts w:hint="eastAsia" w:ascii="方正仿宋简体" w:hAnsi="Calibri" w:eastAsia="方正仿宋简体"/>
                <w:spacing w:val="-4"/>
                <w:sz w:val="22"/>
                <w:szCs w:val="22"/>
              </w:rPr>
              <w:t>安排项目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实施单位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县林业局、相关乡镇（街道）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下达资金计划（万元）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496.6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体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标</w:t>
            </w:r>
          </w:p>
        </w:tc>
        <w:tc>
          <w:tcPr>
            <w:tcW w:w="8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、完成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2025年义务植树基地建设（魏源公园）1处；2、完成2025年春季造林（生态小苗、油茶苗和经济林苗木）苗木采购3次；3、完成2023-2024年林火阻隔系统及消防蓄水池建设“两年行动”（2024年建设任务）；4、完成2024年度森林防火应急道路建设20千米；5、完成2024年花门—虎形山公路绿化提质；6、完成2025年花门—金石桥美丽乡村院落绿化；7、完成望云山村林区道路维修1段；8、完成“十五五”规划林业规划；9、完成2024年度森林草原湿地荒漠化普查、湿地公园生态监测与评价和2025年度森林督查暨图斑监测等3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效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标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一级指标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二级指标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三级指标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sz w:val="18"/>
                <w:szCs w:val="18"/>
              </w:rPr>
              <w:t>数量指标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2025年义务植树基地建设（魏源公园）（处）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东文宋体" w:hAnsi="东文宋体" w:eastAsia="东文宋体" w:cs="东文宋体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2024年春季造林（生态小苗、油茶苗和望云山村经济林苗木）苗木采购（次）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ascii="东文宋体" w:hAnsi="东文宋体" w:eastAsia="东文宋体" w:cs="东文宋体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2023-2024年林火阻隔系统及消防蓄水池建设“两年行动”（2024年建设任务）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ascii="东文宋体" w:hAnsi="东文宋体" w:eastAsia="东文宋体" w:cs="东文宋体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2024年度森林防火应急道路建设（千米）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≥20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2024年花门—虎形山公路绿化提质（次）</w:t>
            </w: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≥1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≥1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7"/>
                <w:szCs w:val="17"/>
              </w:rPr>
              <w:t>2025年花门—金石桥美丽乡村院落绿化（次）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≥1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森林草原湿地荒漠化普查、2024年湿地公园生态监测与评价和2025年度森林督查暨图斑监测（次）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≥3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“十五五”规划林业规划编制（次）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≥1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林区道路维修（段）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东文宋体" w:hAnsi="东文宋体" w:eastAsia="东文宋体" w:cs="东文宋体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质量指标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项目质量验收合格率（≥**%）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时效指标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项目开工、竣工及时性（≥**%）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项目资金预算执行率（≥**%）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成本指标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严格按预算、合同约定执行（是否）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效益指标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经济效益指标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林火阻隔系统、林区道路建设有效挽回林农经济损失（是否有效）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油茶林盛果期年产值（万元/年）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发展庭院经济（经济林盛果期）年产值（万元/年）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sz w:val="18"/>
                <w:szCs w:val="18"/>
              </w:rPr>
              <w:t>社会效益指标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项目建设带动周边群众劳务增收（万元）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东文宋体" w:hAnsi="东文宋体" w:eastAsia="东文宋体" w:cs="东文宋体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义务植树、院落绿化、道路绿化有效提升群众生活幸福指数（是否有效）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sz w:val="18"/>
                <w:szCs w:val="18"/>
              </w:rPr>
              <w:t>生态效益指标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项目建设推动森林植被恢复、国土绿化等生态文明建设效果（是否明显）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sz w:val="18"/>
                <w:szCs w:val="18"/>
              </w:rPr>
              <w:t>可持续影响指标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林业规划、资源调查、生态监测有效指导林草事业持续发展（是否有效）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火阻隔系统建设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有效维护林区经济社会稳定发展（是否有效）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防火应急道路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建设有效提升森林防灭火应急能力可持续影响（是否提升）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sz w:val="18"/>
                <w:szCs w:val="18"/>
              </w:rPr>
              <w:t>满意度指标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受益对象满意度（%）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林区群众满意度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（≥**%）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东文宋体" w:hAnsi="东文宋体" w:eastAsia="东文宋体" w:cs="东文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sz w:val="18"/>
                <w:szCs w:val="18"/>
              </w:rPr>
              <w:t>90%</w:t>
            </w:r>
          </w:p>
        </w:tc>
      </w:tr>
    </w:tbl>
    <w:p>
      <w:pPr>
        <w:spacing w:line="520" w:lineRule="exact"/>
        <w:rPr>
          <w:rFonts w:ascii="方正仿宋简体" w:hAnsi="仿宋_GB2312" w:eastAsia="方正仿宋简体" w:cs="仿宋_GB2312"/>
          <w:color w:val="FF0000"/>
          <w:sz w:val="18"/>
          <w:szCs w:val="18"/>
        </w:rPr>
      </w:pPr>
    </w:p>
    <w:p/>
    <w:sectPr>
      <w:footerReference r:id="rId3" w:type="default"/>
      <w:pgSz w:w="11906" w:h="16838"/>
      <w:pgMar w:top="993" w:right="1418" w:bottom="1276" w:left="1644" w:header="567" w:footer="1020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z4vdRNAAAAACAQAADwAA&#10;AAAAAAABACAAAAA4AAAAZHJzL2Rvd25yZXYueG1sUEsBAhQAFAAAAAgAh07iQALtjuYIAgAAAQQA&#10;AA4AAAAAAAAAAQAgAAAANQ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BACC4"/>
    <w:rsid w:val="BF5550B6"/>
    <w:rsid w:val="EF5F80B5"/>
    <w:rsid w:val="F7D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table" w:styleId="4">
    <w:name w:val="Table Grid"/>
    <w:basedOn w:val="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2025-04-17T15:08:00Z</dcterms:created>
  <dc:creator>thtf</dc:creator>
  <cp:lastModifiedBy>thtf</cp:lastModifiedBy>
  <dcterms:modified xsi:type="dcterms:W3CDTF">2025-04-16T15:20:36Z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0FEC9D86BAA299C9445AFF67C4DB179F</vt:lpwstr>
  </property>
</Properties>
</file>