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大标宋简体" w:hAnsi="方正大标宋简体" w:eastAsia="方正大标宋简体" w:cs="方正大标宋简体"/>
          <w:bCs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方正大标宋简体" w:hAnsi="方正大标宋简体" w:eastAsia="方正大标宋简体" w:cs="方正大标宋简体"/>
          <w:bCs/>
          <w:kern w:val="0"/>
          <w:sz w:val="32"/>
          <w:szCs w:val="32"/>
          <w:lang w:eastAsia="zh-CN"/>
        </w:rPr>
        <w:t>202</w:t>
      </w:r>
      <w:r>
        <w:rPr>
          <w:rFonts w:hint="eastAsia" w:ascii="方正大标宋简体" w:hAnsi="方正大标宋简体" w:eastAsia="方正大标宋简体" w:cs="方正大标宋简体"/>
          <w:bCs/>
          <w:kern w:val="0"/>
          <w:sz w:val="32"/>
          <w:szCs w:val="32"/>
          <w:lang w:val="en-US" w:eastAsia="zh-CN"/>
        </w:rPr>
        <w:t>2</w:t>
      </w:r>
      <w:r>
        <w:rPr>
          <w:rFonts w:hint="eastAsia" w:ascii="方正大标宋简体" w:hAnsi="方正大标宋简体" w:eastAsia="方正大标宋简体" w:cs="方正大标宋简体"/>
          <w:bCs/>
          <w:kern w:val="0"/>
          <w:sz w:val="32"/>
          <w:szCs w:val="32"/>
        </w:rPr>
        <w:t>年度部门整体支出绩效自评基础数据表</w:t>
      </w:r>
    </w:p>
    <w:p>
      <w:pPr>
        <w:pStyle w:val="2"/>
        <w:ind w:left="0" w:leftChars="0" w:firstLine="0" w:firstLineChars="0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  <w:t>单位名称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(盖章）:隆回县科学技术协会</w:t>
      </w:r>
    </w:p>
    <w:tbl>
      <w:tblPr>
        <w:tblStyle w:val="8"/>
        <w:tblW w:w="90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1168"/>
        <w:gridCol w:w="2372"/>
        <w:gridCol w:w="605"/>
        <w:gridCol w:w="567"/>
        <w:gridCol w:w="992"/>
        <w:gridCol w:w="446"/>
        <w:gridCol w:w="900"/>
        <w:gridCol w:w="525"/>
        <w:gridCol w:w="8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exact"/>
          <w:jc w:val="center"/>
        </w:trPr>
        <w:tc>
          <w:tcPr>
            <w:tcW w:w="533" w:type="dxa"/>
            <w:vMerge w:val="restart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基本情况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编制人数</w:t>
            </w:r>
          </w:p>
        </w:tc>
        <w:tc>
          <w:tcPr>
            <w:tcW w:w="2977" w:type="dxa"/>
            <w:gridSpan w:val="2"/>
            <w:noWrap w:val="0"/>
            <w:vAlign w:val="top"/>
          </w:tcPr>
          <w:p>
            <w:pPr>
              <w:spacing w:line="540" w:lineRule="exact"/>
              <w:ind w:firstLine="105" w:firstLineChars="50"/>
              <w:jc w:val="center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7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实有人数</w:t>
            </w:r>
          </w:p>
        </w:tc>
        <w:tc>
          <w:tcPr>
            <w:tcW w:w="2763" w:type="dxa"/>
            <w:gridSpan w:val="4"/>
            <w:noWrap w:val="0"/>
            <w:vAlign w:val="top"/>
          </w:tcPr>
          <w:p>
            <w:pPr>
              <w:spacing w:line="540" w:lineRule="exact"/>
              <w:ind w:firstLine="105" w:firstLineChars="50"/>
              <w:jc w:val="center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2" w:hRule="exact"/>
          <w:jc w:val="center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部门职能概述</w:t>
            </w:r>
          </w:p>
        </w:tc>
        <w:tc>
          <w:tcPr>
            <w:tcW w:w="7299" w:type="dxa"/>
            <w:gridSpan w:val="8"/>
            <w:noWrap w:val="0"/>
            <w:vAlign w:val="top"/>
          </w:tcPr>
          <w:p>
            <w:pPr>
              <w:pStyle w:val="7"/>
              <w:widowControl/>
              <w:rPr>
                <w:rFonts w:ascii="仿宋" w:hAnsi="仿宋" w:eastAsia="仿宋" w:cs="仿宋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传播科学思想，宏扬科学精神，倡导科学方法，普及科学知识，推广先进技术，开展青少年科学技术活动和科技论证，提供科技咨询，为提高全民科学文化素质服务。</w:t>
            </w:r>
          </w:p>
          <w:p>
            <w:pPr>
              <w:spacing w:line="340" w:lineRule="exact"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exact"/>
          <w:jc w:val="center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168" w:type="dxa"/>
            <w:vMerge w:val="restart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年度收入（万元）</w:t>
            </w:r>
          </w:p>
        </w:tc>
        <w:tc>
          <w:tcPr>
            <w:tcW w:w="237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县财政预算安排</w:t>
            </w:r>
          </w:p>
        </w:tc>
        <w:tc>
          <w:tcPr>
            <w:tcW w:w="117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373.63</w:t>
            </w:r>
          </w:p>
        </w:tc>
        <w:tc>
          <w:tcPr>
            <w:tcW w:w="1438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非税收入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525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合计</w:t>
            </w:r>
          </w:p>
        </w:tc>
        <w:tc>
          <w:tcPr>
            <w:tcW w:w="892" w:type="dxa"/>
            <w:vMerge w:val="restart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403.44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exact"/>
          <w:jc w:val="center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168" w:type="dxa"/>
            <w:vMerge w:val="continue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237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中央省市安排资金</w:t>
            </w:r>
          </w:p>
        </w:tc>
        <w:tc>
          <w:tcPr>
            <w:tcW w:w="117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438" w:type="dxa"/>
            <w:gridSpan w:val="2"/>
            <w:noWrap w:val="0"/>
            <w:vAlign w:val="center"/>
          </w:tcPr>
          <w:p>
            <w:pPr>
              <w:spacing w:line="560" w:lineRule="exact"/>
              <w:ind w:firstLine="315" w:firstLineChars="150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其他收入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29.81</w:t>
            </w:r>
          </w:p>
        </w:tc>
        <w:tc>
          <w:tcPr>
            <w:tcW w:w="525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892" w:type="dxa"/>
            <w:vMerge w:val="continue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exact"/>
          <w:jc w:val="center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16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年度支出</w:t>
            </w:r>
          </w:p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（万元）</w:t>
            </w:r>
          </w:p>
        </w:tc>
        <w:tc>
          <w:tcPr>
            <w:tcW w:w="237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基本支出</w:t>
            </w:r>
          </w:p>
        </w:tc>
        <w:tc>
          <w:tcPr>
            <w:tcW w:w="117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162.46</w:t>
            </w:r>
          </w:p>
        </w:tc>
        <w:tc>
          <w:tcPr>
            <w:tcW w:w="1438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项目支出</w:t>
            </w:r>
          </w:p>
        </w:tc>
        <w:tc>
          <w:tcPr>
            <w:tcW w:w="90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280.38</w:t>
            </w:r>
          </w:p>
        </w:tc>
        <w:tc>
          <w:tcPr>
            <w:tcW w:w="52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合计</w:t>
            </w:r>
          </w:p>
        </w:tc>
        <w:tc>
          <w:tcPr>
            <w:tcW w:w="89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442.84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exact"/>
          <w:jc w:val="center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16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2372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其中三公经费支出</w:t>
            </w:r>
          </w:p>
        </w:tc>
        <w:tc>
          <w:tcPr>
            <w:tcW w:w="117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2.72</w:t>
            </w:r>
          </w:p>
        </w:tc>
        <w:tc>
          <w:tcPr>
            <w:tcW w:w="1438" w:type="dxa"/>
            <w:gridSpan w:val="2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900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52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89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exact"/>
          <w:jc w:val="center"/>
        </w:trPr>
        <w:tc>
          <w:tcPr>
            <w:tcW w:w="533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实施情况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财政供养人员控制情况</w:t>
            </w:r>
          </w:p>
        </w:tc>
        <w:tc>
          <w:tcPr>
            <w:tcW w:w="7299" w:type="dxa"/>
            <w:gridSpan w:val="8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是否存在超编超配人员：   是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    否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7" w:hRule="exact"/>
          <w:jc w:val="center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三公经费管理情况</w:t>
            </w:r>
          </w:p>
        </w:tc>
        <w:tc>
          <w:tcPr>
            <w:tcW w:w="7299" w:type="dxa"/>
            <w:gridSpan w:val="8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是否制定“三公”经费管理办法：是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☑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    否□</w:t>
            </w:r>
          </w:p>
          <w:p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招待费用是否明确招待标准和招待人数：是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☑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    否□</w:t>
            </w:r>
          </w:p>
          <w:p>
            <w:pPr>
              <w:jc w:val="left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公务用车购置运行费是否比上年度下降: 是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   否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☑</w:t>
            </w:r>
          </w:p>
          <w:p>
            <w:pPr>
              <w:jc w:val="left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三公经费是否比年度下降：是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 否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5" w:hRule="exact"/>
          <w:jc w:val="center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非税收入完成情况</w:t>
            </w:r>
          </w:p>
        </w:tc>
        <w:tc>
          <w:tcPr>
            <w:tcW w:w="7299" w:type="dxa"/>
            <w:gridSpan w:val="8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年度非税收入是否完成: 是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   否□</w:t>
            </w:r>
          </w:p>
          <w:p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是否实行收支两条线管理：是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    否□</w:t>
            </w:r>
          </w:p>
          <w:p>
            <w:pPr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有无截留、坐支、转移等现象:有□     无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4" w:hRule="exact"/>
          <w:jc w:val="center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政府采购及金额</w:t>
            </w:r>
          </w:p>
        </w:tc>
        <w:tc>
          <w:tcPr>
            <w:tcW w:w="7299" w:type="dxa"/>
            <w:gridSpan w:val="8"/>
            <w:noWrap w:val="0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年度是否制定了政府采购计划：是 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☑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   □否</w:t>
            </w:r>
          </w:p>
          <w:p>
            <w:pPr>
              <w:spacing w:line="360" w:lineRule="exac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应采购金额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4.72</w:t>
            </w:r>
            <w:r>
              <w:rPr>
                <w:rFonts w:hint="eastAsia" w:ascii="仿宋" w:hAnsi="仿宋" w:eastAsia="仿宋" w:cs="仿宋"/>
                <w:szCs w:val="21"/>
              </w:rPr>
              <w:t>万元，实际采购金额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4.72</w:t>
            </w:r>
            <w:r>
              <w:rPr>
                <w:rFonts w:hint="eastAsia" w:ascii="仿宋" w:hAnsi="仿宋" w:eastAsia="仿宋" w:cs="仿宋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0" w:hRule="exact"/>
          <w:jc w:val="center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预算执行</w:t>
            </w:r>
          </w:p>
        </w:tc>
        <w:tc>
          <w:tcPr>
            <w:tcW w:w="7299" w:type="dxa"/>
            <w:gridSpan w:val="8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本年度是否追加了预算:是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 否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☑</w:t>
            </w:r>
            <w:r>
              <w:rPr>
                <w:rFonts w:hint="eastAsia" w:ascii="仿宋" w:hAnsi="仿宋" w:eastAsia="仿宋" w:cs="仿宋"/>
                <w:szCs w:val="21"/>
              </w:rPr>
              <w:t>, 追加金额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Cs w:val="21"/>
              </w:rPr>
              <w:t>万元</w:t>
            </w:r>
          </w:p>
          <w:p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本年度是否有结余: 是□   否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☑</w:t>
            </w:r>
            <w:r>
              <w:rPr>
                <w:rFonts w:hint="eastAsia" w:ascii="仿宋" w:hAnsi="仿宋" w:eastAsia="仿宋" w:cs="仿宋"/>
                <w:szCs w:val="21"/>
              </w:rPr>
              <w:t>,结余金额     万元</w:t>
            </w:r>
          </w:p>
          <w:p>
            <w:pPr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预决算信息是否公开: 是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☑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  否□</w:t>
            </w:r>
          </w:p>
          <w:p>
            <w:pPr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公开时间: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2022</w:t>
            </w:r>
            <w:r>
              <w:rPr>
                <w:rFonts w:hint="eastAsia" w:ascii="仿宋" w:hAnsi="仿宋" w:eastAsia="仿宋" w:cs="仿宋"/>
                <w:szCs w:val="21"/>
              </w:rPr>
              <w:t>年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Cs w:val="21"/>
              </w:rPr>
              <w:t>月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15</w:t>
            </w:r>
            <w:r>
              <w:rPr>
                <w:rFonts w:hint="eastAsia" w:ascii="仿宋" w:hAnsi="仿宋" w:eastAsia="仿宋" w:cs="仿宋"/>
                <w:szCs w:val="21"/>
              </w:rPr>
              <w:t>日</w:t>
            </w:r>
          </w:p>
          <w:p>
            <w:pPr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公开方式:门户网站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☑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    单位内部□      其它□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0" w:hRule="exact"/>
          <w:jc w:val="center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预算绩效管理</w:t>
            </w:r>
          </w:p>
        </w:tc>
        <w:tc>
          <w:tcPr>
            <w:tcW w:w="7299" w:type="dxa"/>
            <w:gridSpan w:val="8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部门预算和专项资金是否编制绩效目标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: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是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☑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   否□</w:t>
            </w:r>
          </w:p>
          <w:p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是否开展绩效运行监控：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是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☑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   否□</w:t>
            </w:r>
          </w:p>
          <w:p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是否开展绩效评价：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是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☑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   否□</w:t>
            </w:r>
          </w:p>
          <w:p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年度绩效目标和绩效评价报告是否信息公开：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是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☑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   否□</w:t>
            </w:r>
          </w:p>
          <w:p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上年度绩效评价反馈的问题是否整改到位：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是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☑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   否□</w:t>
            </w:r>
          </w:p>
          <w:p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绩效监控发现的问题是否及时纠正：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是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☑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   否□</w:t>
            </w:r>
          </w:p>
          <w:p>
            <w:pPr>
              <w:jc w:val="left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6" w:hRule="exact"/>
          <w:jc w:val="center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spacing w:line="240" w:lineRule="atLeas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财务管理</w:t>
            </w:r>
          </w:p>
        </w:tc>
        <w:tc>
          <w:tcPr>
            <w:tcW w:w="7299" w:type="dxa"/>
            <w:gridSpan w:val="8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</w:rPr>
              <w:t>会计机构</w:t>
            </w:r>
            <w:r>
              <w:rPr>
                <w:rFonts w:hint="eastAsia" w:ascii="仿宋" w:hAnsi="仿宋" w:eastAsia="仿宋" w:cs="仿宋"/>
                <w:lang w:eastAsia="zh-CN"/>
              </w:rPr>
              <w:t>或会计人员</w:t>
            </w:r>
            <w:r>
              <w:rPr>
                <w:rFonts w:hint="eastAsia" w:ascii="仿宋" w:hAnsi="仿宋" w:eastAsia="仿宋" w:cs="仿宋"/>
              </w:rPr>
              <w:t>是否按规定设置: 是</w:t>
            </w:r>
            <w:r>
              <w:rPr>
                <w:rFonts w:hint="eastAsia" w:ascii="仿宋" w:hAnsi="仿宋" w:eastAsia="仿宋" w:cs="仿宋"/>
                <w:lang w:eastAsia="zh-CN"/>
              </w:rPr>
              <w:t>☑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</w:rPr>
              <w:t>否□</w:t>
            </w:r>
          </w:p>
          <w:p>
            <w:pPr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会计核算是否严格执行政府会计制度准则：</w:t>
            </w:r>
            <w:r>
              <w:rPr>
                <w:rFonts w:hint="eastAsia" w:ascii="仿宋" w:hAnsi="仿宋" w:eastAsia="仿宋" w:cs="仿宋"/>
              </w:rPr>
              <w:t xml:space="preserve"> 是</w:t>
            </w:r>
            <w:r>
              <w:rPr>
                <w:rFonts w:hint="eastAsia" w:ascii="仿宋" w:hAnsi="仿宋" w:eastAsia="仿宋" w:cs="仿宋"/>
                <w:lang w:eastAsia="zh-CN"/>
              </w:rPr>
              <w:t>☑</w:t>
            </w:r>
            <w:r>
              <w:rPr>
                <w:rFonts w:hint="eastAsia" w:ascii="仿宋" w:hAnsi="仿宋" w:eastAsia="仿宋" w:cs="仿宋"/>
              </w:rPr>
              <w:t xml:space="preserve">    否□</w:t>
            </w:r>
          </w:p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是否制定财务管理、会计核算等制度: 是</w:t>
            </w:r>
            <w:r>
              <w:rPr>
                <w:rFonts w:hint="eastAsia" w:ascii="仿宋" w:hAnsi="仿宋" w:eastAsia="仿宋" w:cs="仿宋"/>
                <w:lang w:eastAsia="zh-CN"/>
              </w:rPr>
              <w:t>☑</w:t>
            </w:r>
            <w:r>
              <w:rPr>
                <w:rFonts w:hint="eastAsia" w:ascii="仿宋" w:hAnsi="仿宋" w:eastAsia="仿宋" w:cs="仿宋"/>
              </w:rPr>
              <w:t xml:space="preserve">  否□</w:t>
            </w:r>
          </w:p>
          <w:p>
            <w:pPr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内部控制报告编制是否规范：</w:t>
            </w:r>
            <w:r>
              <w:rPr>
                <w:rFonts w:hint="eastAsia" w:ascii="仿宋" w:hAnsi="仿宋" w:eastAsia="仿宋" w:cs="仿宋"/>
              </w:rPr>
              <w:t>是</w:t>
            </w:r>
            <w:r>
              <w:rPr>
                <w:rFonts w:hint="eastAsia" w:ascii="仿宋" w:hAnsi="仿宋" w:eastAsia="仿宋" w:cs="仿宋"/>
                <w:lang w:eastAsia="zh-CN"/>
              </w:rPr>
              <w:t>☑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</w:rPr>
              <w:t>否□</w:t>
            </w:r>
          </w:p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会计人员是否</w:t>
            </w:r>
            <w:r>
              <w:rPr>
                <w:rFonts w:hint="eastAsia" w:ascii="仿宋" w:hAnsi="仿宋" w:eastAsia="仿宋" w:cs="仿宋"/>
                <w:lang w:eastAsia="zh-CN"/>
              </w:rPr>
              <w:t>具备从事会计工作所需要的专业能力</w:t>
            </w:r>
            <w:r>
              <w:rPr>
                <w:rFonts w:hint="eastAsia" w:ascii="仿宋" w:hAnsi="仿宋" w:eastAsia="仿宋" w:cs="仿宋"/>
              </w:rPr>
              <w:t>: 是</w:t>
            </w:r>
            <w:r>
              <w:rPr>
                <w:rFonts w:hint="eastAsia" w:ascii="仿宋" w:hAnsi="仿宋" w:eastAsia="仿宋" w:cs="仿宋"/>
                <w:lang w:eastAsia="zh-CN"/>
              </w:rPr>
              <w:t>☑</w:t>
            </w:r>
            <w:r>
              <w:rPr>
                <w:rFonts w:hint="eastAsia" w:ascii="仿宋" w:hAnsi="仿宋" w:eastAsia="仿宋" w:cs="仿宋"/>
              </w:rPr>
              <w:t xml:space="preserve">  否□</w:t>
            </w:r>
          </w:p>
          <w:p>
            <w:pPr>
              <w:pStyle w:val="2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7" w:hRule="exact"/>
          <w:jc w:val="center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资金管理</w:t>
            </w:r>
          </w:p>
        </w:tc>
        <w:tc>
          <w:tcPr>
            <w:tcW w:w="7299" w:type="dxa"/>
            <w:gridSpan w:val="8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是否制定资金管理办法: 是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☑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 否□</w:t>
            </w:r>
          </w:p>
          <w:p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资金拨付有完整的审批程序: 有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☑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 无□</w:t>
            </w:r>
          </w:p>
          <w:p>
            <w:pPr>
              <w:ind w:left="3885" w:hanging="3885" w:hangingChars="1850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资金使用是否存在违规使用资金、乱发津补贴奖金现象：是□  否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0" w:hRule="exact"/>
          <w:jc w:val="center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资产管理</w:t>
            </w:r>
          </w:p>
        </w:tc>
        <w:tc>
          <w:tcPr>
            <w:tcW w:w="7299" w:type="dxa"/>
            <w:gridSpan w:val="8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是否制定资产管理制度: 是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☑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否□</w:t>
            </w:r>
          </w:p>
          <w:p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资产管理、保存、处置是否合理规范: 是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☑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 否□</w:t>
            </w:r>
          </w:p>
          <w:p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资产是否产权清晰、两证齐全：是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☑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  否□</w:t>
            </w:r>
          </w:p>
          <w:p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账、表、实、卡是否相符: 是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☑</w:t>
            </w:r>
            <w:r>
              <w:rPr>
                <w:rFonts w:hint="eastAsia" w:ascii="仿宋" w:hAnsi="仿宋" w:eastAsia="仿宋" w:cs="仿宋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exact"/>
          <w:jc w:val="center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职责履行</w:t>
            </w:r>
          </w:p>
        </w:tc>
        <w:tc>
          <w:tcPr>
            <w:tcW w:w="7299" w:type="dxa"/>
            <w:gridSpan w:val="8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重点工作是否全部完成且质量达标: 是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☑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否□</w:t>
            </w:r>
          </w:p>
          <w:p>
            <w:pPr>
              <w:spacing w:line="560" w:lineRule="exact"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7" w:hRule="atLeast"/>
          <w:jc w:val="center"/>
        </w:trPr>
        <w:tc>
          <w:tcPr>
            <w:tcW w:w="53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部门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主要绩效</w:t>
            </w:r>
          </w:p>
        </w:tc>
        <w:tc>
          <w:tcPr>
            <w:tcW w:w="8467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20" w:firstLineChars="200"/>
              <w:jc w:val="left"/>
              <w:textAlignment w:val="auto"/>
              <w:rPr>
                <w:rFonts w:hint="eastAsia" w:ascii="仿宋" w:hAnsi="仿宋" w:eastAsia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2022年</w:t>
            </w:r>
            <w:r>
              <w:rPr>
                <w:rFonts w:hint="eastAsia" w:ascii="仿宋" w:hAnsi="仿宋" w:eastAsia="仿宋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，县科协在县委、县政府的坚强领导下，</w:t>
            </w:r>
            <w:r>
              <w:rPr>
                <w:rFonts w:hint="eastAsia" w:ascii="仿宋" w:hAnsi="仿宋" w:eastAsia="仿宋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在上级科协的精心指导下，坚持以习近平新时代中国特色社会主义思想为指导，全面贯彻落实党的十九届历次全会和党的二十大精神，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按照科协组织“四服务”职责定位和“三型”组织建设要求，紧紧围绕县委、政府工作大局和全面建设“三宜三融三区”现代化新隆回奋斗目标，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全力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创建全国科普示范县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着力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提高全县公民科学素质，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取得显著成效，较好地完成了年度工作任务，多项工作获得国家和省市表彰。中共隆回县委、隆回县人民政府被中国科协评为“2022年全国科普日活动优秀组织单位”，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县科协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荣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获“科普中国信息员队伍建设全国优秀组织单位”，“湖南省第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五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届科学素质网络大赛优秀组织单位”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，“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2021年度县市区重点工作绩效考核科协工作评估优秀单位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”，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市对县绩效评估考核全市第一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；全国农民科学素质网络竞赛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参赛人数、人次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科技创新大赛获奖人数、科普中国APP注册和信息传播，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我县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均居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全市第一。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圆满完成全国第十二次公民科学素质比例第三次抽样调查评估。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由于工作成效突出，我县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全国科普示范县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创建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工作顺利通过专家组验收，现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被中国科协公示为</w:t>
            </w: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 xml:space="preserve"> “2021-2025年度第二批全国科普示范县（市、区）”名单</w:t>
            </w: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eastAsia="zh-CN"/>
              </w:rPr>
              <w:t>。</w:t>
            </w:r>
          </w:p>
          <w:p>
            <w:pPr>
              <w:ind w:firstLine="105" w:firstLineChars="50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3" w:hRule="atLeast"/>
          <w:jc w:val="center"/>
        </w:trPr>
        <w:tc>
          <w:tcPr>
            <w:tcW w:w="53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自评结论</w:t>
            </w:r>
          </w:p>
        </w:tc>
        <w:tc>
          <w:tcPr>
            <w:tcW w:w="8467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2" w:hRule="atLeast"/>
          <w:jc w:val="center"/>
        </w:trPr>
        <w:tc>
          <w:tcPr>
            <w:tcW w:w="53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问题与建议</w:t>
            </w:r>
          </w:p>
        </w:tc>
        <w:tc>
          <w:tcPr>
            <w:tcW w:w="8467" w:type="dxa"/>
            <w:gridSpan w:val="9"/>
            <w:noWrap w:val="0"/>
            <w:vAlign w:val="center"/>
          </w:tcPr>
          <w:p>
            <w:pPr>
              <w:pStyle w:val="11"/>
              <w:spacing w:line="580" w:lineRule="atLeast"/>
              <w:ind w:firstLine="600"/>
              <w:jc w:val="left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存在财务审批制度不完善，没有按时清理固定资产的问题。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60" w:firstLineChars="200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措施是：1.加强财务管理，严格财务审核。2、完善资产管理。</w:t>
            </w:r>
          </w:p>
          <w:p>
            <w:pPr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  <w:jc w:val="center"/>
        </w:trPr>
        <w:tc>
          <w:tcPr>
            <w:tcW w:w="533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主管部门意见</w:t>
            </w:r>
          </w:p>
        </w:tc>
        <w:tc>
          <w:tcPr>
            <w:tcW w:w="8467" w:type="dxa"/>
            <w:gridSpan w:val="9"/>
            <w:noWrap w:val="0"/>
            <w:vAlign w:val="top"/>
          </w:tcPr>
          <w:p>
            <w:pPr>
              <w:ind w:firstLine="3360" w:firstLineChars="1600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ind w:firstLine="2700" w:firstLineChars="900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同意自评结论。</w:t>
            </w:r>
          </w:p>
          <w:p>
            <w:pPr>
              <w:ind w:firstLine="3360" w:firstLineChars="1600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ind w:firstLine="3360" w:firstLineChars="1600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ind w:firstLine="3360" w:firstLineChars="1600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主管部门（盖章）：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填报人：</w:t>
      </w:r>
      <w:r>
        <w:rPr>
          <w:rFonts w:hint="eastAsia" w:ascii="仿宋" w:hAnsi="仿宋" w:eastAsia="仿宋" w:cs="仿宋"/>
          <w:szCs w:val="21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Cs w:val="21"/>
        </w:rPr>
        <w:t xml:space="preserve">            </w:t>
      </w:r>
      <w:r>
        <w:rPr>
          <w:rFonts w:hint="eastAsia" w:ascii="仿宋" w:hAnsi="仿宋" w:eastAsia="仿宋" w:cs="仿宋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Cs w:val="21"/>
        </w:rPr>
        <w:t xml:space="preserve">     联系电话：</w:t>
      </w:r>
      <w:r>
        <w:rPr>
          <w:rFonts w:hint="eastAsia" w:ascii="仿宋" w:hAnsi="仿宋" w:eastAsia="仿宋" w:cs="仿宋"/>
          <w:szCs w:val="21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szCs w:val="21"/>
        </w:rPr>
        <w:t xml:space="preserve">  </w:t>
      </w:r>
      <w:r>
        <w:rPr>
          <w:rFonts w:hint="eastAsia" w:ascii="仿宋" w:hAnsi="仿宋" w:eastAsia="仿宋" w:cs="仿宋"/>
          <w:szCs w:val="21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Cs w:val="21"/>
        </w:rPr>
        <w:t>时间：</w:t>
      </w:r>
      <w:r>
        <w:rPr>
          <w:rFonts w:hint="eastAsia" w:ascii="仿宋" w:hAnsi="仿宋" w:eastAsia="仿宋" w:cs="仿宋"/>
          <w:szCs w:val="21"/>
          <w:lang w:val="en-US" w:eastAsia="zh-CN"/>
        </w:rPr>
        <w:t>2023</w:t>
      </w:r>
      <w:r>
        <w:rPr>
          <w:rFonts w:hint="eastAsia" w:ascii="仿宋" w:hAnsi="仿宋" w:eastAsia="仿宋" w:cs="仿宋"/>
          <w:szCs w:val="21"/>
        </w:rPr>
        <w:t>年</w:t>
      </w:r>
      <w:r>
        <w:rPr>
          <w:rFonts w:hint="eastAsia" w:ascii="仿宋" w:hAnsi="仿宋" w:eastAsia="仿宋" w:cs="仿宋"/>
          <w:szCs w:val="21"/>
          <w:lang w:val="en-US" w:eastAsia="zh-CN"/>
        </w:rPr>
        <w:t>4</w:t>
      </w:r>
      <w:r>
        <w:rPr>
          <w:rFonts w:hint="eastAsia" w:ascii="仿宋" w:hAnsi="仿宋" w:eastAsia="仿宋" w:cs="仿宋"/>
          <w:szCs w:val="21"/>
        </w:rPr>
        <w:t>月</w:t>
      </w:r>
      <w:r>
        <w:rPr>
          <w:rFonts w:hint="eastAsia" w:ascii="仿宋" w:hAnsi="仿宋" w:eastAsia="仿宋" w:cs="仿宋"/>
          <w:szCs w:val="21"/>
          <w:lang w:val="en-US" w:eastAsia="zh-CN"/>
        </w:rPr>
        <w:t>28</w:t>
      </w:r>
      <w:r>
        <w:rPr>
          <w:rFonts w:hint="eastAsia" w:ascii="仿宋" w:hAnsi="仿宋" w:eastAsia="仿宋" w:cs="仿宋"/>
          <w:szCs w:val="21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kern w:val="0"/>
        </w:rPr>
        <w:t>注：自评结论填“优、良、中、差”。</w:t>
      </w:r>
    </w:p>
    <w:sectPr>
      <w:headerReference r:id="rId3" w:type="default"/>
      <w:footerReference r:id="rId4" w:type="default"/>
      <w:footerReference r:id="rId5" w:type="even"/>
      <w:pgSz w:w="11905" w:h="16837"/>
      <w:pgMar w:top="1701" w:right="1588" w:bottom="1418" w:left="1588" w:header="720" w:footer="1701" w:gutter="0"/>
      <w:pgNumType w:fmt="numberInDash" w:start="1"/>
      <w:cols w:space="720" w:num="1"/>
      <w:docGrid w:linePitch="636" w:charSpace="208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大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jc w:val="right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fldChar w:fldCharType="end"/>
    </w:r>
  </w:p>
  <w:p>
    <w:pPr>
      <w:pStyle w:val="5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xNjZmZTU2YWIzYWViMDAyMzFjOTZmNGQzNWM0YzYifQ=="/>
  </w:docVars>
  <w:rsids>
    <w:rsidRoot w:val="18D538B0"/>
    <w:rsid w:val="01600BAC"/>
    <w:rsid w:val="018E17F6"/>
    <w:rsid w:val="01E50D53"/>
    <w:rsid w:val="01EB6738"/>
    <w:rsid w:val="0236335D"/>
    <w:rsid w:val="026B3007"/>
    <w:rsid w:val="03B40C48"/>
    <w:rsid w:val="03C86237"/>
    <w:rsid w:val="03D2624F"/>
    <w:rsid w:val="04003C23"/>
    <w:rsid w:val="040501C3"/>
    <w:rsid w:val="05323055"/>
    <w:rsid w:val="05E337FC"/>
    <w:rsid w:val="06451DC1"/>
    <w:rsid w:val="06536294"/>
    <w:rsid w:val="067F1777"/>
    <w:rsid w:val="07155C37"/>
    <w:rsid w:val="074A3B33"/>
    <w:rsid w:val="07A817AD"/>
    <w:rsid w:val="08103ADB"/>
    <w:rsid w:val="084A1910"/>
    <w:rsid w:val="09A11A04"/>
    <w:rsid w:val="09D347BB"/>
    <w:rsid w:val="0A6273E5"/>
    <w:rsid w:val="0A686BF6"/>
    <w:rsid w:val="0C760F26"/>
    <w:rsid w:val="0C8C24F7"/>
    <w:rsid w:val="0C8C699B"/>
    <w:rsid w:val="0D441024"/>
    <w:rsid w:val="0DD74424"/>
    <w:rsid w:val="0FA67D74"/>
    <w:rsid w:val="0FB82A9F"/>
    <w:rsid w:val="107F4121"/>
    <w:rsid w:val="10C57C4D"/>
    <w:rsid w:val="11456604"/>
    <w:rsid w:val="115B4B8E"/>
    <w:rsid w:val="117C2E73"/>
    <w:rsid w:val="117F6ACF"/>
    <w:rsid w:val="11E76422"/>
    <w:rsid w:val="11E9622E"/>
    <w:rsid w:val="12607728"/>
    <w:rsid w:val="126104A5"/>
    <w:rsid w:val="12F31522"/>
    <w:rsid w:val="13113C31"/>
    <w:rsid w:val="13255454"/>
    <w:rsid w:val="13343C0A"/>
    <w:rsid w:val="13C57FC2"/>
    <w:rsid w:val="13DD7ADC"/>
    <w:rsid w:val="13EB2DF0"/>
    <w:rsid w:val="144F5156"/>
    <w:rsid w:val="15D53CEF"/>
    <w:rsid w:val="16730284"/>
    <w:rsid w:val="16CB00C0"/>
    <w:rsid w:val="1767588B"/>
    <w:rsid w:val="18D538B0"/>
    <w:rsid w:val="18E032C2"/>
    <w:rsid w:val="192B12EA"/>
    <w:rsid w:val="19A277FE"/>
    <w:rsid w:val="19E25E4D"/>
    <w:rsid w:val="1AB268EA"/>
    <w:rsid w:val="1C4E1577"/>
    <w:rsid w:val="1CCF110C"/>
    <w:rsid w:val="1D5C47CB"/>
    <w:rsid w:val="1D6B6159"/>
    <w:rsid w:val="1D9456B0"/>
    <w:rsid w:val="1EA45087"/>
    <w:rsid w:val="1FA31533"/>
    <w:rsid w:val="1FA354BF"/>
    <w:rsid w:val="1FBC2C9C"/>
    <w:rsid w:val="20663B3B"/>
    <w:rsid w:val="20724924"/>
    <w:rsid w:val="20D504B9"/>
    <w:rsid w:val="213827F6"/>
    <w:rsid w:val="21796BC2"/>
    <w:rsid w:val="217C0935"/>
    <w:rsid w:val="21B552CB"/>
    <w:rsid w:val="21FF3314"/>
    <w:rsid w:val="22873A35"/>
    <w:rsid w:val="22BE0E76"/>
    <w:rsid w:val="23250B58"/>
    <w:rsid w:val="23364517"/>
    <w:rsid w:val="2483632E"/>
    <w:rsid w:val="25550C1E"/>
    <w:rsid w:val="25B05D49"/>
    <w:rsid w:val="264448F1"/>
    <w:rsid w:val="27C748D4"/>
    <w:rsid w:val="285B24CC"/>
    <w:rsid w:val="28BF4190"/>
    <w:rsid w:val="290C6A42"/>
    <w:rsid w:val="29115E06"/>
    <w:rsid w:val="29233D8C"/>
    <w:rsid w:val="295B1778"/>
    <w:rsid w:val="296E07F1"/>
    <w:rsid w:val="29D91315"/>
    <w:rsid w:val="2A6B7798"/>
    <w:rsid w:val="2A706BB3"/>
    <w:rsid w:val="2A7C719C"/>
    <w:rsid w:val="2ACF7D27"/>
    <w:rsid w:val="2B926A7E"/>
    <w:rsid w:val="2C2B5641"/>
    <w:rsid w:val="2CB6067E"/>
    <w:rsid w:val="2CC66F08"/>
    <w:rsid w:val="2CCA094F"/>
    <w:rsid w:val="2DD3214C"/>
    <w:rsid w:val="2E2B5E45"/>
    <w:rsid w:val="2E4E2862"/>
    <w:rsid w:val="2E515D05"/>
    <w:rsid w:val="2E5E3A03"/>
    <w:rsid w:val="2FC02FA6"/>
    <w:rsid w:val="2FF745A3"/>
    <w:rsid w:val="30711881"/>
    <w:rsid w:val="316450AF"/>
    <w:rsid w:val="335115F0"/>
    <w:rsid w:val="34BA37F6"/>
    <w:rsid w:val="34D83C7C"/>
    <w:rsid w:val="3546366F"/>
    <w:rsid w:val="357070B5"/>
    <w:rsid w:val="376A3C4C"/>
    <w:rsid w:val="388008B3"/>
    <w:rsid w:val="38C369F1"/>
    <w:rsid w:val="38DB1F8D"/>
    <w:rsid w:val="38E2331B"/>
    <w:rsid w:val="38FC7F68"/>
    <w:rsid w:val="39C175C6"/>
    <w:rsid w:val="3A754CC9"/>
    <w:rsid w:val="3AAA1C17"/>
    <w:rsid w:val="3B47390A"/>
    <w:rsid w:val="3BAC7A40"/>
    <w:rsid w:val="3BD45FF4"/>
    <w:rsid w:val="3BEA370A"/>
    <w:rsid w:val="3C30439E"/>
    <w:rsid w:val="3D4B79F6"/>
    <w:rsid w:val="3D632551"/>
    <w:rsid w:val="3DCE3E6E"/>
    <w:rsid w:val="3E3A69A0"/>
    <w:rsid w:val="3E9A6446"/>
    <w:rsid w:val="3ECD3124"/>
    <w:rsid w:val="3F2A5A1C"/>
    <w:rsid w:val="3F9A003D"/>
    <w:rsid w:val="3FEA0343"/>
    <w:rsid w:val="40FA31CC"/>
    <w:rsid w:val="41586871"/>
    <w:rsid w:val="42940D46"/>
    <w:rsid w:val="47376F28"/>
    <w:rsid w:val="475F4422"/>
    <w:rsid w:val="4766659F"/>
    <w:rsid w:val="4874505C"/>
    <w:rsid w:val="48FD385A"/>
    <w:rsid w:val="49136AFE"/>
    <w:rsid w:val="49201968"/>
    <w:rsid w:val="49830203"/>
    <w:rsid w:val="49F977A4"/>
    <w:rsid w:val="4A17094B"/>
    <w:rsid w:val="4B6814D6"/>
    <w:rsid w:val="4B871B00"/>
    <w:rsid w:val="4BB46D99"/>
    <w:rsid w:val="4BB905DA"/>
    <w:rsid w:val="4CEF5BAF"/>
    <w:rsid w:val="4DD54DA5"/>
    <w:rsid w:val="4DFC0584"/>
    <w:rsid w:val="4E0B709E"/>
    <w:rsid w:val="4E742810"/>
    <w:rsid w:val="5039786D"/>
    <w:rsid w:val="507C62DD"/>
    <w:rsid w:val="507F39AA"/>
    <w:rsid w:val="50B20CEB"/>
    <w:rsid w:val="50C57353"/>
    <w:rsid w:val="51711289"/>
    <w:rsid w:val="5176064D"/>
    <w:rsid w:val="52F061DD"/>
    <w:rsid w:val="53590226"/>
    <w:rsid w:val="537A08DB"/>
    <w:rsid w:val="5512068D"/>
    <w:rsid w:val="55FE57CA"/>
    <w:rsid w:val="563C6D66"/>
    <w:rsid w:val="565C4B5A"/>
    <w:rsid w:val="56835CE6"/>
    <w:rsid w:val="572D004A"/>
    <w:rsid w:val="57340D8E"/>
    <w:rsid w:val="578E37A1"/>
    <w:rsid w:val="582E3F6C"/>
    <w:rsid w:val="58831FCD"/>
    <w:rsid w:val="58C76ABA"/>
    <w:rsid w:val="59995821"/>
    <w:rsid w:val="59AC5554"/>
    <w:rsid w:val="59CA59DA"/>
    <w:rsid w:val="5A0C6AF4"/>
    <w:rsid w:val="5C0A0310"/>
    <w:rsid w:val="5CEB1EEF"/>
    <w:rsid w:val="5D6C7344"/>
    <w:rsid w:val="5D814602"/>
    <w:rsid w:val="5EA551F5"/>
    <w:rsid w:val="600A08E8"/>
    <w:rsid w:val="6051650D"/>
    <w:rsid w:val="60683140"/>
    <w:rsid w:val="61AF2FE3"/>
    <w:rsid w:val="628726BA"/>
    <w:rsid w:val="63275C4B"/>
    <w:rsid w:val="63521D29"/>
    <w:rsid w:val="635B32B1"/>
    <w:rsid w:val="63AD5DD7"/>
    <w:rsid w:val="64D8544F"/>
    <w:rsid w:val="652E1513"/>
    <w:rsid w:val="6558033E"/>
    <w:rsid w:val="65B75B1D"/>
    <w:rsid w:val="65ED7F30"/>
    <w:rsid w:val="662E109F"/>
    <w:rsid w:val="670B01C0"/>
    <w:rsid w:val="68045877"/>
    <w:rsid w:val="68684D3C"/>
    <w:rsid w:val="6A2416ED"/>
    <w:rsid w:val="6A522671"/>
    <w:rsid w:val="6ACB22C2"/>
    <w:rsid w:val="6BA21CE4"/>
    <w:rsid w:val="6BBF1680"/>
    <w:rsid w:val="6C2E1DF8"/>
    <w:rsid w:val="6C3C39CA"/>
    <w:rsid w:val="6C6A0E2B"/>
    <w:rsid w:val="6C801864"/>
    <w:rsid w:val="6D0F7B14"/>
    <w:rsid w:val="6DE24C48"/>
    <w:rsid w:val="6E4C2A0A"/>
    <w:rsid w:val="6E615BFD"/>
    <w:rsid w:val="6ECD58F9"/>
    <w:rsid w:val="6EF2535F"/>
    <w:rsid w:val="6FBF4ECD"/>
    <w:rsid w:val="70CB40BA"/>
    <w:rsid w:val="743D0F08"/>
    <w:rsid w:val="745037BC"/>
    <w:rsid w:val="75157FF9"/>
    <w:rsid w:val="75752846"/>
    <w:rsid w:val="7601232C"/>
    <w:rsid w:val="767C2482"/>
    <w:rsid w:val="771C566F"/>
    <w:rsid w:val="77D25D2E"/>
    <w:rsid w:val="78270946"/>
    <w:rsid w:val="78281DF2"/>
    <w:rsid w:val="78853E63"/>
    <w:rsid w:val="79367029"/>
    <w:rsid w:val="796D4A70"/>
    <w:rsid w:val="79C8563A"/>
    <w:rsid w:val="7A031D57"/>
    <w:rsid w:val="7A3613CA"/>
    <w:rsid w:val="7A6D72C8"/>
    <w:rsid w:val="7B14665D"/>
    <w:rsid w:val="7B3D3D71"/>
    <w:rsid w:val="7CFC55FB"/>
    <w:rsid w:val="7D2A54B9"/>
    <w:rsid w:val="7D887789"/>
    <w:rsid w:val="7EA63A70"/>
    <w:rsid w:val="7FA61257"/>
    <w:rsid w:val="7FBC5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firstLine="640" w:firstLineChars="200"/>
    </w:pPr>
    <w:rPr>
      <w:sz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page number"/>
    <w:basedOn w:val="9"/>
    <w:qFormat/>
    <w:uiPriority w:val="0"/>
  </w:style>
  <w:style w:type="paragraph" w:customStyle="1" w:styleId="11">
    <w:name w:val="p16"/>
    <w:basedOn w:val="1"/>
    <w:qFormat/>
    <w:uiPriority w:val="99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1502</Words>
  <Characters>1572</Characters>
  <Lines>0</Lines>
  <Paragraphs>0</Paragraphs>
  <TotalTime>1</TotalTime>
  <ScaleCrop>false</ScaleCrop>
  <LinksUpToDate>false</LinksUpToDate>
  <CharactersWithSpaces>1750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2021-04-19T07:48:00Z</dcterms:created>
  <dc:creator>彭礼孝</dc:creator>
  <cp:lastModifiedBy>lmh</cp:lastModifiedBy>
  <cp:lastPrinted>2023-04-25T06:46:00Z</cp:lastPrinted>
  <dcterms:modified xsi:type="dcterms:W3CDTF">2023-05-22T01:31:08Z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0BDC7B4EC71943B2896F47A55808D187</vt:lpwstr>
  </property>
</Properties>
</file>