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bCs/>
          <w:kern w:val="0"/>
          <w:sz w:val="36"/>
          <w:szCs w:val="36"/>
        </w:rPr>
      </w:pPr>
      <w:r>
        <w:rPr>
          <w:rFonts w:hint="eastAsia" w:ascii="方正小标宋简体" w:eastAsia="方正小标宋简体"/>
          <w:bCs/>
          <w:kern w:val="0"/>
          <w:sz w:val="36"/>
          <w:szCs w:val="36"/>
        </w:rPr>
        <w:t>部门整体支出绩效自评基础数据表</w:t>
      </w:r>
    </w:p>
    <w:tbl>
      <w:tblPr>
        <w:tblStyle w:val="6"/>
        <w:tblW w:w="91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
        <w:gridCol w:w="533"/>
        <w:gridCol w:w="1168"/>
        <w:gridCol w:w="2372"/>
        <w:gridCol w:w="605"/>
        <w:gridCol w:w="567"/>
        <w:gridCol w:w="992"/>
        <w:gridCol w:w="560"/>
        <w:gridCol w:w="7"/>
        <w:gridCol w:w="993"/>
        <w:gridCol w:w="494"/>
        <w:gridCol w:w="672"/>
        <w:gridCol w:w="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 w:type="dxa"/>
          <w:trHeight w:val="480" w:hRule="atLeast"/>
          <w:jc w:val="center"/>
        </w:trPr>
        <w:tc>
          <w:tcPr>
            <w:tcW w:w="9071" w:type="dxa"/>
            <w:gridSpan w:val="12"/>
            <w:tcBorders>
              <w:top w:val="nil"/>
              <w:left w:val="nil"/>
              <w:bottom w:val="nil"/>
              <w:right w:val="nil"/>
            </w:tcBorders>
            <w:noWrap w:val="0"/>
            <w:vAlign w:val="center"/>
          </w:tcPr>
          <w:p>
            <w:pPr>
              <w:spacing w:line="600" w:lineRule="exact"/>
              <w:jc w:val="center"/>
              <w:rPr>
                <w:rFonts w:ascii="黑体" w:hAnsi="黑体" w:eastAsia="黑体" w:cs="黑体"/>
              </w:rPr>
            </w:pPr>
            <w:r>
              <w:rPr>
                <w:rFonts w:hint="eastAsia" w:ascii="黑体" w:hAnsi="黑体" w:eastAsia="黑体" w:cs="黑体"/>
                <w:sz w:val="24"/>
              </w:rPr>
              <w:t>（</w:t>
            </w:r>
            <w:r>
              <w:rPr>
                <w:rFonts w:hint="eastAsia" w:ascii="黑体" w:hAnsi="黑体" w:eastAsia="黑体" w:cs="黑体"/>
                <w:sz w:val="24"/>
                <w:lang w:eastAsia="zh-CN"/>
              </w:rPr>
              <w:t>2021</w:t>
            </w:r>
            <w:r>
              <w:rPr>
                <w:rFonts w:hint="eastAsia" w:ascii="黑体" w:hAnsi="黑体" w:eastAsia="黑体" w:cs="黑体"/>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036" w:hRule="exact"/>
          <w:jc w:val="center"/>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基本情况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单位名称（盖章）</w:t>
            </w:r>
          </w:p>
        </w:tc>
        <w:tc>
          <w:tcPr>
            <w:tcW w:w="7299" w:type="dxa"/>
            <w:gridSpan w:val="10"/>
            <w:noWrap w:val="0"/>
            <w:vAlign w:val="top"/>
          </w:tcPr>
          <w:p>
            <w:pPr>
              <w:spacing w:line="540" w:lineRule="exact"/>
              <w:jc w:val="left"/>
              <w:rPr>
                <w:rFonts w:hint="eastAsia" w:ascii="楷体" w:hAnsi="楷体" w:eastAsia="楷体" w:cs="楷体"/>
                <w:szCs w:val="21"/>
                <w:lang w:val="en-US" w:eastAsia="zh-CN"/>
              </w:rPr>
            </w:pPr>
            <w:r>
              <w:rPr>
                <w:rFonts w:hint="eastAsia" w:ascii="楷体" w:hAnsi="楷体" w:eastAsia="楷体" w:cs="楷体"/>
                <w:sz w:val="28"/>
                <w:szCs w:val="28"/>
                <w:lang w:eastAsia="zh-CN"/>
              </w:rPr>
              <w:t>隆回县科学技术协会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466"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编制人数</w:t>
            </w:r>
          </w:p>
        </w:tc>
        <w:tc>
          <w:tcPr>
            <w:tcW w:w="2977" w:type="dxa"/>
            <w:gridSpan w:val="2"/>
            <w:noWrap w:val="0"/>
            <w:vAlign w:val="top"/>
          </w:tcPr>
          <w:p>
            <w:pPr>
              <w:spacing w:line="540" w:lineRule="exact"/>
              <w:ind w:firstLine="105" w:firstLineChars="50"/>
              <w:jc w:val="left"/>
              <w:rPr>
                <w:rFonts w:hint="eastAsia" w:ascii="楷体" w:hAnsi="楷体" w:eastAsia="楷体" w:cs="楷体"/>
                <w:szCs w:val="21"/>
                <w:lang w:eastAsia="zh-CN"/>
              </w:rPr>
            </w:pPr>
            <w:r>
              <w:rPr>
                <w:rFonts w:hint="eastAsia" w:ascii="楷体" w:hAnsi="楷体" w:eastAsia="楷体" w:cs="楷体"/>
                <w:szCs w:val="21"/>
                <w:lang w:val="en-US" w:eastAsia="zh-CN"/>
              </w:rPr>
              <w:t>7</w:t>
            </w:r>
          </w:p>
        </w:tc>
        <w:tc>
          <w:tcPr>
            <w:tcW w:w="1559" w:type="dxa"/>
            <w:gridSpan w:val="2"/>
            <w:noWrap w:val="0"/>
            <w:vAlign w:val="center"/>
          </w:tcPr>
          <w:p>
            <w:pPr>
              <w:ind w:firstLine="105" w:firstLineChars="50"/>
              <w:jc w:val="center"/>
              <w:rPr>
                <w:rFonts w:ascii="楷体" w:hAnsi="楷体" w:eastAsia="楷体" w:cs="楷体"/>
                <w:szCs w:val="21"/>
              </w:rPr>
            </w:pPr>
            <w:r>
              <w:rPr>
                <w:rFonts w:hint="eastAsia" w:ascii="楷体" w:hAnsi="楷体" w:eastAsia="楷体" w:cs="楷体"/>
                <w:szCs w:val="21"/>
              </w:rPr>
              <w:t>实有人数</w:t>
            </w:r>
          </w:p>
        </w:tc>
        <w:tc>
          <w:tcPr>
            <w:tcW w:w="2763" w:type="dxa"/>
            <w:gridSpan w:val="6"/>
            <w:noWrap w:val="0"/>
            <w:vAlign w:val="top"/>
          </w:tcPr>
          <w:p>
            <w:pPr>
              <w:spacing w:line="540" w:lineRule="exact"/>
              <w:ind w:firstLine="105" w:firstLineChars="50"/>
              <w:jc w:val="left"/>
              <w:rPr>
                <w:rFonts w:hint="eastAsia" w:ascii="楷体" w:hAnsi="楷体" w:eastAsia="楷体" w:cs="楷体"/>
                <w:szCs w:val="21"/>
                <w:lang w:eastAsia="zh-CN"/>
              </w:rPr>
            </w:pPr>
            <w:r>
              <w:rPr>
                <w:rFonts w:hint="eastAsia" w:ascii="楷体" w:hAnsi="楷体" w:eastAsia="楷体" w:cs="楷体"/>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56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部门职能概述</w:t>
            </w:r>
          </w:p>
        </w:tc>
        <w:tc>
          <w:tcPr>
            <w:tcW w:w="7299" w:type="dxa"/>
            <w:gridSpan w:val="10"/>
            <w:noWrap w:val="0"/>
            <w:vAlign w:val="top"/>
          </w:tcPr>
          <w:p>
            <w:pPr>
              <w:pStyle w:val="5"/>
              <w:widowControl/>
              <w:rPr>
                <w:rFonts w:ascii="仿宋" w:hAnsi="仿宋" w:eastAsia="仿宋" w:cs="仿宋"/>
                <w:color w:val="333333"/>
                <w:sz w:val="24"/>
                <w:szCs w:val="24"/>
                <w:shd w:val="clear" w:color="auto" w:fill="FFFFFF"/>
              </w:rPr>
            </w:pPr>
            <w:r>
              <w:rPr>
                <w:rFonts w:hint="eastAsia" w:ascii="仿宋_GB2312" w:hAnsi="仿宋_GB2312" w:eastAsia="仿宋_GB2312" w:cs="仿宋_GB2312"/>
                <w:sz w:val="24"/>
                <w:szCs w:val="24"/>
              </w:rPr>
              <w:t>传播科学思想，宏扬科学精神，倡导科学方法，普及科学知识，推广先进技术，开展青少年科学技术活动和科技论证，提供科技咨询，为提高全民科学文化素质服务。</w:t>
            </w:r>
          </w:p>
          <w:p>
            <w:pPr>
              <w:spacing w:line="340" w:lineRule="exact"/>
              <w:jc w:val="left"/>
              <w:rPr>
                <w:rFonts w:ascii="楷体" w:hAnsi="楷体" w:eastAsia="楷体" w:cs="楷体"/>
                <w:kern w:val="2"/>
                <w:sz w:val="10"/>
                <w:szCs w:val="1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72"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年度收入（万元）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县财政预算安排</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152.87</w:t>
            </w:r>
          </w:p>
        </w:tc>
        <w:tc>
          <w:tcPr>
            <w:tcW w:w="1552" w:type="dxa"/>
            <w:gridSpan w:val="2"/>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非税收入</w:t>
            </w:r>
          </w:p>
        </w:tc>
        <w:tc>
          <w:tcPr>
            <w:tcW w:w="1000" w:type="dxa"/>
            <w:gridSpan w:val="2"/>
            <w:noWrap w:val="0"/>
            <w:vAlign w:val="top"/>
          </w:tcPr>
          <w:p>
            <w:pPr>
              <w:spacing w:line="560" w:lineRule="exact"/>
              <w:jc w:val="left"/>
              <w:rPr>
                <w:rFonts w:ascii="楷体" w:hAnsi="楷体" w:eastAsia="楷体" w:cs="楷体"/>
                <w:szCs w:val="21"/>
              </w:rPr>
            </w:pPr>
          </w:p>
        </w:tc>
        <w:tc>
          <w:tcPr>
            <w:tcW w:w="494"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合计</w:t>
            </w:r>
          </w:p>
        </w:tc>
        <w:tc>
          <w:tcPr>
            <w:tcW w:w="709" w:type="dxa"/>
            <w:gridSpan w:val="2"/>
            <w:vMerge w:val="restart"/>
            <w:noWrap w:val="0"/>
            <w:vAlign w:val="top"/>
          </w:tcPr>
          <w:p>
            <w:pPr>
              <w:spacing w:line="560" w:lineRule="exact"/>
              <w:jc w:val="left"/>
              <w:rPr>
                <w:rFonts w:hint="default" w:ascii="楷体" w:hAnsi="楷体" w:eastAsia="楷体" w:cs="楷体"/>
                <w:szCs w:val="21"/>
                <w:lang w:val="en-US" w:eastAsia="zh-CN"/>
              </w:rPr>
            </w:pPr>
            <w:r>
              <w:rPr>
                <w:rFonts w:hint="eastAsia" w:ascii="楷体" w:hAnsi="楷体" w:eastAsia="楷体" w:cs="楷体"/>
                <w:szCs w:val="21"/>
                <w:lang w:val="en-US" w:eastAsia="zh-CN"/>
              </w:rPr>
              <w:t>152.87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55"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spacing w:line="240" w:lineRule="atLeast"/>
              <w:jc w:val="center"/>
              <w:rPr>
                <w:rFonts w:ascii="楷体" w:hAnsi="楷体" w:eastAsia="楷体" w:cs="楷体"/>
                <w:szCs w:val="21"/>
              </w:rPr>
            </w:pP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中央省市安排资金</w:t>
            </w:r>
          </w:p>
        </w:tc>
        <w:tc>
          <w:tcPr>
            <w:tcW w:w="1172" w:type="dxa"/>
            <w:gridSpan w:val="2"/>
            <w:noWrap w:val="0"/>
            <w:vAlign w:val="center"/>
          </w:tcPr>
          <w:p>
            <w:pPr>
              <w:jc w:val="center"/>
              <w:rPr>
                <w:rFonts w:ascii="楷体" w:hAnsi="楷体" w:eastAsia="楷体" w:cs="楷体"/>
                <w:szCs w:val="21"/>
              </w:rPr>
            </w:pPr>
          </w:p>
        </w:tc>
        <w:tc>
          <w:tcPr>
            <w:tcW w:w="1552" w:type="dxa"/>
            <w:gridSpan w:val="2"/>
            <w:noWrap w:val="0"/>
            <w:vAlign w:val="center"/>
          </w:tcPr>
          <w:p>
            <w:pPr>
              <w:spacing w:line="560" w:lineRule="exact"/>
              <w:ind w:firstLine="315" w:firstLineChars="150"/>
              <w:rPr>
                <w:rFonts w:ascii="楷体" w:hAnsi="楷体" w:eastAsia="楷体" w:cs="楷体"/>
                <w:szCs w:val="21"/>
              </w:rPr>
            </w:pPr>
            <w:r>
              <w:rPr>
                <w:rFonts w:hint="eastAsia" w:ascii="楷体" w:hAnsi="楷体" w:eastAsia="楷体" w:cs="楷体"/>
                <w:szCs w:val="21"/>
              </w:rPr>
              <w:t>其他收入</w:t>
            </w:r>
          </w:p>
        </w:tc>
        <w:tc>
          <w:tcPr>
            <w:tcW w:w="1000" w:type="dxa"/>
            <w:gridSpan w:val="2"/>
            <w:noWrap w:val="0"/>
            <w:vAlign w:val="top"/>
          </w:tcPr>
          <w:p>
            <w:pPr>
              <w:spacing w:line="560" w:lineRule="exact"/>
              <w:jc w:val="left"/>
              <w:rPr>
                <w:rFonts w:hint="default" w:ascii="楷体" w:hAnsi="楷体" w:eastAsia="楷体" w:cs="楷体"/>
                <w:szCs w:val="21"/>
                <w:lang w:val="en-US" w:eastAsia="zh-CN"/>
              </w:rPr>
            </w:pPr>
          </w:p>
        </w:tc>
        <w:tc>
          <w:tcPr>
            <w:tcW w:w="494" w:type="dxa"/>
            <w:vMerge w:val="continue"/>
            <w:noWrap w:val="0"/>
            <w:vAlign w:val="center"/>
          </w:tcPr>
          <w:p>
            <w:pPr>
              <w:spacing w:line="560" w:lineRule="exact"/>
              <w:jc w:val="center"/>
              <w:rPr>
                <w:rFonts w:ascii="楷体" w:hAnsi="楷体" w:eastAsia="楷体" w:cs="楷体"/>
                <w:szCs w:val="21"/>
              </w:rPr>
            </w:pPr>
          </w:p>
        </w:tc>
        <w:tc>
          <w:tcPr>
            <w:tcW w:w="709" w:type="dxa"/>
            <w:gridSpan w:val="2"/>
            <w:vMerge w:val="continue"/>
            <w:noWrap w:val="0"/>
            <w:vAlign w:val="top"/>
          </w:tcPr>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6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年度支出</w:t>
            </w:r>
          </w:p>
          <w:p>
            <w:pPr>
              <w:jc w:val="center"/>
              <w:rPr>
                <w:rFonts w:ascii="楷体" w:hAnsi="楷体" w:eastAsia="楷体" w:cs="楷体"/>
                <w:szCs w:val="21"/>
              </w:rPr>
            </w:pPr>
            <w:r>
              <w:rPr>
                <w:rFonts w:hint="eastAsia" w:ascii="楷体" w:hAnsi="楷体" w:eastAsia="楷体" w:cs="楷体"/>
                <w:szCs w:val="21"/>
              </w:rPr>
              <w:t>（万元）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基本支出</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208.93</w:t>
            </w:r>
          </w:p>
        </w:tc>
        <w:tc>
          <w:tcPr>
            <w:tcW w:w="1559" w:type="dxa"/>
            <w:gridSpan w:val="3"/>
            <w:vMerge w:val="restart"/>
            <w:noWrap w:val="0"/>
            <w:vAlign w:val="center"/>
          </w:tcPr>
          <w:p>
            <w:pPr>
              <w:jc w:val="center"/>
              <w:rPr>
                <w:rFonts w:ascii="楷体" w:hAnsi="楷体" w:eastAsia="楷体" w:cs="楷体"/>
                <w:szCs w:val="21"/>
              </w:rPr>
            </w:pPr>
            <w:r>
              <w:rPr>
                <w:rFonts w:hint="eastAsia" w:ascii="楷体" w:hAnsi="楷体" w:eastAsia="楷体" w:cs="楷体"/>
                <w:szCs w:val="21"/>
              </w:rPr>
              <w:t>项目支出</w:t>
            </w:r>
          </w:p>
        </w:tc>
        <w:tc>
          <w:tcPr>
            <w:tcW w:w="993" w:type="dxa"/>
            <w:vMerge w:val="restart"/>
            <w:noWrap w:val="0"/>
            <w:vAlign w:val="center"/>
          </w:tcPr>
          <w:p>
            <w:pPr>
              <w:jc w:val="center"/>
              <w:rPr>
                <w:rFonts w:hint="default" w:ascii="楷体" w:hAnsi="楷体" w:eastAsia="楷体" w:cs="楷体"/>
                <w:szCs w:val="21"/>
                <w:lang w:val="en-US" w:eastAsia="zh-CN"/>
              </w:rPr>
            </w:pPr>
          </w:p>
        </w:tc>
        <w:tc>
          <w:tcPr>
            <w:tcW w:w="494"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合计</w:t>
            </w:r>
          </w:p>
        </w:tc>
        <w:tc>
          <w:tcPr>
            <w:tcW w:w="709" w:type="dxa"/>
            <w:gridSpan w:val="2"/>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208.93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708"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jc w:val="center"/>
              <w:rPr>
                <w:rFonts w:ascii="楷体" w:hAnsi="楷体" w:eastAsia="楷体" w:cs="楷体"/>
                <w:szCs w:val="21"/>
              </w:rPr>
            </w:pPr>
          </w:p>
        </w:tc>
        <w:tc>
          <w:tcPr>
            <w:tcW w:w="2372" w:type="dxa"/>
            <w:noWrap w:val="0"/>
            <w:tcMar>
              <w:left w:w="0" w:type="dxa"/>
              <w:right w:w="0" w:type="dxa"/>
            </w:tcMar>
            <w:vAlign w:val="center"/>
          </w:tcPr>
          <w:p>
            <w:pPr>
              <w:jc w:val="center"/>
              <w:rPr>
                <w:rFonts w:ascii="楷体" w:hAnsi="楷体" w:eastAsia="楷体" w:cs="楷体"/>
                <w:szCs w:val="21"/>
              </w:rPr>
            </w:pPr>
            <w:r>
              <w:rPr>
                <w:rFonts w:hint="eastAsia" w:ascii="楷体" w:hAnsi="楷体" w:eastAsia="楷体" w:cs="楷体"/>
                <w:szCs w:val="21"/>
              </w:rPr>
              <w:t>其中三公经费支出</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1.91</w:t>
            </w:r>
          </w:p>
        </w:tc>
        <w:tc>
          <w:tcPr>
            <w:tcW w:w="1559" w:type="dxa"/>
            <w:gridSpan w:val="3"/>
            <w:vMerge w:val="continue"/>
            <w:noWrap w:val="0"/>
            <w:vAlign w:val="top"/>
          </w:tcPr>
          <w:p>
            <w:pPr>
              <w:jc w:val="center"/>
              <w:rPr>
                <w:rFonts w:ascii="楷体" w:hAnsi="楷体" w:eastAsia="楷体" w:cs="楷体"/>
                <w:szCs w:val="21"/>
              </w:rPr>
            </w:pPr>
          </w:p>
        </w:tc>
        <w:tc>
          <w:tcPr>
            <w:tcW w:w="993" w:type="dxa"/>
            <w:vMerge w:val="continue"/>
            <w:noWrap w:val="0"/>
            <w:vAlign w:val="top"/>
          </w:tcPr>
          <w:p>
            <w:pPr>
              <w:jc w:val="center"/>
              <w:rPr>
                <w:rFonts w:ascii="楷体" w:hAnsi="楷体" w:eastAsia="楷体" w:cs="楷体"/>
                <w:szCs w:val="21"/>
              </w:rPr>
            </w:pPr>
          </w:p>
        </w:tc>
        <w:tc>
          <w:tcPr>
            <w:tcW w:w="494" w:type="dxa"/>
            <w:vMerge w:val="continue"/>
            <w:noWrap w:val="0"/>
            <w:vAlign w:val="center"/>
          </w:tcPr>
          <w:p>
            <w:pPr>
              <w:jc w:val="center"/>
              <w:rPr>
                <w:rFonts w:ascii="楷体" w:hAnsi="楷体" w:eastAsia="楷体" w:cs="楷体"/>
                <w:szCs w:val="21"/>
              </w:rPr>
            </w:pPr>
          </w:p>
        </w:tc>
        <w:tc>
          <w:tcPr>
            <w:tcW w:w="709" w:type="dxa"/>
            <w:gridSpan w:val="2"/>
            <w:vMerge w:val="continue"/>
            <w:noWrap w:val="0"/>
            <w:vAlign w:val="center"/>
          </w:tcPr>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816" w:hRule="exact"/>
          <w:jc w:val="center"/>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实施情况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财政供养人员控制情况</w:t>
            </w:r>
          </w:p>
        </w:tc>
        <w:tc>
          <w:tcPr>
            <w:tcW w:w="7299" w:type="dxa"/>
            <w:gridSpan w:val="10"/>
            <w:noWrap w:val="0"/>
            <w:vAlign w:val="center"/>
          </w:tcPr>
          <w:p>
            <w:pPr>
              <w:rPr>
                <w:rFonts w:hint="eastAsia" w:ascii="楷体" w:hAnsi="楷体" w:eastAsia="楷体" w:cs="楷体"/>
                <w:szCs w:val="21"/>
                <w:lang w:eastAsia="zh-CN"/>
              </w:rPr>
            </w:pPr>
            <w:r>
              <w:rPr>
                <w:rFonts w:hint="eastAsia" w:ascii="楷体" w:hAnsi="楷体" w:eastAsia="楷体" w:cs="楷体"/>
                <w:szCs w:val="21"/>
              </w:rPr>
              <w:t>是否存在超编超配人员：</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43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三公经费管理情况</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是否制定“三公”经费管理办法：是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招待费用是否明确招待标准和招待人数：是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hint="eastAsia" w:ascii="楷体" w:hAnsi="楷体" w:eastAsia="楷体" w:cs="楷体"/>
                <w:szCs w:val="21"/>
                <w:lang w:eastAsia="zh-CN"/>
              </w:rPr>
            </w:pPr>
            <w:r>
              <w:rPr>
                <w:rFonts w:hint="eastAsia" w:ascii="楷体" w:hAnsi="楷体" w:eastAsia="楷体" w:cs="楷体"/>
                <w:szCs w:val="21"/>
              </w:rPr>
              <w:t>公务用车购置运行费是否比上年度下降</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p>
          <w:p>
            <w:pPr>
              <w:jc w:val="left"/>
              <w:rPr>
                <w:rFonts w:hint="eastAsia" w:ascii="楷体" w:hAnsi="楷体" w:eastAsia="楷体" w:cs="楷体"/>
                <w:szCs w:val="21"/>
                <w:lang w:eastAsia="zh-CN"/>
              </w:rPr>
            </w:pPr>
            <w:r>
              <w:rPr>
                <w:rFonts w:hint="eastAsia" w:ascii="楷体" w:hAnsi="楷体" w:eastAsia="楷体" w:cs="楷体"/>
                <w:szCs w:val="21"/>
              </w:rPr>
              <w:t>三公经费是否比年度下降：是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125"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非税收入完成情况</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年度非税收入是否完成</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是否实行收支两条线管理：是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hint="eastAsia" w:ascii="楷体" w:hAnsi="楷体" w:eastAsia="楷体" w:cs="楷体"/>
                <w:szCs w:val="21"/>
                <w:lang w:eastAsia="zh-CN"/>
              </w:rPr>
            </w:pPr>
            <w:r>
              <w:rPr>
                <w:rFonts w:hint="eastAsia" w:ascii="楷体" w:hAnsi="楷体" w:eastAsia="楷体" w:cs="楷体"/>
                <w:szCs w:val="21"/>
              </w:rPr>
              <w:t>有无截留、坐支、转移等现象</w:t>
            </w:r>
            <w:r>
              <w:rPr>
                <w:rFonts w:ascii="楷体" w:hAnsi="楷体" w:eastAsia="楷体" w:cs="楷体"/>
                <w:szCs w:val="21"/>
              </w:rPr>
              <w:t>:</w:t>
            </w:r>
            <w:r>
              <w:rPr>
                <w:rFonts w:hint="eastAsia" w:ascii="楷体" w:hAnsi="楷体" w:eastAsia="楷体" w:cs="楷体"/>
                <w:szCs w:val="21"/>
              </w:rPr>
              <w:t>有□</w:t>
            </w:r>
            <w:r>
              <w:rPr>
                <w:rFonts w:ascii="楷体" w:hAnsi="楷体" w:eastAsia="楷体" w:cs="楷体"/>
                <w:szCs w:val="21"/>
              </w:rPr>
              <w:t xml:space="preserve">     </w:t>
            </w:r>
            <w:r>
              <w:rPr>
                <w:rFonts w:hint="eastAsia" w:ascii="楷体" w:hAnsi="楷体" w:eastAsia="楷体" w:cs="楷体"/>
                <w:szCs w:val="21"/>
              </w:rPr>
              <w:t>无</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814"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政府采购及金额</w:t>
            </w:r>
          </w:p>
        </w:tc>
        <w:tc>
          <w:tcPr>
            <w:tcW w:w="7299" w:type="dxa"/>
            <w:gridSpan w:val="10"/>
            <w:noWrap w:val="0"/>
            <w:vAlign w:val="center"/>
          </w:tcPr>
          <w:p>
            <w:pPr>
              <w:spacing w:line="360" w:lineRule="exact"/>
              <w:rPr>
                <w:rFonts w:ascii="楷体" w:hAnsi="楷体" w:eastAsia="楷体" w:cs="楷体"/>
                <w:szCs w:val="21"/>
              </w:rPr>
            </w:pPr>
            <w:r>
              <w:rPr>
                <w:rFonts w:hint="eastAsia" w:ascii="楷体" w:hAnsi="楷体" w:eastAsia="楷体" w:cs="楷体"/>
                <w:szCs w:val="21"/>
              </w:rPr>
              <w:t>年度是否制定了政府采购计划：是</w:t>
            </w:r>
            <w:r>
              <w:rPr>
                <w:rFonts w:ascii="楷体" w:hAnsi="楷体" w:eastAsia="楷体" w:cs="楷体"/>
                <w:szCs w:val="21"/>
              </w:rPr>
              <w:t xml:space="preserve"> </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spacing w:line="360" w:lineRule="exact"/>
              <w:rPr>
                <w:rFonts w:ascii="楷体" w:hAnsi="楷体" w:eastAsia="楷体" w:cs="楷体"/>
                <w:szCs w:val="21"/>
              </w:rPr>
            </w:pPr>
            <w:r>
              <w:rPr>
                <w:rFonts w:hint="eastAsia" w:ascii="楷体" w:hAnsi="楷体" w:eastAsia="楷体" w:cs="楷体"/>
                <w:szCs w:val="21"/>
              </w:rPr>
              <w:t>应采购金额</w:t>
            </w:r>
            <w:r>
              <w:rPr>
                <w:rFonts w:hint="eastAsia" w:ascii="楷体" w:hAnsi="楷体" w:eastAsia="楷体" w:cs="楷体"/>
                <w:szCs w:val="21"/>
                <w:lang w:val="en-US" w:eastAsia="zh-CN"/>
              </w:rPr>
              <w:t>6</w:t>
            </w:r>
            <w:r>
              <w:rPr>
                <w:rFonts w:hint="eastAsia" w:ascii="楷体" w:hAnsi="楷体" w:eastAsia="楷体" w:cs="楷体"/>
                <w:szCs w:val="21"/>
              </w:rPr>
              <w:t>万元，实际采购金额</w:t>
            </w:r>
            <w:r>
              <w:rPr>
                <w:rFonts w:hint="eastAsia" w:ascii="楷体" w:hAnsi="楷体" w:eastAsia="楷体" w:cs="楷体"/>
                <w:szCs w:val="21"/>
                <w:lang w:val="en-US" w:eastAsia="zh-CN"/>
              </w:rPr>
              <w:t>6</w:t>
            </w:r>
            <w:r>
              <w:rPr>
                <w:rFonts w:hint="eastAsia" w:ascii="楷体" w:hAnsi="楷体" w:eastAsia="楷体" w:cs="楷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74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预算执行</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本年度是否追加了预算</w:t>
            </w:r>
            <w:r>
              <w:rPr>
                <w:rFonts w:ascii="楷体" w:hAnsi="楷体" w:eastAsia="楷体" w:cs="楷体"/>
                <w:szCs w:val="21"/>
              </w:rPr>
              <w:t>:</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追加金额</w:t>
            </w:r>
            <w:r>
              <w:rPr>
                <w:rFonts w:ascii="楷体" w:hAnsi="楷体" w:eastAsia="楷体" w:cs="楷体"/>
                <w:szCs w:val="21"/>
              </w:rPr>
              <w:t xml:space="preserve">    </w:t>
            </w:r>
            <w:r>
              <w:rPr>
                <w:rFonts w:hint="eastAsia" w:ascii="楷体" w:hAnsi="楷体" w:eastAsia="楷体" w:cs="楷体"/>
                <w:szCs w:val="21"/>
              </w:rPr>
              <w:t>万元</w:t>
            </w:r>
          </w:p>
          <w:p>
            <w:pPr>
              <w:rPr>
                <w:rFonts w:ascii="楷体" w:hAnsi="楷体" w:eastAsia="楷体" w:cs="楷体"/>
                <w:szCs w:val="21"/>
              </w:rPr>
            </w:pPr>
            <w:r>
              <w:rPr>
                <w:rFonts w:hint="eastAsia" w:ascii="楷体" w:hAnsi="楷体" w:eastAsia="楷体" w:cs="楷体"/>
                <w:szCs w:val="21"/>
              </w:rPr>
              <w:t>本年度是否有结余</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r>
              <w:rPr>
                <w:rFonts w:ascii="楷体" w:hAnsi="楷体" w:eastAsia="楷体" w:cs="楷体"/>
                <w:szCs w:val="21"/>
              </w:rPr>
              <w:t>,</w:t>
            </w:r>
            <w:r>
              <w:rPr>
                <w:rFonts w:hint="eastAsia" w:ascii="楷体" w:hAnsi="楷体" w:eastAsia="楷体" w:cs="楷体"/>
                <w:szCs w:val="21"/>
              </w:rPr>
              <w:t>结余金额</w:t>
            </w:r>
            <w:r>
              <w:rPr>
                <w:rFonts w:ascii="楷体" w:hAnsi="楷体" w:eastAsia="楷体" w:cs="楷体"/>
                <w:szCs w:val="21"/>
              </w:rPr>
              <w:t xml:space="preserve">     </w:t>
            </w:r>
            <w:r>
              <w:rPr>
                <w:rFonts w:hint="eastAsia" w:ascii="楷体" w:hAnsi="楷体" w:eastAsia="楷体" w:cs="楷体"/>
                <w:szCs w:val="21"/>
              </w:rPr>
              <w:t>万元</w:t>
            </w:r>
          </w:p>
          <w:p>
            <w:pPr>
              <w:jc w:val="left"/>
              <w:rPr>
                <w:rFonts w:ascii="楷体" w:hAnsi="楷体" w:eastAsia="楷体" w:cs="楷体"/>
                <w:szCs w:val="21"/>
              </w:rPr>
            </w:pPr>
            <w:r>
              <w:rPr>
                <w:rFonts w:hint="eastAsia" w:ascii="楷体" w:hAnsi="楷体" w:eastAsia="楷体" w:cs="楷体"/>
                <w:szCs w:val="21"/>
              </w:rPr>
              <w:t>预决算信息是否公开</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公开时间</w:t>
            </w:r>
            <w:r>
              <w:rPr>
                <w:rFonts w:ascii="楷体" w:hAnsi="楷体" w:eastAsia="楷体" w:cs="楷体"/>
                <w:szCs w:val="21"/>
              </w:rPr>
              <w:t>:</w:t>
            </w:r>
            <w:r>
              <w:rPr>
                <w:rFonts w:hint="eastAsia" w:ascii="楷体" w:hAnsi="楷体" w:eastAsia="楷体" w:cs="楷体"/>
                <w:szCs w:val="21"/>
                <w:lang w:val="en-US" w:eastAsia="zh-CN"/>
              </w:rPr>
              <w:t>2021</w:t>
            </w:r>
            <w:r>
              <w:rPr>
                <w:rFonts w:hint="eastAsia" w:ascii="楷体" w:hAnsi="楷体" w:eastAsia="楷体" w:cs="楷体"/>
                <w:szCs w:val="21"/>
              </w:rPr>
              <w:t>年</w:t>
            </w:r>
            <w:r>
              <w:rPr>
                <w:rFonts w:hint="eastAsia" w:ascii="楷体" w:hAnsi="楷体" w:eastAsia="楷体" w:cs="楷体"/>
                <w:szCs w:val="21"/>
                <w:lang w:val="en-US" w:eastAsia="zh-CN"/>
              </w:rPr>
              <w:t>1</w:t>
            </w:r>
            <w:r>
              <w:rPr>
                <w:rFonts w:ascii="楷体" w:hAnsi="楷体" w:eastAsia="楷体" w:cs="楷体"/>
                <w:szCs w:val="21"/>
              </w:rPr>
              <w:t xml:space="preserve">  </w:t>
            </w:r>
            <w:r>
              <w:rPr>
                <w:rFonts w:hint="eastAsia" w:ascii="楷体" w:hAnsi="楷体" w:eastAsia="楷体" w:cs="楷体"/>
                <w:szCs w:val="21"/>
              </w:rPr>
              <w:t>月</w:t>
            </w:r>
            <w:r>
              <w:rPr>
                <w:rFonts w:hint="eastAsia" w:ascii="楷体" w:hAnsi="楷体" w:eastAsia="楷体" w:cs="楷体"/>
                <w:szCs w:val="21"/>
                <w:lang w:val="en-US" w:eastAsia="zh-CN"/>
              </w:rPr>
              <w:t>18</w:t>
            </w:r>
            <w:r>
              <w:rPr>
                <w:rFonts w:hint="eastAsia" w:ascii="楷体" w:hAnsi="楷体" w:eastAsia="楷体" w:cs="楷体"/>
                <w:szCs w:val="21"/>
              </w:rPr>
              <w:t>日</w:t>
            </w:r>
          </w:p>
          <w:p>
            <w:pPr>
              <w:jc w:val="left"/>
              <w:rPr>
                <w:rFonts w:ascii="楷体" w:hAnsi="楷体" w:eastAsia="楷体" w:cs="楷体"/>
                <w:szCs w:val="21"/>
              </w:rPr>
            </w:pPr>
            <w:r>
              <w:rPr>
                <w:rFonts w:hint="eastAsia" w:ascii="楷体" w:hAnsi="楷体" w:eastAsia="楷体" w:cs="楷体"/>
                <w:szCs w:val="21"/>
              </w:rPr>
              <w:t>公开方式</w:t>
            </w:r>
            <w:r>
              <w:rPr>
                <w:rFonts w:ascii="楷体" w:hAnsi="楷体" w:eastAsia="楷体" w:cs="楷体"/>
                <w:szCs w:val="21"/>
              </w:rPr>
              <w:t>:</w:t>
            </w:r>
            <w:r>
              <w:rPr>
                <w:rFonts w:hint="eastAsia" w:ascii="楷体" w:hAnsi="楷体" w:eastAsia="楷体" w:cs="楷体"/>
                <w:szCs w:val="21"/>
              </w:rPr>
              <w:t>门户网站</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单位内部□</w:t>
            </w:r>
            <w:r>
              <w:rPr>
                <w:rFonts w:ascii="楷体" w:hAnsi="楷体" w:eastAsia="楷体" w:cs="楷体"/>
                <w:szCs w:val="21"/>
              </w:rPr>
              <w:t xml:space="preserve">      </w:t>
            </w:r>
            <w:r>
              <w:rPr>
                <w:rFonts w:hint="eastAsia" w:ascii="楷体" w:hAnsi="楷体" w:eastAsia="楷体" w:cs="楷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99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rPr>
                <w:rFonts w:ascii="楷体" w:hAnsi="楷体" w:eastAsia="楷体" w:cs="楷体"/>
                <w:szCs w:val="21"/>
              </w:rPr>
            </w:pPr>
            <w:r>
              <w:rPr>
                <w:rFonts w:hint="eastAsia" w:ascii="楷体" w:hAnsi="楷体" w:eastAsia="楷体" w:cs="楷体"/>
                <w:szCs w:val="21"/>
              </w:rPr>
              <w:t>财务管理</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是否制定财务管理、会计核算等制度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会计机构是否按规定设置</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会计人员是否持证上岗</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Arial" w:hAnsi="Arial" w:cs="Arial"/>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99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400" w:lineRule="exact"/>
              <w:rPr>
                <w:rFonts w:ascii="楷体" w:hAnsi="楷体" w:eastAsia="楷体" w:cs="楷体"/>
                <w:szCs w:val="21"/>
              </w:rPr>
            </w:pPr>
            <w:r>
              <w:rPr>
                <w:rFonts w:hint="eastAsia" w:ascii="楷体" w:hAnsi="楷体" w:eastAsia="楷体" w:cs="楷体"/>
                <w:szCs w:val="21"/>
              </w:rPr>
              <w:t>资金管理</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是否制定资金管理办法</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资金拨付有完整的审批程序</w:t>
            </w:r>
            <w:r>
              <w:rPr>
                <w:rFonts w:ascii="楷体" w:hAnsi="楷体" w:eastAsia="楷体" w:cs="楷体"/>
                <w:szCs w:val="21"/>
              </w:rPr>
              <w:t xml:space="preserve">: </w:t>
            </w:r>
            <w:r>
              <w:rPr>
                <w:rFonts w:hint="eastAsia" w:ascii="楷体" w:hAnsi="楷体" w:eastAsia="楷体" w:cs="楷体"/>
                <w:szCs w:val="21"/>
              </w:rPr>
              <w:t>有</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无□</w:t>
            </w:r>
          </w:p>
          <w:p>
            <w:pPr>
              <w:ind w:left="3885" w:hanging="3885" w:hangingChars="1850"/>
              <w:rPr>
                <w:rFonts w:hint="eastAsia" w:ascii="楷体" w:hAnsi="楷体" w:eastAsia="楷体" w:cs="楷体"/>
                <w:szCs w:val="21"/>
                <w:lang w:eastAsia="zh-CN"/>
              </w:rPr>
            </w:pPr>
            <w:r>
              <w:rPr>
                <w:rFonts w:hint="eastAsia" w:ascii="楷体" w:hAnsi="楷体" w:eastAsia="楷体" w:cs="楷体"/>
                <w:szCs w:val="21"/>
              </w:rPr>
              <w:t>资金使用是否存在违规使用资金、乱发津补贴奖金现象：是□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28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资产管理</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是否制定资产管理制度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hint="eastAsia" w:ascii="楷体" w:hAnsi="楷体" w:eastAsia="楷体" w:cs="楷体"/>
                <w:szCs w:val="21"/>
                <w:lang w:eastAsia="zh-CN"/>
              </w:rPr>
            </w:pPr>
            <w:r>
              <w:rPr>
                <w:rFonts w:hint="eastAsia" w:ascii="楷体" w:hAnsi="楷体" w:eastAsia="楷体" w:cs="楷体"/>
                <w:szCs w:val="21"/>
              </w:rPr>
              <w:t>资产管理、保存、处置是否合理规范</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p>
          <w:p>
            <w:pPr>
              <w:rPr>
                <w:rFonts w:ascii="楷体" w:hAnsi="楷体" w:eastAsia="楷体" w:cs="楷体"/>
                <w:szCs w:val="21"/>
              </w:rPr>
            </w:pPr>
            <w:r>
              <w:rPr>
                <w:rFonts w:hint="eastAsia" w:ascii="楷体" w:hAnsi="楷体" w:eastAsia="楷体" w:cs="楷体"/>
                <w:szCs w:val="21"/>
              </w:rPr>
              <w:t>资产是否产权清晰、两证齐全：是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账、表、实、卡是否相符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61"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职责履行</w:t>
            </w:r>
          </w:p>
        </w:tc>
        <w:tc>
          <w:tcPr>
            <w:tcW w:w="7299" w:type="dxa"/>
            <w:gridSpan w:val="10"/>
            <w:noWrap w:val="0"/>
            <w:vAlign w:val="top"/>
          </w:tcPr>
          <w:p>
            <w:pPr>
              <w:spacing w:line="560" w:lineRule="exact"/>
              <w:jc w:val="left"/>
              <w:rPr>
                <w:rFonts w:ascii="楷体" w:hAnsi="楷体" w:eastAsia="楷体" w:cs="楷体"/>
                <w:szCs w:val="21"/>
              </w:rPr>
            </w:pPr>
            <w:r>
              <w:rPr>
                <w:rFonts w:hint="eastAsia" w:ascii="楷体" w:hAnsi="楷体" w:eastAsia="楷体" w:cs="楷体"/>
                <w:szCs w:val="21"/>
              </w:rPr>
              <w:t>重点工作是否全部完成且质量达标</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541"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部门</w:t>
            </w:r>
          </w:p>
          <w:p>
            <w:pPr>
              <w:spacing w:line="320" w:lineRule="exact"/>
              <w:jc w:val="center"/>
              <w:rPr>
                <w:rFonts w:ascii="楷体" w:hAnsi="楷体" w:eastAsia="楷体" w:cs="楷体"/>
                <w:szCs w:val="21"/>
              </w:rPr>
            </w:pPr>
            <w:r>
              <w:rPr>
                <w:rFonts w:hint="eastAsia" w:ascii="楷体" w:hAnsi="楷体" w:eastAsia="楷体" w:cs="楷体"/>
                <w:szCs w:val="21"/>
              </w:rPr>
              <w:t>主要绩效</w:t>
            </w:r>
          </w:p>
        </w:tc>
        <w:tc>
          <w:tcPr>
            <w:tcW w:w="8467" w:type="dxa"/>
            <w:gridSpan w:val="11"/>
            <w:noWrap w:val="0"/>
            <w:vAlign w:val="center"/>
          </w:tcPr>
          <w:p>
            <w:pPr>
              <w:pStyle w:val="9"/>
              <w:spacing w:line="580" w:lineRule="atLeast"/>
              <w:ind w:firstLine="600"/>
              <w:jc w:val="left"/>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kern w:val="2"/>
                <w:sz w:val="18"/>
                <w:szCs w:val="18"/>
                <w:lang w:val="en-US" w:eastAsia="zh-CN" w:bidi="ar-SA"/>
              </w:rPr>
              <w:t>2021年县科协在县委、县政府的正确领导下，在上级科协的指导下，以习近平新时代中国特色社会主义思想为指导，坚持党建带会建，履行“四服务”职责，较好的完成各项工作任务，接受中国科协委托第三方对我县科学素质比例的抽样调查，获评为全省第三届科学素质网络大赛、科普信息传播竞赛活动优秀组织单位、获全国农民网络科学素质大赛、全国科普日活动优秀组织单位称号。</w:t>
            </w:r>
          </w:p>
          <w:p>
            <w:pPr>
              <w:ind w:firstLine="105" w:firstLineChars="50"/>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170"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自评结论</w:t>
            </w:r>
          </w:p>
        </w:tc>
        <w:tc>
          <w:tcPr>
            <w:tcW w:w="8467" w:type="dxa"/>
            <w:gridSpan w:val="11"/>
            <w:noWrap w:val="0"/>
            <w:vAlign w:val="center"/>
          </w:tcPr>
          <w:p>
            <w:pPr>
              <w:jc w:val="center"/>
              <w:rPr>
                <w:rFonts w:hint="eastAsia" w:ascii="楷体" w:hAnsi="楷体" w:eastAsia="楷体" w:cs="楷体"/>
                <w:szCs w:val="21"/>
                <w:lang w:eastAsia="zh-CN"/>
              </w:rPr>
            </w:pPr>
            <w:r>
              <w:rPr>
                <w:rFonts w:hint="eastAsia" w:ascii="楷体" w:hAnsi="楷体" w:eastAsia="楷体" w:cs="楷体"/>
                <w:szCs w:val="21"/>
                <w:lang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2360"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问题与建议</w:t>
            </w:r>
          </w:p>
        </w:tc>
        <w:tc>
          <w:tcPr>
            <w:tcW w:w="8467" w:type="dxa"/>
            <w:gridSpan w:val="11"/>
            <w:noWrap w:val="0"/>
            <w:vAlign w:val="top"/>
          </w:tcPr>
          <w:p>
            <w:pPr>
              <w:pStyle w:val="9"/>
              <w:spacing w:line="580" w:lineRule="atLeast"/>
              <w:ind w:firstLine="60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财务审批制度不完善，没有按时清理固定资产的问题。建议：1.加强财务管理，严格财务审核。2、完善资产管理。</w:t>
            </w:r>
          </w:p>
          <w:p>
            <w:pPr>
              <w:jc w:val="both"/>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658" w:hRule="atLeast"/>
          <w:jc w:val="center"/>
        </w:trPr>
        <w:tc>
          <w:tcPr>
            <w:tcW w:w="533" w:type="dxa"/>
            <w:noWrap w:val="0"/>
            <w:vAlign w:val="top"/>
          </w:tcPr>
          <w:p>
            <w:pPr>
              <w:spacing w:line="320" w:lineRule="exact"/>
              <w:jc w:val="center"/>
              <w:rPr>
                <w:rFonts w:ascii="楷体" w:hAnsi="楷体" w:eastAsia="楷体" w:cs="楷体"/>
                <w:szCs w:val="21"/>
              </w:rPr>
            </w:pPr>
            <w:r>
              <w:rPr>
                <w:rFonts w:hint="eastAsia" w:ascii="楷体" w:hAnsi="楷体" w:eastAsia="楷体" w:cs="楷体"/>
                <w:szCs w:val="21"/>
              </w:rPr>
              <w:t>主管部门意见</w:t>
            </w:r>
          </w:p>
        </w:tc>
        <w:tc>
          <w:tcPr>
            <w:tcW w:w="8467" w:type="dxa"/>
            <w:gridSpan w:val="11"/>
            <w:noWrap w:val="0"/>
            <w:vAlign w:val="top"/>
          </w:tcPr>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r>
              <w:rPr>
                <w:rFonts w:hint="eastAsia" w:ascii="楷体" w:hAnsi="楷体" w:eastAsia="楷体" w:cs="楷体"/>
                <w:szCs w:val="21"/>
              </w:rPr>
              <w:t>主管部门（盖章）：</w:t>
            </w:r>
          </w:p>
        </w:tc>
      </w:tr>
    </w:tbl>
    <w:p>
      <w:pPr>
        <w:rPr>
          <w:rFonts w:ascii="宋体"/>
          <w:szCs w:val="21"/>
        </w:rPr>
      </w:pPr>
    </w:p>
    <w:p>
      <w:pPr>
        <w:ind w:firstLine="420" w:firstLineChars="200"/>
        <w:rPr>
          <w:szCs w:val="21"/>
        </w:rPr>
      </w:pPr>
      <w:r>
        <w:rPr>
          <w:rFonts w:hint="eastAsia" w:ascii="宋体" w:hAnsi="宋体"/>
          <w:szCs w:val="21"/>
        </w:rPr>
        <w:t>填报人：</w:t>
      </w:r>
      <w:r>
        <w:rPr>
          <w:rFonts w:hint="eastAsia" w:ascii="宋体" w:hAnsi="宋体"/>
          <w:szCs w:val="21"/>
          <w:lang w:val="en-US" w:eastAsia="zh-CN"/>
        </w:rPr>
        <w:t xml:space="preserve">       </w:t>
      </w:r>
      <w:r>
        <w:rPr>
          <w:rFonts w:ascii="宋体" w:hAnsi="宋体"/>
          <w:szCs w:val="21"/>
        </w:rPr>
        <w:t xml:space="preserve">      </w:t>
      </w:r>
      <w:r>
        <w:rPr>
          <w:rFonts w:hint="eastAsia" w:ascii="宋体" w:hAnsi="宋体"/>
          <w:szCs w:val="21"/>
        </w:rPr>
        <w:t>联系电话：</w:t>
      </w:r>
      <w:r>
        <w:rPr>
          <w:rFonts w:hint="eastAsia" w:ascii="宋体" w:hAnsi="宋体"/>
          <w:szCs w:val="21"/>
          <w:lang w:val="en-US" w:eastAsia="zh-CN"/>
        </w:rPr>
        <w:t xml:space="preserve">                </w:t>
      </w:r>
      <w:r>
        <w:rPr>
          <w:rFonts w:hint="eastAsia" w:ascii="宋体" w:hAnsi="宋体"/>
          <w:szCs w:val="21"/>
          <w:lang w:eastAsia="zh-CN"/>
        </w:rPr>
        <w:t>日期</w:t>
      </w:r>
      <w:r>
        <w:rPr>
          <w:rFonts w:hint="eastAsia" w:ascii="宋体" w:hAnsi="宋体"/>
          <w:szCs w:val="21"/>
        </w:rPr>
        <w:t>：</w:t>
      </w:r>
      <w:r>
        <w:rPr>
          <w:rFonts w:hint="eastAsia" w:ascii="宋体" w:hAnsi="宋体"/>
          <w:szCs w:val="21"/>
          <w:lang w:val="en-US" w:eastAsia="zh-CN"/>
        </w:rPr>
        <w:t>2022</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24</w:t>
      </w:r>
      <w:r>
        <w:rPr>
          <w:rFonts w:hint="eastAsia" w:ascii="宋体" w:hAnsi="宋体"/>
          <w:szCs w:val="21"/>
        </w:rPr>
        <w:t>日</w:t>
      </w:r>
    </w:p>
    <w:p>
      <w:pPr>
        <w:spacing w:line="560" w:lineRule="exact"/>
      </w:pPr>
      <w:r>
        <w:rPr>
          <w:rFonts w:hint="eastAsia" w:eastAsia="黑体"/>
          <w:kern w:val="0"/>
        </w:rPr>
        <w:t>注：自评结论填“优、良、中、差”。</w:t>
      </w:r>
    </w:p>
    <w:p>
      <w:pPr>
        <w:spacing w:line="600" w:lineRule="exact"/>
        <w:jc w:val="center"/>
        <w:rPr>
          <w:rFonts w:hint="eastAsia" w:ascii="黑体" w:hAnsi="黑体" w:eastAsia="黑体" w:cs="黑体"/>
          <w:b/>
          <w:bCs w:val="0"/>
          <w:kern w:val="0"/>
          <w:sz w:val="36"/>
          <w:szCs w:val="36"/>
          <w:lang w:eastAsia="zh-CN"/>
        </w:rPr>
      </w:pPr>
    </w:p>
    <w:p>
      <w:pPr>
        <w:pStyle w:val="2"/>
        <w:rPr>
          <w:rFonts w:hint="eastAsia"/>
          <w:lang w:eastAsia="zh-CN"/>
        </w:rPr>
      </w:pPr>
      <w:bookmarkStart w:id="0" w:name="_GoBack"/>
      <w:bookmarkEnd w:id="0"/>
    </w:p>
    <w:p>
      <w:pPr>
        <w:spacing w:line="600" w:lineRule="exact"/>
        <w:jc w:val="center"/>
        <w:rPr>
          <w:rFonts w:hint="eastAsia" w:ascii="黑体" w:hAnsi="黑体" w:eastAsia="黑体" w:cs="黑体"/>
          <w:b/>
          <w:bCs w:val="0"/>
          <w:kern w:val="0"/>
          <w:sz w:val="36"/>
          <w:szCs w:val="36"/>
          <w:lang w:eastAsia="zh-CN"/>
        </w:rPr>
      </w:pPr>
      <w:r>
        <w:rPr>
          <w:rFonts w:hint="eastAsia" w:ascii="黑体" w:hAnsi="黑体" w:eastAsia="黑体" w:cs="黑体"/>
          <w:b/>
          <w:bCs w:val="0"/>
          <w:kern w:val="0"/>
          <w:sz w:val="36"/>
          <w:szCs w:val="36"/>
          <w:lang w:eastAsia="zh-CN"/>
        </w:rPr>
        <w:t>隆回县科学技术协会</w:t>
      </w:r>
    </w:p>
    <w:p>
      <w:pPr>
        <w:spacing w:line="600" w:lineRule="exact"/>
        <w:jc w:val="center"/>
        <w:rPr>
          <w:rFonts w:hint="eastAsia" w:ascii="黑体" w:hAnsi="黑体" w:eastAsia="黑体" w:cs="黑体"/>
          <w:b/>
          <w:bCs w:val="0"/>
          <w:kern w:val="0"/>
          <w:sz w:val="36"/>
          <w:szCs w:val="36"/>
        </w:rPr>
      </w:pPr>
      <w:r>
        <w:rPr>
          <w:rFonts w:hint="eastAsia" w:ascii="黑体" w:hAnsi="黑体" w:eastAsia="黑体" w:cs="黑体"/>
          <w:b/>
          <w:bCs w:val="0"/>
          <w:kern w:val="0"/>
          <w:sz w:val="36"/>
          <w:szCs w:val="36"/>
        </w:rPr>
        <w:t>部门整体支出绩效自评报告</w:t>
      </w:r>
    </w:p>
    <w:p>
      <w:pPr>
        <w:ind w:firstLine="420" w:firstLineChars="200"/>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一、部门概况</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（一）部门基本情况</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我单位编制人数为7人，实际人数11人（其中在职7人，离退休4人）。小车编制数1台，实际1台。主要职责：传播科学思想，宏扬科学精神，倡导科学方法，普及科学知识，推广先进技术，开展青少年科学技术活动和科技论证，提供科技咨询，为提高全民科学文化素质服务。</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（二）2021年的重点工作</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传播科学思想，宏扬科学精神，倡导科学方法，普及科学知识，推广先进技术，开展青少年科学技术活动和科技论证，提供科技咨询，为提高全民科学文化素质服务。加强学术交流，为当地社会发展服务，为科技工作者服务。全年科普培训12期，培训人数26000余人，进行科普宣传12次，发放宣传资料12000余份，组织开展青少年科技创新大赛1次。</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部门整体支出情况</w:t>
      </w:r>
    </w:p>
    <w:p>
      <w:pPr>
        <w:spacing w:line="600" w:lineRule="exact"/>
        <w:ind w:firstLine="750" w:firstLineChars="25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2021年度收入152.87万元，其中：县财政预算安排152.87万元。2021年部门整体支出208.93万元，其中：基本支出208.93万元，项目支出0万元。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二、部门整体支出管理及使用情况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（一）基本支出情况</w:t>
      </w:r>
    </w:p>
    <w:p>
      <w:pPr>
        <w:pStyle w:val="2"/>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基本经费支出用于保障单位机构正常运转、完成日常工作任务而发生的各项支出，包括用于基本工资、津贴补贴、奖金、机关事业单位养老保险和其他社会保障缴费、其他工资福利等人员经费以及办公费、印刷费、水电费及办公设备购置等日常公用经费。2021年基本支出208.93万元，其中：工资福利支出98.16万元，商品和服务支出92.63万元，对个人和家庭的补助支出18.14万元，资本性支出0万元。</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项目支出情况</w:t>
      </w:r>
    </w:p>
    <w:p>
      <w:pPr>
        <w:pStyle w:val="2"/>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项目支出是指基本支出以外为完成相关行政任务和事业发展目标所发生的各项支出，2021年项目支出0元。</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sz w:val="30"/>
          <w:szCs w:val="30"/>
        </w:rPr>
      </w:pP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经费情况</w:t>
      </w:r>
    </w:p>
    <w:p>
      <w:pPr>
        <w:pStyle w:val="4"/>
        <w:jc w:val="both"/>
        <w:rPr>
          <w:rFonts w:hint="default"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 xml:space="preserve">    2021年“三公”经费支出1.91万元。其中：</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 xml:space="preserve">     1．因公出国（境）费用0万元；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 xml:space="preserve">     2．公务接待费0.17万元；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 xml:space="preserve">     3．公务用车购置及运行费1.74万元。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b/>
          <w:bCs/>
          <w:sz w:val="32"/>
          <w:szCs w:val="32"/>
        </w:rPr>
      </w:pPr>
      <w:r>
        <w:rPr>
          <w:rFonts w:hint="eastAsia" w:ascii="黑体" w:hAnsi="黑体" w:eastAsia="黑体"/>
          <w:b/>
          <w:bCs/>
          <w:sz w:val="32"/>
          <w:szCs w:val="32"/>
        </w:rPr>
        <w:t>三、部门整体支出绩效情况</w:t>
      </w:r>
    </w:p>
    <w:p>
      <w:pPr>
        <w:pStyle w:val="9"/>
        <w:spacing w:line="580" w:lineRule="atLeast"/>
        <w:ind w:firstLine="600"/>
        <w:jc w:val="left"/>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2021年县科协在县委、县政府的正确领导下，在上级科协的指导下，以习近平新时代中国特色社会主义思想为指导，坚持党建带会建，履行“四服务”职责，较好的完成各项工作任务，接受中国科协委托第三方对我县科学素质比例的抽样调查，获评为全省第三届科学素质网络大赛、科普信息传播竞赛活动优秀组织单位、获全国农民网络科学素质大赛、全国科普日活动优秀组织单位称号。</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b/>
          <w:bCs/>
          <w:sz w:val="32"/>
          <w:szCs w:val="32"/>
        </w:rPr>
      </w:pPr>
      <w:r>
        <w:rPr>
          <w:rFonts w:hint="eastAsia" w:ascii="黑体" w:hAnsi="黑体" w:eastAsia="黑体"/>
          <w:b/>
          <w:bCs/>
          <w:sz w:val="32"/>
          <w:szCs w:val="32"/>
        </w:rPr>
        <w:t>存在的问题</w:t>
      </w:r>
    </w:p>
    <w:p>
      <w:pPr>
        <w:pStyle w:val="9"/>
        <w:spacing w:line="580" w:lineRule="atLeast"/>
        <w:ind w:firstLine="600"/>
        <w:jc w:val="left"/>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财务审批制度不完善，没有按时清理固定资产的问题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b/>
          <w:bCs/>
          <w:sz w:val="32"/>
          <w:szCs w:val="32"/>
        </w:rPr>
      </w:pPr>
      <w:r>
        <w:rPr>
          <w:rFonts w:hint="eastAsia" w:ascii="黑体" w:hAnsi="黑体" w:eastAsia="黑体"/>
          <w:b/>
          <w:bCs/>
          <w:sz w:val="32"/>
          <w:szCs w:val="32"/>
        </w:rPr>
        <w:t>五、改进措施和有关建议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1.加强财务管理，严格财务审核。2、完善资产管理。</w:t>
      </w:r>
    </w:p>
    <w:p>
      <w:pPr>
        <w:pStyle w:val="4"/>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 xml:space="preserve">                         </w:t>
      </w:r>
    </w:p>
    <w:p>
      <w:pPr>
        <w:pStyle w:val="4"/>
        <w:keepNext w:val="0"/>
        <w:keepLines w:val="0"/>
        <w:pageBreakBefore w:val="0"/>
        <w:widowControl w:val="0"/>
        <w:kinsoku/>
        <w:wordWrap/>
        <w:overflowPunct/>
        <w:topLinePunct w:val="0"/>
        <w:autoSpaceDE/>
        <w:autoSpaceDN/>
        <w:bidi w:val="0"/>
        <w:adjustRightInd/>
        <w:snapToGrid/>
        <w:ind w:firstLine="4200" w:firstLineChars="1400"/>
        <w:jc w:val="both"/>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 xml:space="preserve"> 隆回县科学技术协会</w:t>
      </w:r>
    </w:p>
    <w:p>
      <w:pPr>
        <w:pStyle w:val="4"/>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 xml:space="preserve">                           2022年4月24日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251EE"/>
    <w:multiLevelType w:val="singleLevel"/>
    <w:tmpl w:val="ACB251EE"/>
    <w:lvl w:ilvl="0" w:tentative="0">
      <w:start w:val="4"/>
      <w:numFmt w:val="chineseCounting"/>
      <w:suff w:val="nothing"/>
      <w:lvlText w:val="%1、"/>
      <w:lvlJc w:val="left"/>
      <w:rPr>
        <w:rFonts w:hint="eastAsia"/>
      </w:rPr>
    </w:lvl>
  </w:abstractNum>
  <w:abstractNum w:abstractNumId="1">
    <w:nsid w:val="CD9B8BD1"/>
    <w:multiLevelType w:val="singleLevel"/>
    <w:tmpl w:val="CD9B8BD1"/>
    <w:lvl w:ilvl="0" w:tentative="0">
      <w:start w:val="2"/>
      <w:numFmt w:val="chineseCounting"/>
      <w:suff w:val="nothing"/>
      <w:lvlText w:val="（%1）"/>
      <w:lvlJc w:val="left"/>
      <w:rPr>
        <w:rFonts w:hint="eastAsia"/>
      </w:rPr>
    </w:lvl>
  </w:abstractNum>
  <w:abstractNum w:abstractNumId="2">
    <w:nsid w:val="FADA5364"/>
    <w:multiLevelType w:val="singleLevel"/>
    <w:tmpl w:val="FADA5364"/>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Mzc2NzJkOTM0NWQ0YmRiNjk2NWY5NjEyY2U5OWMifQ=="/>
  </w:docVars>
  <w:rsids>
    <w:rsidRoot w:val="0BFF0429"/>
    <w:rsid w:val="00243E3E"/>
    <w:rsid w:val="013C246A"/>
    <w:rsid w:val="031E276F"/>
    <w:rsid w:val="0370464D"/>
    <w:rsid w:val="0442248D"/>
    <w:rsid w:val="04983072"/>
    <w:rsid w:val="05087233"/>
    <w:rsid w:val="052728A8"/>
    <w:rsid w:val="064A387B"/>
    <w:rsid w:val="08941AA5"/>
    <w:rsid w:val="08EB6C4F"/>
    <w:rsid w:val="092075F8"/>
    <w:rsid w:val="0AFF69E2"/>
    <w:rsid w:val="0BFF0429"/>
    <w:rsid w:val="0C4F685B"/>
    <w:rsid w:val="0C905843"/>
    <w:rsid w:val="0CF80066"/>
    <w:rsid w:val="0D200E92"/>
    <w:rsid w:val="0E305268"/>
    <w:rsid w:val="0F130CAE"/>
    <w:rsid w:val="0F557518"/>
    <w:rsid w:val="11603F53"/>
    <w:rsid w:val="123E24E6"/>
    <w:rsid w:val="124F64A1"/>
    <w:rsid w:val="133B07D3"/>
    <w:rsid w:val="16D74B9E"/>
    <w:rsid w:val="16EB42BE"/>
    <w:rsid w:val="17AC04B0"/>
    <w:rsid w:val="180715CC"/>
    <w:rsid w:val="185A16FC"/>
    <w:rsid w:val="18BA672F"/>
    <w:rsid w:val="1A8A02B7"/>
    <w:rsid w:val="1AAC0209"/>
    <w:rsid w:val="1AB23A71"/>
    <w:rsid w:val="1BA41D97"/>
    <w:rsid w:val="1DED6B6E"/>
    <w:rsid w:val="1EE95587"/>
    <w:rsid w:val="1EFB4E1D"/>
    <w:rsid w:val="1F002DF3"/>
    <w:rsid w:val="1FF42436"/>
    <w:rsid w:val="21BA76AF"/>
    <w:rsid w:val="21BF0821"/>
    <w:rsid w:val="228850B7"/>
    <w:rsid w:val="24EA44CD"/>
    <w:rsid w:val="266F0A68"/>
    <w:rsid w:val="27906EE8"/>
    <w:rsid w:val="284657F9"/>
    <w:rsid w:val="28A15125"/>
    <w:rsid w:val="28D177B8"/>
    <w:rsid w:val="293935AF"/>
    <w:rsid w:val="2BA016C4"/>
    <w:rsid w:val="2C78619D"/>
    <w:rsid w:val="2CCC4BDE"/>
    <w:rsid w:val="2DBB27E5"/>
    <w:rsid w:val="2E5A7611"/>
    <w:rsid w:val="2E9848D4"/>
    <w:rsid w:val="2FF4279A"/>
    <w:rsid w:val="30607673"/>
    <w:rsid w:val="31126BC0"/>
    <w:rsid w:val="323B0398"/>
    <w:rsid w:val="32B53CA7"/>
    <w:rsid w:val="3361798A"/>
    <w:rsid w:val="338F44F8"/>
    <w:rsid w:val="33AB1A78"/>
    <w:rsid w:val="33BA52ED"/>
    <w:rsid w:val="340325F8"/>
    <w:rsid w:val="34830C36"/>
    <w:rsid w:val="34B23C65"/>
    <w:rsid w:val="3507410E"/>
    <w:rsid w:val="35A16764"/>
    <w:rsid w:val="3619514A"/>
    <w:rsid w:val="37163E07"/>
    <w:rsid w:val="37620175"/>
    <w:rsid w:val="38392C84"/>
    <w:rsid w:val="39744D1E"/>
    <w:rsid w:val="3AF45588"/>
    <w:rsid w:val="3C3A521C"/>
    <w:rsid w:val="3E7223AA"/>
    <w:rsid w:val="3F00274D"/>
    <w:rsid w:val="4171093E"/>
    <w:rsid w:val="43BD0C0D"/>
    <w:rsid w:val="4469669F"/>
    <w:rsid w:val="456B28EB"/>
    <w:rsid w:val="45DB35CC"/>
    <w:rsid w:val="48141018"/>
    <w:rsid w:val="494B2817"/>
    <w:rsid w:val="4A3634C7"/>
    <w:rsid w:val="4A7E4E7C"/>
    <w:rsid w:val="4C3C28EB"/>
    <w:rsid w:val="4D52307E"/>
    <w:rsid w:val="4DE44FE8"/>
    <w:rsid w:val="4EA35D8A"/>
    <w:rsid w:val="513D3BB6"/>
    <w:rsid w:val="513F5357"/>
    <w:rsid w:val="51BA2949"/>
    <w:rsid w:val="524B7D2C"/>
    <w:rsid w:val="52AD009F"/>
    <w:rsid w:val="548E5CAE"/>
    <w:rsid w:val="55B654BC"/>
    <w:rsid w:val="55F02BA5"/>
    <w:rsid w:val="569A4B0E"/>
    <w:rsid w:val="574D23FA"/>
    <w:rsid w:val="57C739B1"/>
    <w:rsid w:val="58492617"/>
    <w:rsid w:val="5915074C"/>
    <w:rsid w:val="59575B63"/>
    <w:rsid w:val="598F04FE"/>
    <w:rsid w:val="59D845ED"/>
    <w:rsid w:val="5D0E3E30"/>
    <w:rsid w:val="5D88268C"/>
    <w:rsid w:val="5E211941"/>
    <w:rsid w:val="5EFF7ED4"/>
    <w:rsid w:val="5F772C6D"/>
    <w:rsid w:val="5FE91194"/>
    <w:rsid w:val="62532C56"/>
    <w:rsid w:val="635F64C4"/>
    <w:rsid w:val="63EA73A4"/>
    <w:rsid w:val="64E738E4"/>
    <w:rsid w:val="65F432FF"/>
    <w:rsid w:val="677D2C82"/>
    <w:rsid w:val="68646FFA"/>
    <w:rsid w:val="691E489B"/>
    <w:rsid w:val="6A6634FD"/>
    <w:rsid w:val="6AE14931"/>
    <w:rsid w:val="6CAD4579"/>
    <w:rsid w:val="6D1C6BFA"/>
    <w:rsid w:val="6DDD7632"/>
    <w:rsid w:val="6E9D58ED"/>
    <w:rsid w:val="6EAD542B"/>
    <w:rsid w:val="6EDC27B1"/>
    <w:rsid w:val="6F6C348A"/>
    <w:rsid w:val="71535E5D"/>
    <w:rsid w:val="72331613"/>
    <w:rsid w:val="72872262"/>
    <w:rsid w:val="72C731C9"/>
    <w:rsid w:val="74277859"/>
    <w:rsid w:val="75A90742"/>
    <w:rsid w:val="77D53A70"/>
    <w:rsid w:val="7951722A"/>
    <w:rsid w:val="7A044199"/>
    <w:rsid w:val="7A785E04"/>
    <w:rsid w:val="7BC731BE"/>
    <w:rsid w:val="7C6432CE"/>
    <w:rsid w:val="7D7358BD"/>
    <w:rsid w:val="7EDE76AE"/>
    <w:rsid w:val="7F317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ind w:firstLine="640" w:firstLineChars="200"/>
    </w:pPr>
    <w:rPr>
      <w:sz w:val="32"/>
    </w:rPr>
  </w:style>
  <w:style w:type="paragraph" w:styleId="4">
    <w:name w:val="Body Text"/>
    <w:basedOn w:val="1"/>
    <w:qFormat/>
    <w:uiPriority w:val="0"/>
    <w:pPr>
      <w:jc w:val="center"/>
    </w:pPr>
    <w:rPr>
      <w:rFonts w:ascii="宋体"/>
      <w:b/>
      <w:bCs/>
      <w:sz w:val="44"/>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NormalCharacter"/>
    <w:semiHidden/>
    <w:qFormat/>
    <w:uiPriority w:val="0"/>
  </w:style>
  <w:style w:type="paragraph" w:customStyle="1" w:styleId="9">
    <w:name w:val="p16"/>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955</Words>
  <Characters>1038</Characters>
  <Lines>0</Lines>
  <Paragraphs>0</Paragraphs>
  <TotalTime>0</TotalTime>
  <ScaleCrop>false</ScaleCrop>
  <LinksUpToDate>false</LinksUpToDate>
  <CharactersWithSpaces>1110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2022-04-20T07:33:00Z</dcterms:created>
  <dc:creator>厚达</dc:creator>
  <cp:lastModifiedBy>Administrator</cp:lastModifiedBy>
  <dcterms:modified xsi:type="dcterms:W3CDTF">2023-09-13T07:23:59Z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BE2DEAF24B5241B1A24D38CBFF3E9F20</vt:lpwstr>
  </property>
</Properties>
</file>