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7"/>
        <w:tblW w:w="907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284"/>
        <w:gridCol w:w="142"/>
        <w:gridCol w:w="850"/>
        <w:gridCol w:w="425"/>
        <w:gridCol w:w="1062"/>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071" w:type="dxa"/>
            <w:gridSpan w:val="13"/>
            <w:tcBorders>
              <w:top w:val="nil"/>
              <w:left w:val="nil"/>
              <w:bottom w:val="nil"/>
              <w:right w:val="nil"/>
            </w:tcBorders>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202</w:t>
            </w:r>
            <w:r>
              <w:rPr>
                <w:rFonts w:hint="eastAsia" w:ascii="黑体" w:hAnsi="黑体" w:eastAsia="黑体" w:cs="黑体"/>
                <w:sz w:val="24"/>
              </w:rPr>
              <w:t>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036"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tcPr>
          <w:p>
            <w:pPr>
              <w:spacing w:line="540" w:lineRule="exact"/>
              <w:jc w:val="left"/>
              <w:rPr>
                <w:rFonts w:hint="eastAsia" w:ascii="楷体" w:hAnsi="楷体" w:eastAsia="楷体" w:cs="楷体"/>
                <w:szCs w:val="21"/>
                <w:lang w:val="en-US" w:eastAsia="zh-CN"/>
              </w:rPr>
            </w:pPr>
            <w:r>
              <w:rPr>
                <w:rFonts w:hint="eastAsia" w:ascii="楷体" w:hAnsi="楷体" w:eastAsia="楷体" w:cs="楷体"/>
                <w:szCs w:val="21"/>
              </w:rPr>
              <w:t>隆回县</w:t>
            </w:r>
            <w:r>
              <w:rPr>
                <w:rFonts w:hint="eastAsia" w:ascii="楷体" w:hAnsi="楷体" w:eastAsia="楷体" w:cs="楷体"/>
                <w:szCs w:val="21"/>
                <w:lang w:eastAsia="zh-CN"/>
              </w:rPr>
              <w:t>教师进修学校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466"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tcPr>
          <w:p>
            <w:pPr>
              <w:spacing w:line="540" w:lineRule="exact"/>
              <w:ind w:firstLine="105" w:firstLineChars="50"/>
              <w:jc w:val="left"/>
              <w:rPr>
                <w:rFonts w:ascii="楷体" w:hAnsi="楷体" w:eastAsia="楷体" w:cs="楷体"/>
                <w:szCs w:val="21"/>
              </w:rPr>
            </w:pPr>
            <w:r>
              <w:rPr>
                <w:rFonts w:hint="eastAsia" w:ascii="楷体" w:hAnsi="楷体" w:eastAsia="楷体" w:cs="楷体"/>
                <w:szCs w:val="21"/>
                <w:lang w:val="en-US" w:eastAsia="zh-CN"/>
              </w:rPr>
              <w:t>35</w:t>
            </w:r>
            <w:r>
              <w:rPr>
                <w:rFonts w:hint="eastAsia" w:ascii="楷体" w:hAnsi="楷体" w:eastAsia="楷体" w:cs="楷体"/>
                <w:szCs w:val="21"/>
              </w:rPr>
              <w:t>人</w:t>
            </w:r>
          </w:p>
        </w:tc>
        <w:tc>
          <w:tcPr>
            <w:tcW w:w="1559" w:type="dxa"/>
            <w:gridSpan w:val="2"/>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tcPr>
          <w:p>
            <w:pPr>
              <w:spacing w:line="540" w:lineRule="exact"/>
              <w:ind w:firstLine="105" w:firstLineChars="50"/>
              <w:jc w:val="left"/>
              <w:rPr>
                <w:rFonts w:ascii="楷体" w:hAnsi="楷体" w:eastAsia="楷体" w:cs="楷体"/>
                <w:szCs w:val="21"/>
              </w:rPr>
            </w:pPr>
            <w:r>
              <w:rPr>
                <w:rFonts w:hint="eastAsia" w:ascii="楷体" w:hAnsi="楷体" w:eastAsia="楷体" w:cs="楷体"/>
                <w:szCs w:val="21"/>
                <w:lang w:val="en-US" w:eastAsia="zh-CN"/>
              </w:rPr>
              <w:t>37</w:t>
            </w:r>
            <w:r>
              <w:rPr>
                <w:rFonts w:hint="eastAsia" w:ascii="楷体" w:hAnsi="楷体" w:eastAsia="楷体" w:cs="楷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682"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tcPr>
          <w:p>
            <w:pPr>
              <w:spacing w:line="340" w:lineRule="exact"/>
              <w:jc w:val="left"/>
              <w:rPr>
                <w:rFonts w:hint="eastAsia" w:ascii="华文楷体" w:hAnsi="华文楷体" w:eastAsia="华文楷体" w:cs="华文楷体"/>
                <w:szCs w:val="21"/>
              </w:rPr>
            </w:pPr>
            <w:r>
              <w:rPr>
                <w:rFonts w:hint="eastAsia" w:ascii="楷体" w:hAnsi="楷体" w:eastAsia="楷体" w:cs="楷体"/>
                <w:sz w:val="21"/>
                <w:szCs w:val="21"/>
              </w:rPr>
              <w:t>隆回县教师进修学校负责全县义务教育阶段中小学校长、教师业务培训工作。负责制定并组织落实全县义务教育阶段校长和教师队伍建设培训规划。负责制订并组织实施中小学在职教师的继续教育工作。组织落实进修学校教学基本条件和评估标准。负责全县汉语言文字工作。负责全县中小学教师信息技术应用能力提升工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836.76</w:t>
            </w:r>
          </w:p>
        </w:tc>
        <w:tc>
          <w:tcPr>
            <w:tcW w:w="1276" w:type="dxa"/>
            <w:gridSpan w:val="2"/>
            <w:vAlign w:val="center"/>
          </w:tcPr>
          <w:p>
            <w:pPr>
              <w:spacing w:line="560" w:lineRule="exact"/>
              <w:rPr>
                <w:rFonts w:ascii="楷体" w:hAnsi="楷体" w:eastAsia="楷体" w:cs="楷体"/>
                <w:szCs w:val="21"/>
              </w:rPr>
            </w:pPr>
            <w:r>
              <w:rPr>
                <w:rFonts w:hint="eastAsia" w:ascii="楷体" w:hAnsi="楷体" w:eastAsia="楷体" w:cs="楷体"/>
                <w:szCs w:val="21"/>
              </w:rPr>
              <w:t>非税收入</w:t>
            </w:r>
          </w:p>
        </w:tc>
        <w:tc>
          <w:tcPr>
            <w:tcW w:w="992" w:type="dxa"/>
            <w:gridSpan w:val="2"/>
          </w:tcPr>
          <w:p>
            <w:pPr>
              <w:rPr>
                <w:rFonts w:ascii="楷体" w:hAnsi="楷体" w:eastAsia="楷体" w:cs="楷体"/>
                <w:szCs w:val="21"/>
              </w:rPr>
            </w:pPr>
            <w:r>
              <w:rPr>
                <w:rFonts w:ascii="楷体" w:hAnsi="楷体" w:eastAsia="楷体" w:cs="楷体"/>
                <w:szCs w:val="21"/>
              </w:rPr>
              <w:t xml:space="preserve"> </w:t>
            </w:r>
          </w:p>
          <w:p>
            <w:pPr>
              <w:rPr>
                <w:rFonts w:ascii="楷体" w:hAnsi="楷体" w:eastAsia="楷体" w:cs="楷体"/>
                <w:szCs w:val="21"/>
              </w:rPr>
            </w:pPr>
            <w:r>
              <w:rPr>
                <w:rFonts w:hint="eastAsia" w:ascii="楷体" w:hAnsi="楷体" w:eastAsia="楷体" w:cs="楷体"/>
                <w:szCs w:val="21"/>
                <w:lang w:val="en-US" w:eastAsia="zh-CN"/>
              </w:rPr>
              <w:t>81.54</w:t>
            </w:r>
            <w:r>
              <w:rPr>
                <w:rFonts w:ascii="楷体" w:hAnsi="楷体" w:eastAsia="楷体" w:cs="楷体"/>
                <w:szCs w:val="21"/>
              </w:rPr>
              <w:t xml:space="preserve">   </w:t>
            </w:r>
          </w:p>
        </w:tc>
        <w:tc>
          <w:tcPr>
            <w:tcW w:w="425"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062" w:type="dxa"/>
            <w:vMerge w:val="restart"/>
          </w:tcPr>
          <w:p>
            <w:pPr>
              <w:spacing w:line="560" w:lineRule="exact"/>
              <w:rPr>
                <w:rFonts w:hint="default" w:ascii="楷体" w:hAnsi="楷体" w:eastAsia="楷体" w:cs="楷体"/>
                <w:szCs w:val="21"/>
                <w:lang w:val="en-US" w:eastAsia="zh-CN"/>
              </w:rPr>
            </w:pPr>
            <w:r>
              <w:rPr>
                <w:rFonts w:hint="eastAsia" w:ascii="楷体" w:hAnsi="楷体" w:eastAsia="楷体" w:cs="楷体"/>
                <w:szCs w:val="21"/>
                <w:lang w:val="en-US" w:eastAsia="zh-CN"/>
              </w:rPr>
              <w:t>918.30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spacing w:line="240" w:lineRule="atLeast"/>
              <w:jc w:val="center"/>
              <w:rPr>
                <w:rFonts w:ascii="楷体" w:hAnsi="楷体" w:eastAsia="楷体" w:cs="楷体"/>
                <w:szCs w:val="21"/>
              </w:rPr>
            </w:pPr>
          </w:p>
        </w:tc>
        <w:tc>
          <w:tcPr>
            <w:tcW w:w="2372" w:type="dxa"/>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vAlign w:val="center"/>
          </w:tcPr>
          <w:p>
            <w:pPr>
              <w:jc w:val="center"/>
              <w:rPr>
                <w:rFonts w:ascii="楷体" w:hAnsi="楷体" w:eastAsia="楷体" w:cs="楷体"/>
                <w:szCs w:val="21"/>
              </w:rPr>
            </w:pPr>
            <w:r>
              <w:rPr>
                <w:rFonts w:ascii="楷体" w:hAnsi="楷体" w:eastAsia="楷体" w:cs="楷体"/>
                <w:szCs w:val="21"/>
              </w:rPr>
              <w:t>0</w:t>
            </w:r>
          </w:p>
        </w:tc>
        <w:tc>
          <w:tcPr>
            <w:tcW w:w="1276" w:type="dxa"/>
            <w:gridSpan w:val="2"/>
            <w:vAlign w:val="center"/>
          </w:tcPr>
          <w:p>
            <w:pPr>
              <w:spacing w:line="560" w:lineRule="exact"/>
              <w:rPr>
                <w:rFonts w:ascii="楷体" w:hAnsi="楷体" w:eastAsia="楷体" w:cs="楷体"/>
                <w:szCs w:val="21"/>
              </w:rPr>
            </w:pPr>
            <w:r>
              <w:rPr>
                <w:rFonts w:hint="eastAsia" w:ascii="楷体" w:hAnsi="楷体" w:eastAsia="楷体" w:cs="楷体"/>
                <w:szCs w:val="21"/>
              </w:rPr>
              <w:t>其他收入</w:t>
            </w:r>
          </w:p>
        </w:tc>
        <w:tc>
          <w:tcPr>
            <w:tcW w:w="992" w:type="dxa"/>
            <w:gridSpan w:val="2"/>
          </w:tcPr>
          <w:p>
            <w:pPr>
              <w:spacing w:line="560" w:lineRule="exact"/>
              <w:jc w:val="left"/>
              <w:rPr>
                <w:rFonts w:hint="eastAsia" w:ascii="楷体" w:hAnsi="楷体" w:eastAsia="楷体" w:cs="楷体"/>
                <w:szCs w:val="21"/>
                <w:lang w:eastAsia="zh-CN"/>
              </w:rPr>
            </w:pPr>
            <w:r>
              <w:rPr>
                <w:rFonts w:hint="eastAsia" w:ascii="楷体" w:hAnsi="楷体" w:eastAsia="楷体" w:cs="楷体"/>
                <w:szCs w:val="21"/>
                <w:lang w:val="en-US" w:eastAsia="zh-CN"/>
              </w:rPr>
              <w:t>0</w:t>
            </w:r>
          </w:p>
        </w:tc>
        <w:tc>
          <w:tcPr>
            <w:tcW w:w="425" w:type="dxa"/>
            <w:vMerge w:val="continue"/>
            <w:vAlign w:val="center"/>
          </w:tcPr>
          <w:p>
            <w:pPr>
              <w:spacing w:line="560" w:lineRule="exact"/>
              <w:jc w:val="center"/>
              <w:rPr>
                <w:rFonts w:ascii="楷体" w:hAnsi="楷体" w:eastAsia="楷体" w:cs="楷体"/>
                <w:szCs w:val="21"/>
              </w:rPr>
            </w:pPr>
          </w:p>
        </w:tc>
        <w:tc>
          <w:tcPr>
            <w:tcW w:w="1062" w:type="dxa"/>
            <w:vMerge w:val="continue"/>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792.16</w:t>
            </w:r>
          </w:p>
        </w:tc>
        <w:tc>
          <w:tcPr>
            <w:tcW w:w="1418" w:type="dxa"/>
            <w:gridSpan w:val="3"/>
            <w:vMerge w:val="restart"/>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850" w:type="dxa"/>
            <w:vMerge w:val="restart"/>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126.14</w:t>
            </w:r>
          </w:p>
        </w:tc>
        <w:tc>
          <w:tcPr>
            <w:tcW w:w="425" w:type="dxa"/>
            <w:vMerge w:val="restart"/>
            <w:vAlign w:val="center"/>
          </w:tcPr>
          <w:p>
            <w:pPr>
              <w:jc w:val="center"/>
              <w:rPr>
                <w:rFonts w:ascii="楷体" w:hAnsi="楷体" w:eastAsia="楷体" w:cs="楷体"/>
                <w:szCs w:val="21"/>
              </w:rPr>
            </w:pPr>
            <w:r>
              <w:rPr>
                <w:rFonts w:hint="eastAsia" w:ascii="楷体" w:hAnsi="楷体" w:eastAsia="楷体" w:cs="楷体"/>
                <w:szCs w:val="21"/>
              </w:rPr>
              <w:t>合计</w:t>
            </w:r>
          </w:p>
        </w:tc>
        <w:tc>
          <w:tcPr>
            <w:tcW w:w="1062" w:type="dxa"/>
            <w:vMerge w:val="restart"/>
          </w:tcPr>
          <w:p>
            <w:pPr>
              <w:spacing w:line="560" w:lineRule="exact"/>
              <w:rPr>
                <w:rFonts w:hint="default" w:ascii="楷体" w:hAnsi="楷体" w:eastAsia="楷体" w:cs="楷体"/>
                <w:szCs w:val="21"/>
                <w:lang w:val="en-US" w:eastAsia="zh-CN"/>
              </w:rPr>
            </w:pPr>
            <w:r>
              <w:rPr>
                <w:rFonts w:hint="eastAsia" w:ascii="楷体" w:hAnsi="楷体" w:eastAsia="楷体" w:cs="楷体"/>
                <w:szCs w:val="21"/>
                <w:lang w:val="en-US" w:eastAsia="zh-CN"/>
              </w:rPr>
              <w:t>918.30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708"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jc w:val="center"/>
              <w:rPr>
                <w:rFonts w:ascii="楷体" w:hAnsi="楷体" w:eastAsia="楷体" w:cs="楷体"/>
                <w:szCs w:val="21"/>
              </w:rPr>
            </w:pPr>
          </w:p>
        </w:tc>
        <w:tc>
          <w:tcPr>
            <w:tcW w:w="2372" w:type="dxa"/>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vAlign w:val="center"/>
          </w:tcPr>
          <w:p>
            <w:pPr>
              <w:jc w:val="center"/>
              <w:rPr>
                <w:rFonts w:hint="eastAsia" w:ascii="楷体" w:hAnsi="楷体" w:eastAsia="楷体" w:cs="楷体"/>
                <w:szCs w:val="21"/>
                <w:lang w:eastAsia="zh-CN"/>
              </w:rPr>
            </w:pPr>
            <w:r>
              <w:rPr>
                <w:rFonts w:hint="eastAsia" w:ascii="楷体" w:hAnsi="楷体" w:eastAsia="楷体" w:cs="楷体"/>
                <w:szCs w:val="21"/>
                <w:lang w:val="en-US" w:eastAsia="zh-CN"/>
              </w:rPr>
              <w:t>0</w:t>
            </w:r>
          </w:p>
        </w:tc>
        <w:tc>
          <w:tcPr>
            <w:tcW w:w="1418" w:type="dxa"/>
            <w:gridSpan w:val="3"/>
            <w:vMerge w:val="continue"/>
          </w:tcPr>
          <w:p>
            <w:pPr>
              <w:jc w:val="center"/>
              <w:rPr>
                <w:rFonts w:ascii="楷体" w:hAnsi="楷体" w:eastAsia="楷体" w:cs="楷体"/>
                <w:szCs w:val="21"/>
              </w:rPr>
            </w:pPr>
          </w:p>
        </w:tc>
        <w:tc>
          <w:tcPr>
            <w:tcW w:w="850" w:type="dxa"/>
            <w:vMerge w:val="continue"/>
          </w:tcPr>
          <w:p>
            <w:pPr>
              <w:jc w:val="center"/>
              <w:rPr>
                <w:rFonts w:ascii="楷体" w:hAnsi="楷体" w:eastAsia="楷体" w:cs="楷体"/>
                <w:szCs w:val="21"/>
              </w:rPr>
            </w:pPr>
          </w:p>
        </w:tc>
        <w:tc>
          <w:tcPr>
            <w:tcW w:w="425" w:type="dxa"/>
            <w:vMerge w:val="continue"/>
            <w:vAlign w:val="center"/>
          </w:tcPr>
          <w:p>
            <w:pPr>
              <w:jc w:val="center"/>
              <w:rPr>
                <w:rFonts w:ascii="楷体" w:hAnsi="楷体" w:eastAsia="楷体" w:cs="楷体"/>
                <w:szCs w:val="21"/>
              </w:rPr>
            </w:pPr>
          </w:p>
        </w:tc>
        <w:tc>
          <w:tcPr>
            <w:tcW w:w="1062" w:type="dxa"/>
            <w:vMerge w:val="continue"/>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6"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bdr w:val="single" w:color="auto" w:sz="4" w:space="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43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125"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bdr w:val="single" w:color="auto" w:sz="4" w:space="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0</w:t>
            </w:r>
            <w:r>
              <w:rPr>
                <w:rFonts w:hint="eastAsia" w:ascii="楷体" w:hAnsi="楷体" w:eastAsia="楷体" w:cs="楷体"/>
                <w:szCs w:val="21"/>
              </w:rPr>
              <w:t>　万元，实际采购金额　</w:t>
            </w:r>
            <w:r>
              <w:rPr>
                <w:rFonts w:ascii="楷体" w:hAnsi="楷体" w:eastAsia="楷体" w:cs="楷体"/>
                <w:szCs w:val="21"/>
              </w:rPr>
              <w:t>0</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740"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sym w:font="Wingdings 2" w:char="F020"/>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202</w:t>
            </w:r>
            <w:r>
              <w:rPr>
                <w:rFonts w:hint="eastAsia" w:ascii="楷体" w:hAnsi="楷体" w:eastAsia="楷体" w:cs="楷体"/>
                <w:szCs w:val="21"/>
              </w:rPr>
              <w:t>2年2</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21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bdr w:val="single" w:color="auto" w:sz="4" w:space="0"/>
              </w:rPr>
              <w:t>√</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bdr w:val="single" w:color="auto" w:sz="4" w:space="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280"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1"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bdr w:val="single" w:color="auto" w:sz="4" w:space="0"/>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41"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vAlign w:val="center"/>
          </w:tcPr>
          <w:p>
            <w:pPr>
              <w:ind w:firstLine="105" w:firstLineChars="50"/>
              <w:rPr>
                <w:rFonts w:ascii="楷体" w:hAnsi="楷体" w:eastAsia="楷体" w:cs="楷体"/>
                <w:szCs w:val="21"/>
              </w:rPr>
            </w:pPr>
            <w:r>
              <w:rPr>
                <w:rFonts w:hint="eastAsia" w:ascii="楷体" w:hAnsi="楷体" w:eastAsia="楷体" w:cs="楷体"/>
              </w:rPr>
              <w:t>贯彻和执行党和国家的教育方针、政策、法规。学校培训工作有序进行，普及全县中小学教师培训工作，工作成果突出。执行财务管理制度，严控三公经费，学校教育经费管理规范。学校教职工的政治思想纯洁高尚，学校资产管理规范，使用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697"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vAlign w:val="center"/>
          </w:tcPr>
          <w:p>
            <w:pPr>
              <w:jc w:val="center"/>
              <w:rPr>
                <w:rFonts w:ascii="楷体" w:hAnsi="楷体" w:eastAsia="楷体" w:cs="楷体"/>
                <w:szCs w:val="21"/>
              </w:rPr>
            </w:pPr>
            <w:r>
              <w:rPr>
                <w:rFonts w:hint="eastAsia" w:ascii="楷体" w:hAnsi="楷体" w:eastAsia="楷体" w:cs="楷体"/>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34" w:hRule="atLeast"/>
        </w:trPr>
        <w:tc>
          <w:tcPr>
            <w:tcW w:w="533" w:type="dxa"/>
            <w:vAlign w:val="center"/>
          </w:tcPr>
          <w:p>
            <w:pPr>
              <w:numPr>
                <w:ilvl w:val="0"/>
                <w:numId w:val="1"/>
              </w:numPr>
              <w:rPr>
                <w:rFonts w:ascii="楷体" w:hAnsi="楷体" w:eastAsia="楷体" w:cs="楷体"/>
              </w:rPr>
            </w:pPr>
            <w:r>
              <w:rPr>
                <w:rFonts w:hint="eastAsia" w:ascii="楷体" w:hAnsi="楷体" w:eastAsia="楷体" w:cs="楷体"/>
              </w:rPr>
              <w:t>问题与建议</w:t>
            </w:r>
          </w:p>
        </w:tc>
        <w:tc>
          <w:tcPr>
            <w:tcW w:w="8467" w:type="dxa"/>
            <w:gridSpan w:val="10"/>
            <w:vAlign w:val="center"/>
          </w:tcPr>
          <w:p>
            <w:pPr>
              <w:rPr>
                <w:rFonts w:ascii="楷体" w:hAnsi="楷体" w:eastAsia="楷体" w:cs="楷体"/>
              </w:rPr>
            </w:pPr>
            <w:r>
              <w:rPr>
                <w:rFonts w:ascii="楷体" w:hAnsi="楷体" w:eastAsia="楷体" w:cs="楷体"/>
              </w:rPr>
              <w:t>1</w:t>
            </w:r>
            <w:r>
              <w:rPr>
                <w:rFonts w:hint="eastAsia" w:ascii="楷体" w:hAnsi="楷体" w:eastAsia="楷体" w:cs="楷体"/>
              </w:rPr>
              <w:t>、完善资产管理制度。加强提高资产的使用率</w:t>
            </w:r>
          </w:p>
          <w:p>
            <w:pPr>
              <w:numPr>
                <w:ilvl w:val="0"/>
                <w:numId w:val="1"/>
              </w:numPr>
              <w:rPr>
                <w:rFonts w:ascii="楷体" w:hAnsi="楷体" w:eastAsia="楷体" w:cs="楷体"/>
              </w:rPr>
            </w:pPr>
            <w:r>
              <w:rPr>
                <w:rFonts w:hint="eastAsia" w:ascii="楷体" w:hAnsi="楷体" w:eastAsia="楷体" w:cs="楷体"/>
              </w:rPr>
              <w:t>进一步完善财务管理制度。合理规范使用经费。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974" w:hRule="atLeast"/>
        </w:trPr>
        <w:tc>
          <w:tcPr>
            <w:tcW w:w="533" w:type="dxa"/>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rPr>
          <w:szCs w:val="21"/>
        </w:rPr>
      </w:pPr>
      <w:r>
        <w:rPr>
          <w:rFonts w:hint="eastAsia" w:ascii="宋体" w:hAnsi="宋体"/>
          <w:szCs w:val="21"/>
        </w:rPr>
        <w:t>填报人：</w:t>
      </w:r>
      <w:r>
        <w:rPr>
          <w:rFonts w:hint="eastAsia" w:ascii="宋体" w:hAnsi="宋体"/>
          <w:szCs w:val="21"/>
          <w:lang w:eastAsia="zh-CN"/>
        </w:rPr>
        <w:t>王成兵</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17872285413　　</w:t>
      </w:r>
      <w:r>
        <w:rPr>
          <w:rFonts w:ascii="宋体" w:hAnsi="宋体"/>
          <w:szCs w:val="21"/>
        </w:rPr>
        <w:t xml:space="preserve"> </w:t>
      </w:r>
      <w:r>
        <w:rPr>
          <w:rFonts w:hint="eastAsia" w:ascii="宋体" w:hAnsi="宋体"/>
          <w:szCs w:val="21"/>
        </w:rPr>
        <w:t>时间：</w:t>
      </w:r>
      <w:r>
        <w:rPr>
          <w:rFonts w:ascii="宋体" w:hAnsi="宋体"/>
          <w:szCs w:val="21"/>
        </w:rPr>
        <w:t xml:space="preserve"> 202</w:t>
      </w:r>
      <w:r>
        <w:rPr>
          <w:rFonts w:hint="eastAsia" w:ascii="宋体" w:hAnsi="宋体"/>
          <w:szCs w:val="21"/>
        </w:rPr>
        <w:t>2年</w:t>
      </w:r>
      <w:r>
        <w:rPr>
          <w:rFonts w:ascii="宋体" w:hAnsi="宋体"/>
          <w:szCs w:val="21"/>
        </w:rPr>
        <w:t xml:space="preserve"> 4  </w:t>
      </w:r>
      <w:r>
        <w:rPr>
          <w:rFonts w:hint="eastAsia" w:ascii="宋体" w:hAnsi="宋体"/>
          <w:szCs w:val="21"/>
        </w:rPr>
        <w:t>月</w:t>
      </w:r>
      <w:r>
        <w:rPr>
          <w:rFonts w:ascii="宋体" w:hAnsi="宋体"/>
          <w:szCs w:val="21"/>
        </w:rPr>
        <w:t xml:space="preserve"> 2</w:t>
      </w:r>
      <w:r>
        <w:rPr>
          <w:rFonts w:hint="eastAsia" w:ascii="宋体" w:hAnsi="宋体"/>
          <w:szCs w:val="21"/>
        </w:rPr>
        <w:t>1日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w:t>
      </w:r>
      <w:r>
        <w:rPr>
          <w:rFonts w:ascii="黑体" w:hAnsi="宋体" w:eastAsia="黑体" w:cs="宋体"/>
          <w:kern w:val="0"/>
          <w:sz w:val="32"/>
          <w:szCs w:val="32"/>
        </w:rPr>
        <w:t>4</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部门整体支出绩效自评报告</w:t>
      </w:r>
    </w:p>
    <w:p>
      <w:pPr>
        <w:jc w:val="center"/>
        <w:rPr>
          <w:rFonts w:eastAsia="Times New Roman"/>
          <w:sz w:val="32"/>
          <w:szCs w:val="32"/>
        </w:rPr>
      </w:pPr>
    </w:p>
    <w:p>
      <w:pPr>
        <w:ind w:firstLine="420" w:firstLineChars="200"/>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一、部门概况</w:t>
      </w:r>
    </w:p>
    <w:p>
      <w:pPr>
        <w:spacing w:line="360" w:lineRule="auto"/>
        <w:ind w:firstLine="560" w:firstLineChars="200"/>
        <w:rPr>
          <w:rFonts w:eastAsia="Times New Roman"/>
          <w:sz w:val="28"/>
          <w:szCs w:val="28"/>
        </w:rPr>
      </w:pPr>
      <w:r>
        <w:rPr>
          <w:rFonts w:hint="eastAsia" w:ascii="宋体" w:hAnsi="宋体" w:cs="宋体"/>
          <w:sz w:val="28"/>
          <w:szCs w:val="28"/>
        </w:rPr>
        <w:t>（一）部门基本情况</w:t>
      </w:r>
    </w:p>
    <w:p>
      <w:pPr>
        <w:snapToGrid w:val="0"/>
        <w:spacing w:line="360" w:lineRule="auto"/>
        <w:ind w:firstLine="560" w:firstLineChars="200"/>
        <w:rPr>
          <w:rFonts w:ascii="??_GB2312" w:hAnsi="仿宋" w:eastAsiaTheme="minorEastAsia"/>
          <w:sz w:val="28"/>
          <w:szCs w:val="28"/>
        </w:rPr>
      </w:pPr>
      <w:r>
        <w:rPr>
          <w:rFonts w:ascii="??_GB2312" w:eastAsia="Times New Roman"/>
          <w:sz w:val="28"/>
          <w:szCs w:val="28"/>
        </w:rPr>
        <w:t>单位基本情况</w:t>
      </w:r>
      <w:r>
        <w:rPr>
          <w:rFonts w:ascii="??_GB2312" w:eastAsia="Times New Roman"/>
          <w:sz w:val="28"/>
          <w:szCs w:val="28"/>
        </w:rPr>
        <w:br w:type="textWrapping"/>
      </w:r>
      <w:r>
        <w:rPr>
          <w:rFonts w:ascii="楷体" w:hAnsi="楷体" w:eastAsia="楷体" w:cs="楷体"/>
          <w:color w:val="333333"/>
          <w:sz w:val="28"/>
          <w:szCs w:val="28"/>
          <w:shd w:val="clear" w:color="auto" w:fill="FFFFFF"/>
        </w:rPr>
        <w:t xml:space="preserve">    </w:t>
      </w:r>
      <w:r>
        <w:rPr>
          <w:rFonts w:ascii="??_GB2312" w:eastAsia="Times New Roman"/>
          <w:sz w:val="28"/>
          <w:szCs w:val="28"/>
        </w:rPr>
        <w:t xml:space="preserve"> </w:t>
      </w:r>
      <w:r>
        <w:rPr>
          <w:rFonts w:hint="eastAsia" w:ascii="??_GB2312"/>
          <w:sz w:val="28"/>
          <w:szCs w:val="28"/>
        </w:rPr>
        <w:t>隆回六中是一所市示范性高级中学。</w:t>
      </w:r>
      <w:r>
        <w:rPr>
          <w:rFonts w:ascii="??_GB2312" w:eastAsia="Times New Roman"/>
          <w:sz w:val="28"/>
          <w:szCs w:val="28"/>
        </w:rPr>
        <w:t>编制人数为</w:t>
      </w:r>
      <w:r>
        <w:rPr>
          <w:rFonts w:hint="eastAsia" w:ascii="??_GB2312"/>
          <w:sz w:val="28"/>
          <w:szCs w:val="28"/>
          <w:lang w:val="en-US" w:eastAsia="zh-CN"/>
        </w:rPr>
        <w:t>35</w:t>
      </w:r>
      <w:r>
        <w:rPr>
          <w:rFonts w:ascii="??_GB2312" w:eastAsia="Times New Roman"/>
          <w:sz w:val="28"/>
          <w:szCs w:val="28"/>
        </w:rPr>
        <w:t>人，实际</w:t>
      </w:r>
      <w:r>
        <w:rPr>
          <w:rFonts w:hint="eastAsia" w:ascii="??_GB2312" w:eastAsiaTheme="minorEastAsia"/>
          <w:sz w:val="28"/>
          <w:szCs w:val="28"/>
        </w:rPr>
        <w:t>教职工</w:t>
      </w:r>
      <w:r>
        <w:rPr>
          <w:rFonts w:ascii="??_GB2312" w:eastAsia="Times New Roman"/>
          <w:sz w:val="28"/>
          <w:szCs w:val="28"/>
        </w:rPr>
        <w:t>人数</w:t>
      </w:r>
      <w:r>
        <w:rPr>
          <w:rFonts w:hint="eastAsia" w:ascii="??_GB2312"/>
          <w:sz w:val="28"/>
          <w:szCs w:val="28"/>
          <w:lang w:val="en-US" w:eastAsia="zh-CN"/>
        </w:rPr>
        <w:t>37</w:t>
      </w:r>
      <w:r>
        <w:rPr>
          <w:rFonts w:ascii="??_GB2312" w:eastAsia="Times New Roman"/>
          <w:sz w:val="28"/>
          <w:szCs w:val="28"/>
        </w:rPr>
        <w:t>人，</w:t>
      </w:r>
      <w:r>
        <w:rPr>
          <w:rFonts w:hint="eastAsia" w:ascii="??_GB2312" w:eastAsiaTheme="minorEastAsia"/>
          <w:sz w:val="28"/>
          <w:szCs w:val="28"/>
        </w:rPr>
        <w:t>退休教职工</w:t>
      </w:r>
      <w:r>
        <w:rPr>
          <w:rFonts w:hint="eastAsia" w:ascii="??_GB2312" w:eastAsiaTheme="minorEastAsia"/>
          <w:sz w:val="28"/>
          <w:szCs w:val="28"/>
          <w:lang w:val="en-US" w:eastAsia="zh-CN"/>
        </w:rPr>
        <w:t>3</w:t>
      </w:r>
      <w:r>
        <w:rPr>
          <w:rFonts w:hint="eastAsia" w:ascii="??_GB2312" w:eastAsiaTheme="minorEastAsia"/>
          <w:sz w:val="28"/>
          <w:szCs w:val="28"/>
        </w:rPr>
        <w:t>2</w:t>
      </w:r>
      <w:r>
        <w:rPr>
          <w:rFonts w:ascii="??_GB2312" w:eastAsia="Times New Roman"/>
          <w:sz w:val="28"/>
          <w:szCs w:val="28"/>
        </w:rPr>
        <w:t>人</w:t>
      </w:r>
      <w:r>
        <w:rPr>
          <w:rFonts w:hint="eastAsia" w:ascii="??_GB2312" w:eastAsiaTheme="minorEastAsia"/>
          <w:sz w:val="28"/>
          <w:szCs w:val="28"/>
        </w:rPr>
        <w:t>。</w:t>
      </w:r>
    </w:p>
    <w:p>
      <w:pPr>
        <w:spacing w:line="360" w:lineRule="auto"/>
        <w:ind w:firstLine="560" w:firstLineChars="200"/>
        <w:rPr>
          <w:rFonts w:eastAsia="Times New Roman"/>
          <w:sz w:val="28"/>
          <w:szCs w:val="28"/>
        </w:rPr>
      </w:pPr>
      <w:r>
        <w:rPr>
          <w:rFonts w:hint="eastAsia" w:ascii="宋体" w:hAnsi="宋体" w:cs="宋体"/>
          <w:sz w:val="28"/>
          <w:szCs w:val="28"/>
        </w:rPr>
        <w:t>（二）</w:t>
      </w:r>
      <w:r>
        <w:rPr>
          <w:rFonts w:eastAsia="Times New Roman"/>
          <w:sz w:val="28"/>
          <w:szCs w:val="28"/>
        </w:rPr>
        <w:t>202</w:t>
      </w:r>
      <w:r>
        <w:rPr>
          <w:rFonts w:hint="eastAsia" w:eastAsiaTheme="minorEastAsia"/>
          <w:sz w:val="28"/>
          <w:szCs w:val="28"/>
        </w:rPr>
        <w:t>1</w:t>
      </w:r>
      <w:r>
        <w:rPr>
          <w:rFonts w:hint="eastAsia" w:ascii="宋体" w:hAnsi="宋体" w:cs="宋体"/>
          <w:sz w:val="28"/>
          <w:szCs w:val="28"/>
        </w:rPr>
        <w:t>年的重点工作</w:t>
      </w:r>
    </w:p>
    <w:p>
      <w:pPr>
        <w:pStyle w:val="2"/>
        <w:spacing w:line="360" w:lineRule="auto"/>
        <w:ind w:firstLine="560"/>
        <w:rPr>
          <w:rFonts w:ascii="??_GB2312" w:eastAsia="Times New Roman"/>
          <w:sz w:val="28"/>
          <w:szCs w:val="28"/>
        </w:rPr>
      </w:pPr>
      <w:r>
        <w:rPr>
          <w:rFonts w:hint="eastAsia" w:ascii="??_GB2312"/>
          <w:sz w:val="28"/>
          <w:szCs w:val="28"/>
        </w:rPr>
        <w:t>研</w:t>
      </w:r>
      <w:r>
        <w:rPr>
          <w:rFonts w:hint="eastAsia" w:ascii="??_GB2312" w:eastAsia="Times New Roman"/>
          <w:sz w:val="28"/>
          <w:szCs w:val="28"/>
        </w:rPr>
        <w:t>究拟定学校教育发展策略，贯彻和执行党和国家的教育方针、政策、法规。管理和指导学校基础教育工作，确保</w:t>
      </w:r>
      <w:r>
        <w:rPr>
          <w:rFonts w:hint="eastAsia" w:ascii="??_GB2312" w:eastAsiaTheme="minorEastAsia"/>
          <w:sz w:val="28"/>
          <w:szCs w:val="28"/>
        </w:rPr>
        <w:t>各项</w:t>
      </w:r>
      <w:r>
        <w:rPr>
          <w:rFonts w:hint="eastAsia" w:ascii="??_GB2312" w:eastAsia="Times New Roman"/>
          <w:sz w:val="28"/>
          <w:szCs w:val="28"/>
        </w:rPr>
        <w:t>教育</w:t>
      </w:r>
      <w:r>
        <w:rPr>
          <w:rFonts w:hint="eastAsia" w:ascii="??_GB2312" w:eastAsiaTheme="minorEastAsia"/>
          <w:sz w:val="28"/>
          <w:szCs w:val="28"/>
        </w:rPr>
        <w:t>教学管理</w:t>
      </w:r>
      <w:r>
        <w:rPr>
          <w:rFonts w:hint="eastAsia" w:ascii="??_GB2312" w:eastAsia="Times New Roman"/>
          <w:sz w:val="28"/>
          <w:szCs w:val="28"/>
        </w:rPr>
        <w:t>工作</w:t>
      </w:r>
      <w:r>
        <w:rPr>
          <w:rFonts w:hint="eastAsia" w:ascii="??_GB2312" w:eastAsiaTheme="minorEastAsia"/>
          <w:sz w:val="28"/>
          <w:szCs w:val="28"/>
        </w:rPr>
        <w:t>在邵阳市处于领先地位。加大投入，改善办学条件。严格管理</w:t>
      </w:r>
      <w:r>
        <w:rPr>
          <w:rFonts w:hint="eastAsia" w:ascii="??_GB2312" w:eastAsia="Times New Roman"/>
          <w:sz w:val="28"/>
          <w:szCs w:val="28"/>
        </w:rPr>
        <w:t>学校教育经费，</w:t>
      </w:r>
      <w:r>
        <w:rPr>
          <w:rFonts w:hint="eastAsia" w:ascii="??_GB2312" w:eastAsiaTheme="minorEastAsia"/>
          <w:sz w:val="28"/>
          <w:szCs w:val="28"/>
        </w:rPr>
        <w:t>一切支出遵守</w:t>
      </w:r>
      <w:r>
        <w:rPr>
          <w:rFonts w:hint="eastAsia" w:ascii="??_GB2312" w:eastAsia="Times New Roman"/>
          <w:sz w:val="28"/>
          <w:szCs w:val="28"/>
        </w:rPr>
        <w:t>财务管理制度</w:t>
      </w:r>
      <w:r>
        <w:rPr>
          <w:rFonts w:hint="eastAsia" w:ascii="??_GB2312" w:eastAsiaTheme="minorEastAsia"/>
          <w:sz w:val="28"/>
          <w:szCs w:val="28"/>
        </w:rPr>
        <w:t>。</w:t>
      </w:r>
      <w:r>
        <w:rPr>
          <w:rFonts w:hint="eastAsia" w:ascii="??_GB2312" w:eastAsia="Times New Roman"/>
          <w:sz w:val="28"/>
          <w:szCs w:val="28"/>
        </w:rPr>
        <w:t>负责和指导学校教职工的思想政治工作。</w:t>
      </w:r>
    </w:p>
    <w:p>
      <w:pPr>
        <w:spacing w:line="360" w:lineRule="auto"/>
        <w:ind w:firstLine="560" w:firstLineChars="200"/>
        <w:rPr>
          <w:rFonts w:ascii="??_GB2312" w:eastAsia="Times New Roman"/>
          <w:sz w:val="28"/>
          <w:szCs w:val="28"/>
        </w:rPr>
      </w:pPr>
      <w:r>
        <w:rPr>
          <w:rFonts w:hint="eastAsia" w:ascii="??_GB2312" w:eastAsia="Times New Roman"/>
          <w:sz w:val="28"/>
          <w:szCs w:val="28"/>
        </w:rPr>
        <w:t>（三）部门整体支出情况</w:t>
      </w:r>
    </w:p>
    <w:p>
      <w:pPr>
        <w:pStyle w:val="6"/>
        <w:shd w:val="clear" w:color="auto" w:fill="FFFFFF"/>
        <w:spacing w:before="0" w:beforeAutospacing="0" w:after="0" w:afterAutospacing="0" w:line="360" w:lineRule="auto"/>
        <w:ind w:firstLine="560" w:firstLineChars="200"/>
        <w:rPr>
          <w:rFonts w:ascii="??_GB2312" w:hAnsi="Times New Roman" w:eastAsia="Times New Roman" w:cs="Times New Roman"/>
          <w:kern w:val="2"/>
          <w:sz w:val="28"/>
          <w:szCs w:val="28"/>
        </w:rPr>
      </w:pPr>
      <w:r>
        <w:rPr>
          <w:rFonts w:ascii="??_GB2312" w:hAnsi="Times New Roman" w:eastAsia="Times New Roman" w:cs="Times New Roman"/>
          <w:kern w:val="2"/>
          <w:sz w:val="28"/>
          <w:szCs w:val="28"/>
        </w:rPr>
        <w:t>202</w:t>
      </w:r>
      <w:r>
        <w:rPr>
          <w:rFonts w:hint="eastAsia" w:ascii="??_GB2312" w:hAnsi="Times New Roman" w:cs="Times New Roman" w:eastAsiaTheme="minorEastAsia"/>
          <w:kern w:val="2"/>
          <w:sz w:val="28"/>
          <w:szCs w:val="28"/>
        </w:rPr>
        <w:t>1</w:t>
      </w:r>
      <w:r>
        <w:rPr>
          <w:rFonts w:hint="eastAsia" w:ascii="??_GB2312" w:hAnsi="Times New Roman" w:eastAsia="Times New Roman" w:cs="Times New Roman"/>
          <w:kern w:val="2"/>
          <w:sz w:val="28"/>
          <w:szCs w:val="28"/>
        </w:rPr>
        <w:t>年度决算支出为</w:t>
      </w:r>
      <w:r>
        <w:rPr>
          <w:rFonts w:hint="eastAsia" w:ascii="??_GB2312" w:hAnsi="Times New Roman" w:cs="Times New Roman" w:eastAsiaTheme="minorEastAsia"/>
          <w:kern w:val="2"/>
          <w:sz w:val="28"/>
          <w:szCs w:val="28"/>
          <w:lang w:val="en-US" w:eastAsia="zh-CN"/>
        </w:rPr>
        <w:t>918.30</w:t>
      </w:r>
      <w:r>
        <w:rPr>
          <w:rFonts w:hint="eastAsia" w:ascii="??_GB2312" w:hAnsi="Times New Roman" w:eastAsia="Times New Roman" w:cs="Times New Roman"/>
          <w:kern w:val="2"/>
          <w:sz w:val="28"/>
          <w:szCs w:val="28"/>
        </w:rPr>
        <w:t>万元</w:t>
      </w:r>
      <w:r>
        <w:rPr>
          <w:rFonts w:ascii="??_GB2312" w:hAnsi="Times New Roman" w:eastAsia="Times New Roman" w:cs="Times New Roman"/>
          <w:kern w:val="2"/>
          <w:sz w:val="28"/>
          <w:szCs w:val="28"/>
        </w:rPr>
        <w:t>。</w:t>
      </w:r>
    </w:p>
    <w:p>
      <w:pPr>
        <w:spacing w:line="360" w:lineRule="auto"/>
        <w:ind w:firstLine="560" w:firstLineChars="200"/>
        <w:rPr>
          <w:rFonts w:ascii="??_GB2312" w:eastAsia="Times New Roman"/>
          <w:sz w:val="28"/>
          <w:szCs w:val="28"/>
        </w:rPr>
      </w:pPr>
      <w:r>
        <w:rPr>
          <w:rFonts w:hint="eastAsia" w:ascii="??_GB2312" w:eastAsia="Times New Roman"/>
          <w:sz w:val="28"/>
          <w:szCs w:val="28"/>
        </w:rPr>
        <w:t>二、部门整体支出管理及使用情况</w:t>
      </w:r>
    </w:p>
    <w:p>
      <w:pPr>
        <w:spacing w:line="360" w:lineRule="auto"/>
        <w:ind w:firstLine="560" w:firstLineChars="200"/>
        <w:rPr>
          <w:rFonts w:ascii="??_GB2312" w:eastAsia="Times New Roman"/>
          <w:sz w:val="28"/>
          <w:szCs w:val="28"/>
        </w:rPr>
      </w:pPr>
      <w:r>
        <w:rPr>
          <w:rFonts w:hint="eastAsia" w:ascii="??_GB2312" w:eastAsia="Times New Roman"/>
          <w:sz w:val="28"/>
          <w:szCs w:val="28"/>
        </w:rPr>
        <w:t>（一）基本支出情况</w:t>
      </w:r>
    </w:p>
    <w:p>
      <w:pPr>
        <w:pStyle w:val="2"/>
        <w:spacing w:line="360" w:lineRule="auto"/>
        <w:ind w:firstLine="560"/>
        <w:rPr>
          <w:rFonts w:ascii="??_GB2312" w:eastAsia="Times New Roman"/>
          <w:sz w:val="28"/>
          <w:szCs w:val="28"/>
        </w:rPr>
      </w:pPr>
      <w:r>
        <w:rPr>
          <w:rFonts w:hint="eastAsia" w:ascii="??_GB2312" w:eastAsia="Times New Roman"/>
          <w:sz w:val="28"/>
          <w:szCs w:val="28"/>
        </w:rPr>
        <w:t>202</w:t>
      </w:r>
      <w:r>
        <w:rPr>
          <w:rFonts w:hint="eastAsia" w:ascii="??_GB2312" w:eastAsiaTheme="minorEastAsia"/>
          <w:sz w:val="28"/>
          <w:szCs w:val="28"/>
        </w:rPr>
        <w:t>1</w:t>
      </w:r>
      <w:r>
        <w:rPr>
          <w:rFonts w:hint="eastAsia" w:ascii="??_GB2312" w:eastAsia="Times New Roman"/>
          <w:sz w:val="28"/>
          <w:szCs w:val="28"/>
        </w:rPr>
        <w:t>年度决算数为</w:t>
      </w:r>
      <w:r>
        <w:rPr>
          <w:rFonts w:hint="eastAsia" w:ascii="??_GB2312" w:eastAsiaTheme="minorEastAsia"/>
          <w:sz w:val="28"/>
          <w:szCs w:val="28"/>
          <w:lang w:val="en-US" w:eastAsia="zh-CN"/>
        </w:rPr>
        <w:t>918.30</w:t>
      </w:r>
      <w:r>
        <w:rPr>
          <w:rFonts w:hint="eastAsia" w:ascii="??_GB2312" w:eastAsia="Times New Roman"/>
          <w:sz w:val="28"/>
          <w:szCs w:val="28"/>
        </w:rPr>
        <w:t>万元，是为保障单位机构正常运转、完成日常工作任务而发生的各项支出，主要包括工资福利支出、商品和服务支出，对个人和家庭的补助支出、资本性支出和其他资本性支出。</w:t>
      </w:r>
    </w:p>
    <w:p>
      <w:pPr>
        <w:spacing w:line="360" w:lineRule="auto"/>
        <w:ind w:firstLine="560" w:firstLineChars="200"/>
        <w:rPr>
          <w:rFonts w:ascii="??_GB2312" w:eastAsia="Times New Roman"/>
          <w:sz w:val="28"/>
          <w:szCs w:val="28"/>
        </w:rPr>
      </w:pPr>
      <w:r>
        <w:rPr>
          <w:rFonts w:hint="eastAsia" w:ascii="??_GB2312" w:eastAsia="Times New Roman"/>
          <w:sz w:val="28"/>
          <w:szCs w:val="28"/>
        </w:rPr>
        <w:t>（二）项目支出情况</w:t>
      </w:r>
    </w:p>
    <w:p>
      <w:pPr>
        <w:pStyle w:val="2"/>
        <w:spacing w:line="360" w:lineRule="auto"/>
        <w:ind w:firstLine="560"/>
        <w:rPr>
          <w:rFonts w:ascii="宋体" w:hAnsi="宋体" w:cs="宋体"/>
          <w:sz w:val="28"/>
          <w:szCs w:val="28"/>
        </w:rPr>
      </w:pPr>
      <w:r>
        <w:rPr>
          <w:rFonts w:ascii="楷体" w:hAnsi="楷体" w:eastAsia="楷体" w:cs="楷体"/>
          <w:color w:val="333333"/>
          <w:sz w:val="28"/>
          <w:szCs w:val="28"/>
          <w:shd w:val="clear" w:color="auto" w:fill="FFFFFF"/>
        </w:rPr>
        <w:t>2</w:t>
      </w:r>
      <w:r>
        <w:rPr>
          <w:rFonts w:hint="eastAsia" w:ascii="宋体" w:hAnsi="宋体" w:cs="宋体"/>
          <w:sz w:val="28"/>
          <w:szCs w:val="28"/>
        </w:rPr>
        <w:t>021年年度决算数为</w:t>
      </w:r>
      <w:r>
        <w:rPr>
          <w:rFonts w:hint="eastAsia" w:ascii="宋体" w:hAnsi="宋体" w:cs="宋体"/>
          <w:sz w:val="28"/>
          <w:szCs w:val="28"/>
          <w:lang w:val="en-US" w:eastAsia="zh-CN"/>
        </w:rPr>
        <w:t>126.14</w:t>
      </w:r>
      <w:r>
        <w:rPr>
          <w:rFonts w:hint="eastAsia" w:ascii="宋体" w:hAnsi="宋体" w:cs="宋体"/>
          <w:sz w:val="28"/>
          <w:szCs w:val="28"/>
        </w:rPr>
        <w:t>万元，是指单位为完成选定行政工作或事业发展目标而发生的支出，包括有关事业发展专项、专项业务费、基本建设支出等。</w:t>
      </w:r>
    </w:p>
    <w:p>
      <w:pPr>
        <w:numPr>
          <w:ilvl w:val="0"/>
          <w:numId w:val="2"/>
        </w:numPr>
        <w:spacing w:line="360" w:lineRule="auto"/>
        <w:ind w:firstLine="560" w:firstLineChars="200"/>
        <w:rPr>
          <w:rFonts w:eastAsia="Times New Roman"/>
          <w:sz w:val="28"/>
          <w:szCs w:val="28"/>
        </w:rPr>
      </w:pPr>
      <w:r>
        <w:rPr>
          <w:rFonts w:eastAsia="Times New Roman"/>
          <w:sz w:val="28"/>
          <w:szCs w:val="28"/>
        </w:rPr>
        <w:t>“</w:t>
      </w:r>
      <w:r>
        <w:rPr>
          <w:rFonts w:hint="eastAsia" w:ascii="宋体" w:hAnsi="宋体" w:cs="宋体"/>
          <w:sz w:val="28"/>
          <w:szCs w:val="28"/>
        </w:rPr>
        <w:t>三公</w:t>
      </w:r>
      <w:r>
        <w:rPr>
          <w:rFonts w:eastAsia="Times New Roman"/>
          <w:sz w:val="28"/>
          <w:szCs w:val="28"/>
        </w:rPr>
        <w:t>”</w:t>
      </w:r>
      <w:r>
        <w:rPr>
          <w:rFonts w:hint="eastAsia" w:ascii="宋体" w:hAnsi="宋体" w:cs="宋体"/>
          <w:sz w:val="28"/>
          <w:szCs w:val="28"/>
        </w:rPr>
        <w:t>经费情况</w:t>
      </w:r>
    </w:p>
    <w:p>
      <w:pPr>
        <w:pStyle w:val="6"/>
        <w:widowControl/>
        <w:spacing w:before="0" w:beforeAutospacing="0" w:after="0" w:afterAutospacing="0" w:line="360" w:lineRule="auto"/>
        <w:ind w:firstLine="840" w:firstLineChars="300"/>
        <w:jc w:val="both"/>
        <w:rPr>
          <w:rFonts w:ascii="Times New Roman" w:hAnsi="Times New Roman" w:cs="Times New Roman"/>
          <w:kern w:val="2"/>
          <w:sz w:val="28"/>
          <w:szCs w:val="28"/>
        </w:rPr>
      </w:pPr>
      <w:r>
        <w:rPr>
          <w:rFonts w:ascii="Times New Roman" w:hAnsi="Times New Roman" w:cs="Times New Roman"/>
          <w:kern w:val="2"/>
          <w:sz w:val="28"/>
          <w:szCs w:val="28"/>
        </w:rPr>
        <w:t>202</w:t>
      </w:r>
      <w:r>
        <w:rPr>
          <w:rFonts w:hint="eastAsia" w:ascii="Times New Roman" w:hAnsi="Times New Roman" w:cs="Times New Roman"/>
          <w:kern w:val="2"/>
          <w:sz w:val="28"/>
          <w:szCs w:val="28"/>
        </w:rPr>
        <w:t>1</w:t>
      </w:r>
      <w:r>
        <w:rPr>
          <w:rFonts w:hint="eastAsia" w:ascii="宋体" w:hAnsi="宋体"/>
          <w:kern w:val="2"/>
          <w:sz w:val="28"/>
          <w:szCs w:val="28"/>
        </w:rPr>
        <w:t>年我单位</w:t>
      </w:r>
      <w:r>
        <w:rPr>
          <w:rFonts w:ascii="Times New Roman" w:hAnsi="Times New Roman" w:cs="Times New Roman"/>
          <w:kern w:val="2"/>
          <w:sz w:val="28"/>
          <w:szCs w:val="28"/>
        </w:rPr>
        <w:t>“</w:t>
      </w:r>
      <w:r>
        <w:rPr>
          <w:rFonts w:hint="eastAsia" w:ascii="宋体" w:hAnsi="宋体"/>
          <w:kern w:val="2"/>
          <w:sz w:val="28"/>
          <w:szCs w:val="28"/>
        </w:rPr>
        <w:t>三公</w:t>
      </w:r>
      <w:r>
        <w:rPr>
          <w:rFonts w:ascii="Times New Roman" w:hAnsi="Times New Roman" w:cs="Times New Roman"/>
          <w:kern w:val="2"/>
          <w:sz w:val="28"/>
          <w:szCs w:val="28"/>
        </w:rPr>
        <w:t>”</w:t>
      </w:r>
      <w:r>
        <w:rPr>
          <w:rFonts w:hint="eastAsia" w:ascii="宋体" w:hAnsi="宋体"/>
          <w:kern w:val="2"/>
          <w:sz w:val="28"/>
          <w:szCs w:val="28"/>
        </w:rPr>
        <w:t>经费</w:t>
      </w:r>
      <w:r>
        <w:rPr>
          <w:rFonts w:hint="eastAsia" w:ascii="Times New Roman" w:hAnsi="Times New Roman" w:cs="Times New Roman"/>
          <w:kern w:val="2"/>
          <w:sz w:val="28"/>
          <w:szCs w:val="28"/>
          <w:lang w:val="en-US" w:eastAsia="zh-CN"/>
        </w:rPr>
        <w:t>0</w:t>
      </w:r>
      <w:r>
        <w:rPr>
          <w:rFonts w:hint="eastAsia" w:ascii="宋体" w:hAnsi="宋体"/>
          <w:kern w:val="2"/>
          <w:sz w:val="28"/>
          <w:szCs w:val="28"/>
        </w:rPr>
        <w:t>万元</w:t>
      </w:r>
    </w:p>
    <w:p>
      <w:pPr>
        <w:pStyle w:val="6"/>
        <w:widowControl/>
        <w:spacing w:before="0" w:beforeAutospacing="0" w:after="0" w:afterAutospacing="0" w:line="360" w:lineRule="auto"/>
        <w:ind w:firstLine="840" w:firstLineChars="300"/>
        <w:jc w:val="both"/>
        <w:rPr>
          <w:rFonts w:ascii="Times New Roman" w:hAnsi="Times New Roman" w:cs="Times New Roman"/>
          <w:kern w:val="2"/>
          <w:sz w:val="28"/>
          <w:szCs w:val="28"/>
        </w:rPr>
      </w:pPr>
      <w:r>
        <w:rPr>
          <w:rFonts w:ascii="Times New Roman" w:hAnsi="Times New Roman" w:cs="Times New Roman"/>
          <w:kern w:val="2"/>
          <w:sz w:val="28"/>
          <w:szCs w:val="28"/>
        </w:rPr>
        <w:t>1</w:t>
      </w:r>
      <w:r>
        <w:rPr>
          <w:rFonts w:hint="eastAsia" w:ascii="宋体" w:hAnsi="宋体"/>
          <w:kern w:val="2"/>
          <w:sz w:val="28"/>
          <w:szCs w:val="28"/>
        </w:rPr>
        <w:t>、因公出国</w:t>
      </w:r>
      <w:r>
        <w:rPr>
          <w:rFonts w:ascii="Times New Roman" w:hAnsi="Times New Roman" w:cs="Times New Roman"/>
          <w:kern w:val="2"/>
          <w:sz w:val="28"/>
          <w:szCs w:val="28"/>
        </w:rPr>
        <w:t>(</w:t>
      </w:r>
      <w:r>
        <w:rPr>
          <w:rFonts w:hint="eastAsia" w:ascii="宋体" w:hAnsi="宋体"/>
          <w:kern w:val="2"/>
          <w:sz w:val="28"/>
          <w:szCs w:val="28"/>
        </w:rPr>
        <w:t>境</w:t>
      </w:r>
      <w:r>
        <w:rPr>
          <w:rFonts w:ascii="Times New Roman" w:hAnsi="Times New Roman" w:cs="Times New Roman"/>
          <w:kern w:val="2"/>
          <w:sz w:val="28"/>
          <w:szCs w:val="28"/>
        </w:rPr>
        <w:t>)</w:t>
      </w:r>
      <w:r>
        <w:rPr>
          <w:rFonts w:hint="eastAsia" w:ascii="宋体" w:hAnsi="宋体"/>
          <w:kern w:val="2"/>
          <w:sz w:val="28"/>
          <w:szCs w:val="28"/>
        </w:rPr>
        <w:t>费</w:t>
      </w:r>
      <w:r>
        <w:rPr>
          <w:rFonts w:ascii="Times New Roman" w:hAnsi="Times New Roman" w:cs="Times New Roman"/>
          <w:kern w:val="2"/>
          <w:sz w:val="28"/>
          <w:szCs w:val="28"/>
        </w:rPr>
        <w:t>0</w:t>
      </w:r>
      <w:r>
        <w:rPr>
          <w:rFonts w:hint="eastAsia" w:ascii="宋体" w:hAnsi="宋体"/>
          <w:kern w:val="2"/>
          <w:sz w:val="28"/>
          <w:szCs w:val="28"/>
        </w:rPr>
        <w:t>元</w:t>
      </w:r>
    </w:p>
    <w:p>
      <w:pPr>
        <w:pStyle w:val="6"/>
        <w:widowControl/>
        <w:spacing w:before="0" w:beforeAutospacing="0" w:after="0" w:afterAutospacing="0" w:line="360" w:lineRule="auto"/>
        <w:ind w:firstLine="840" w:firstLineChars="300"/>
        <w:jc w:val="both"/>
        <w:rPr>
          <w:rFonts w:ascii="Times New Roman" w:hAnsi="Times New Roman" w:cs="Times New Roman"/>
          <w:kern w:val="2"/>
          <w:sz w:val="28"/>
          <w:szCs w:val="28"/>
        </w:rPr>
      </w:pPr>
      <w:r>
        <w:rPr>
          <w:rFonts w:ascii="Times New Roman" w:hAnsi="Times New Roman" w:cs="Times New Roman"/>
          <w:kern w:val="2"/>
          <w:sz w:val="28"/>
          <w:szCs w:val="28"/>
        </w:rPr>
        <w:t>2</w:t>
      </w:r>
      <w:r>
        <w:rPr>
          <w:rFonts w:hint="eastAsia" w:ascii="宋体" w:hAnsi="宋体"/>
          <w:kern w:val="2"/>
          <w:sz w:val="28"/>
          <w:szCs w:val="28"/>
        </w:rPr>
        <w:t>、公务接待费</w:t>
      </w:r>
      <w:r>
        <w:rPr>
          <w:rFonts w:hint="eastAsia" w:ascii="Times New Roman" w:hAnsi="Times New Roman" w:cs="Times New Roman"/>
          <w:kern w:val="2"/>
          <w:sz w:val="28"/>
          <w:szCs w:val="28"/>
          <w:lang w:val="en-US" w:eastAsia="zh-CN"/>
        </w:rPr>
        <w:t>0</w:t>
      </w:r>
      <w:r>
        <w:rPr>
          <w:rFonts w:hint="eastAsia" w:ascii="宋体" w:hAnsi="宋体"/>
          <w:kern w:val="2"/>
          <w:sz w:val="28"/>
          <w:szCs w:val="28"/>
        </w:rPr>
        <w:t>万元</w:t>
      </w:r>
    </w:p>
    <w:p>
      <w:pPr>
        <w:pStyle w:val="6"/>
        <w:widowControl/>
        <w:spacing w:before="0" w:beforeAutospacing="0" w:after="0" w:afterAutospacing="0" w:line="360" w:lineRule="auto"/>
        <w:ind w:firstLine="840" w:firstLineChars="300"/>
        <w:jc w:val="both"/>
        <w:rPr>
          <w:rFonts w:ascii="Times New Roman" w:hAnsi="Times New Roman" w:cs="Times New Roman"/>
          <w:kern w:val="2"/>
          <w:sz w:val="28"/>
          <w:szCs w:val="28"/>
        </w:rPr>
      </w:pPr>
      <w:r>
        <w:rPr>
          <w:rFonts w:ascii="Times New Roman" w:hAnsi="Times New Roman" w:cs="Times New Roman"/>
          <w:kern w:val="2"/>
          <w:sz w:val="28"/>
          <w:szCs w:val="28"/>
        </w:rPr>
        <w:t>3</w:t>
      </w:r>
      <w:r>
        <w:rPr>
          <w:rFonts w:hint="eastAsia" w:ascii="宋体" w:hAnsi="宋体"/>
          <w:kern w:val="2"/>
          <w:sz w:val="28"/>
          <w:szCs w:val="28"/>
        </w:rPr>
        <w:t>、公务用车费</w:t>
      </w:r>
      <w:r>
        <w:rPr>
          <w:rFonts w:hint="eastAsia" w:ascii="Times New Roman" w:hAnsi="Times New Roman" w:cs="Times New Roman"/>
          <w:kern w:val="2"/>
          <w:sz w:val="28"/>
          <w:szCs w:val="28"/>
        </w:rPr>
        <w:t>0</w:t>
      </w:r>
      <w:r>
        <w:rPr>
          <w:rFonts w:hint="eastAsia" w:ascii="宋体" w:hAnsi="宋体"/>
          <w:kern w:val="2"/>
          <w:sz w:val="28"/>
          <w:szCs w:val="28"/>
        </w:rPr>
        <w:t>万元（公务用车运行维护费</w:t>
      </w:r>
      <w:r>
        <w:rPr>
          <w:rFonts w:hint="eastAsia" w:ascii="Times New Roman" w:hAnsi="Times New Roman" w:cs="Times New Roman"/>
          <w:kern w:val="2"/>
          <w:sz w:val="28"/>
          <w:szCs w:val="28"/>
        </w:rPr>
        <w:t>0</w:t>
      </w:r>
      <w:r>
        <w:rPr>
          <w:rFonts w:hint="eastAsia" w:ascii="宋体" w:hAnsi="宋体"/>
          <w:kern w:val="2"/>
          <w:sz w:val="28"/>
          <w:szCs w:val="28"/>
        </w:rPr>
        <w:t>万元，公务用车购置费</w:t>
      </w:r>
      <w:r>
        <w:rPr>
          <w:rFonts w:ascii="Times New Roman" w:hAnsi="Times New Roman" w:cs="Times New Roman"/>
          <w:kern w:val="2"/>
          <w:sz w:val="28"/>
          <w:szCs w:val="28"/>
        </w:rPr>
        <w:t xml:space="preserve"> 0 </w:t>
      </w:r>
      <w:r>
        <w:rPr>
          <w:rFonts w:hint="eastAsia" w:ascii="宋体" w:hAnsi="宋体"/>
          <w:kern w:val="2"/>
          <w:sz w:val="28"/>
          <w:szCs w:val="28"/>
        </w:rPr>
        <w:t>元）。</w:t>
      </w:r>
    </w:p>
    <w:p>
      <w:pPr>
        <w:pStyle w:val="6"/>
        <w:widowControl/>
        <w:spacing w:before="0" w:beforeAutospacing="0" w:after="0" w:afterAutospacing="0" w:line="360" w:lineRule="auto"/>
        <w:ind w:firstLine="560" w:firstLineChars="200"/>
        <w:jc w:val="both"/>
        <w:rPr>
          <w:rFonts w:ascii="黑体" w:hAnsi="黑体" w:eastAsia="黑体"/>
          <w:sz w:val="28"/>
          <w:szCs w:val="28"/>
        </w:rPr>
      </w:pPr>
      <w:r>
        <w:rPr>
          <w:rFonts w:hint="eastAsia" w:ascii="黑体" w:hAnsi="黑体" w:eastAsia="黑体"/>
          <w:sz w:val="28"/>
          <w:szCs w:val="28"/>
        </w:rPr>
        <w:t>三、部门整体支出绩效情况</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ascii="黑体" w:hAnsi="黑体" w:eastAsia="黑体"/>
          <w:sz w:val="28"/>
          <w:szCs w:val="28"/>
        </w:rPr>
        <w:t xml:space="preserve">   </w:t>
      </w:r>
      <w:r>
        <w:rPr>
          <w:rFonts w:hint="eastAsia" w:ascii="宋体" w:hAnsi="宋体"/>
          <w:kern w:val="2"/>
          <w:sz w:val="28"/>
          <w:szCs w:val="28"/>
        </w:rPr>
        <w:t>财务管理制度建设情况：资金拨付严格按程序申报、审批，合理合规使用资金，确保财政资金安全。</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资产管理：及时按照要求报送资产情况报表，确保各项资产核算准确、帐实相符、管理到位。</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预决算公开：及时在县人民政府门户网站上进行了预决算公开。</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“三公经费”控制情况：能严格遵守各项规章制度，严控“三公”经费支出，并及时在县人民政府门户网站上对“三公”经费情况进行公示。</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认真履行职责，及时报送财政供养信息、存量资金等有关资料及报表。</w:t>
      </w:r>
    </w:p>
    <w:p>
      <w:pPr>
        <w:numPr>
          <w:ilvl w:val="0"/>
          <w:numId w:val="3"/>
        </w:numPr>
        <w:spacing w:line="360" w:lineRule="auto"/>
        <w:ind w:firstLine="560" w:firstLineChars="200"/>
        <w:rPr>
          <w:rFonts w:ascii="黑体" w:hAnsi="黑体" w:eastAsia="黑体"/>
          <w:sz w:val="28"/>
          <w:szCs w:val="28"/>
        </w:rPr>
      </w:pPr>
      <w:r>
        <w:rPr>
          <w:rFonts w:hint="eastAsia" w:ascii="黑体" w:hAnsi="黑体" w:eastAsia="黑体"/>
          <w:sz w:val="28"/>
          <w:szCs w:val="28"/>
        </w:rPr>
        <w:t>存在的问题</w:t>
      </w:r>
    </w:p>
    <w:p>
      <w:pPr>
        <w:pStyle w:val="2"/>
        <w:spacing w:line="360" w:lineRule="auto"/>
        <w:ind w:firstLine="0" w:firstLineChars="0"/>
        <w:rPr>
          <w:sz w:val="28"/>
          <w:szCs w:val="28"/>
        </w:rPr>
      </w:pP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1、预算编制工作有待细化。预算编制不够明确和细化，预算编制的合理性需要提高，预算执行力度还要进一步加强。</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2、公用经费的支出数大于预算数，预算不足。</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3、由于高级教师比例高，绩效工资严重不足。</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五、改进措施和有关建议</w:t>
      </w:r>
    </w:p>
    <w:p>
      <w:pPr>
        <w:pStyle w:val="2"/>
        <w:spacing w:line="360" w:lineRule="auto"/>
        <w:ind w:firstLine="560"/>
        <w:rPr>
          <w:sz w:val="28"/>
          <w:szCs w:val="28"/>
        </w:rPr>
      </w:pP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1、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2、加强财务管理，严格财务审核。加强单位财务管理，在费用报账支付时，按照预算规定的费用项目和用途进行资金使用审核、列报支付、财务核算，杜绝超支现象的发生。</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3、完善资产管理，抓好“三公”经费控制。把关“三公”经费支出的审核、审批，杜绝挪用和挤占其他预算资金行为；合理压缩“三公”经费支出。</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4、希望财政管理部门能落实好单位的人头经费及公用经费。</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5、加强对财务人员和财务主管领导的业务培训。</w:t>
      </w:r>
    </w:p>
    <w:p>
      <w:pPr>
        <w:pStyle w:val="6"/>
        <w:widowControl/>
        <w:spacing w:before="0" w:beforeAutospacing="0" w:after="0" w:afterAutospacing="0" w:line="360" w:lineRule="auto"/>
        <w:jc w:val="both"/>
        <w:rPr>
          <w:rFonts w:ascii="楷体" w:hAnsi="楷体" w:eastAsia="楷体" w:cs="楷体"/>
          <w:sz w:val="28"/>
          <w:szCs w:val="28"/>
          <w:shd w:val="clear" w:color="auto" w:fill="FFFFFF"/>
        </w:rPr>
      </w:pPr>
    </w:p>
    <w:p>
      <w:pPr>
        <w:pStyle w:val="6"/>
        <w:widowControl/>
        <w:spacing w:before="0" w:beforeAutospacing="0" w:after="0" w:afterAutospacing="0" w:line="360" w:lineRule="auto"/>
        <w:ind w:firstLine="5040" w:firstLineChars="1800"/>
        <w:jc w:val="both"/>
        <w:rPr>
          <w:rFonts w:hint="eastAsia" w:ascii="宋体" w:hAnsi="宋体" w:eastAsia="宋体"/>
          <w:kern w:val="2"/>
          <w:sz w:val="28"/>
          <w:szCs w:val="28"/>
          <w:lang w:eastAsia="zh-CN"/>
        </w:rPr>
      </w:pPr>
      <w:r>
        <w:rPr>
          <w:rFonts w:hint="eastAsia" w:ascii="宋体" w:hAnsi="宋体"/>
          <w:kern w:val="2"/>
          <w:sz w:val="28"/>
          <w:szCs w:val="28"/>
        </w:rPr>
        <w:t>隆回县</w:t>
      </w:r>
      <w:r>
        <w:rPr>
          <w:rFonts w:hint="eastAsia" w:ascii="宋体" w:hAnsi="宋体"/>
          <w:kern w:val="2"/>
          <w:sz w:val="28"/>
          <w:szCs w:val="28"/>
          <w:lang w:eastAsia="zh-CN"/>
        </w:rPr>
        <w:t>教师进修学校</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 xml:space="preserve">                              </w:t>
      </w:r>
      <w:r>
        <w:rPr>
          <w:rFonts w:hint="eastAsia" w:ascii="宋体" w:hAnsi="宋体"/>
          <w:kern w:val="2"/>
          <w:sz w:val="28"/>
          <w:szCs w:val="28"/>
          <w:lang w:eastAsia="zh-CN"/>
        </w:rPr>
        <w:t>　</w:t>
      </w:r>
      <w:r>
        <w:rPr>
          <w:rFonts w:hint="eastAsia" w:ascii="宋体" w:hAnsi="宋体"/>
          <w:kern w:val="2"/>
          <w:sz w:val="28"/>
          <w:szCs w:val="28"/>
        </w:rPr>
        <w:t>2022年4月21日</w:t>
      </w:r>
    </w:p>
    <w:p>
      <w:pPr>
        <w:spacing w:line="360" w:lineRule="auto"/>
        <w:rPr>
          <w:rFonts w:eastAsia="Times New Roman"/>
          <w:sz w:val="28"/>
          <w:szCs w:val="28"/>
        </w:rPr>
      </w:pPr>
    </w:p>
    <w:p>
      <w:pPr>
        <w:spacing w:line="360" w:lineRule="auto"/>
        <w:rPr>
          <w:rFonts w:ascii="黑体" w:hAnsi="宋体" w:eastAsia="黑体" w:cs="宋体"/>
          <w:kern w:val="0"/>
          <w:sz w:val="28"/>
          <w:szCs w:val="28"/>
        </w:rPr>
      </w:pPr>
    </w:p>
    <w:p>
      <w:pPr>
        <w:spacing w:line="360" w:lineRule="auto"/>
        <w:rPr>
          <w:rFonts w:ascii="黑体" w:hAnsi="宋体" w:eastAsia="黑体" w:cs="宋体"/>
          <w:kern w:val="0"/>
          <w:sz w:val="28"/>
          <w:szCs w:val="28"/>
        </w:rPr>
      </w:pPr>
      <w:bookmarkStart w:id="0" w:name="_GoBack"/>
      <w:bookmarkEnd w:id="0"/>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全新硬笔行书简">
    <w:panose1 w:val="0201060004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瘦金体W3(P)">
    <w:panose1 w:val="030003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叶根友签名体">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鼎中钢笔行楷">
    <w:panose1 w:val="020B060201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康少女文字W5">
    <w:panose1 w:val="040F0509000000000000"/>
    <w:charset w:val="86"/>
    <w:family w:val="auto"/>
    <w:pitch w:val="default"/>
    <w:sig w:usb0="00000001" w:usb1="08010000" w:usb2="00000012" w:usb3="00000000" w:csb0="00040000" w:csb1="00000000"/>
  </w:font>
  <w:font w:name="Cambria">
    <w:panose1 w:val="02040503050406030204"/>
    <w:charset w:val="00"/>
    <w:family w:val="auto"/>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rFonts w:cs="宋体"/>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3</w:t>
    </w:r>
    <w:r>
      <w:rPr>
        <w:rStyle w:val="9"/>
        <w:sz w:val="28"/>
        <w:szCs w:val="28"/>
      </w:rPr>
      <w:fldChar w:fldCharType="end"/>
    </w:r>
    <w:r>
      <w:rPr>
        <w:rStyle w:val="9"/>
        <w:rFonts w:cs="宋体"/>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24367"/>
    <w:multiLevelType w:val="singleLevel"/>
    <w:tmpl w:val="2D224367"/>
    <w:lvl w:ilvl="0" w:tentative="0">
      <w:start w:val="3"/>
      <w:numFmt w:val="chineseCounting"/>
      <w:suff w:val="nothing"/>
      <w:lvlText w:val="（%1）"/>
      <w:lvlJc w:val="left"/>
      <w:rPr>
        <w:rFonts w:hint="eastAsia" w:cs="Times New Roman"/>
      </w:rPr>
    </w:lvl>
  </w:abstractNum>
  <w:abstractNum w:abstractNumId="1">
    <w:nsid w:val="4CCB32E1"/>
    <w:multiLevelType w:val="singleLevel"/>
    <w:tmpl w:val="4CCB32E1"/>
    <w:lvl w:ilvl="0" w:tentative="0">
      <w:start w:val="1"/>
      <w:numFmt w:val="decimal"/>
      <w:suff w:val="nothing"/>
      <w:lvlText w:val="%1、"/>
      <w:lvlJc w:val="left"/>
      <w:rPr>
        <w:rFonts w:cs="Times New Roman"/>
      </w:rPr>
    </w:lvl>
  </w:abstractNum>
  <w:abstractNum w:abstractNumId="2">
    <w:nsid w:val="667AA23B"/>
    <w:multiLevelType w:val="singleLevel"/>
    <w:tmpl w:val="667AA23B"/>
    <w:lvl w:ilvl="0" w:tentative="0">
      <w:start w:val="4"/>
      <w:numFmt w:val="chineseCounting"/>
      <w:suff w:val="nothing"/>
      <w:lvlText w:val="%1、"/>
      <w:lvlJc w:val="left"/>
      <w:rPr>
        <w:rFonts w:hint="eastAsia"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7B711489"/>
    <w:rsid w:val="000701CB"/>
    <w:rsid w:val="00077594"/>
    <w:rsid w:val="000912A3"/>
    <w:rsid w:val="000B10DA"/>
    <w:rsid w:val="0012193B"/>
    <w:rsid w:val="0015635C"/>
    <w:rsid w:val="00215266"/>
    <w:rsid w:val="00262A5C"/>
    <w:rsid w:val="002C056F"/>
    <w:rsid w:val="00321D06"/>
    <w:rsid w:val="00384B29"/>
    <w:rsid w:val="00427446"/>
    <w:rsid w:val="00442555"/>
    <w:rsid w:val="004C0F39"/>
    <w:rsid w:val="005A4B18"/>
    <w:rsid w:val="006260FD"/>
    <w:rsid w:val="006628C0"/>
    <w:rsid w:val="00692C03"/>
    <w:rsid w:val="006F4D33"/>
    <w:rsid w:val="007448E1"/>
    <w:rsid w:val="007A7C25"/>
    <w:rsid w:val="007C5BAC"/>
    <w:rsid w:val="00817A16"/>
    <w:rsid w:val="008527AC"/>
    <w:rsid w:val="00855918"/>
    <w:rsid w:val="008907AE"/>
    <w:rsid w:val="008A5F51"/>
    <w:rsid w:val="008A77FE"/>
    <w:rsid w:val="00936396"/>
    <w:rsid w:val="00965C1D"/>
    <w:rsid w:val="00977221"/>
    <w:rsid w:val="00986A6B"/>
    <w:rsid w:val="009E1C4A"/>
    <w:rsid w:val="00C66565"/>
    <w:rsid w:val="00CD42CE"/>
    <w:rsid w:val="00DE24B8"/>
    <w:rsid w:val="00DE4896"/>
    <w:rsid w:val="00E3765E"/>
    <w:rsid w:val="00EE0892"/>
    <w:rsid w:val="00F46C81"/>
    <w:rsid w:val="00FA316B"/>
    <w:rsid w:val="00FC5789"/>
    <w:rsid w:val="2EC46AF1"/>
    <w:rsid w:val="3A5F5447"/>
    <w:rsid w:val="3DBD1AC1"/>
    <w:rsid w:val="3FAF642F"/>
    <w:rsid w:val="46A60573"/>
    <w:rsid w:val="52D63DBD"/>
    <w:rsid w:val="56851C86"/>
    <w:rsid w:val="7B7114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uiPriority w:val="99"/>
    <w:pPr>
      <w:ind w:firstLine="420"/>
    </w:pPr>
  </w:style>
  <w:style w:type="paragraph" w:styleId="3">
    <w:name w:val="Body Text Indent"/>
    <w:basedOn w:val="1"/>
    <w:link w:val="10"/>
    <w:uiPriority w:val="99"/>
    <w:pPr>
      <w:ind w:firstLine="640" w:firstLineChars="200"/>
    </w:pPr>
    <w:rPr>
      <w:sz w:val="32"/>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rFonts w:ascii="Calibri" w:hAnsi="Calibri" w:cs="宋体"/>
      <w:kern w:val="0"/>
      <w:sz w:val="24"/>
    </w:rPr>
  </w:style>
  <w:style w:type="character" w:styleId="9">
    <w:name w:val="page number"/>
    <w:basedOn w:val="8"/>
    <w:uiPriority w:val="99"/>
    <w:rPr>
      <w:rFonts w:cs="Times New Roman"/>
    </w:rPr>
  </w:style>
  <w:style w:type="character" w:customStyle="1" w:styleId="10">
    <w:name w:val="正文文本缩进 Char"/>
    <w:basedOn w:val="8"/>
    <w:link w:val="3"/>
    <w:semiHidden/>
    <w:locked/>
    <w:uiPriority w:val="99"/>
    <w:rPr>
      <w:rFonts w:cs="Times New Roman"/>
      <w:sz w:val="24"/>
      <w:szCs w:val="24"/>
    </w:rPr>
  </w:style>
  <w:style w:type="character" w:customStyle="1" w:styleId="11">
    <w:name w:val="正文首行缩进 2 Char"/>
    <w:basedOn w:val="10"/>
    <w:link w:val="2"/>
    <w:semiHidden/>
    <w:locked/>
    <w:uiPriority w:val="99"/>
  </w:style>
  <w:style w:type="character" w:customStyle="1" w:styleId="12">
    <w:name w:val="页脚 Char"/>
    <w:basedOn w:val="8"/>
    <w:link w:val="4"/>
    <w:semiHidden/>
    <w:locked/>
    <w:uiPriority w:val="99"/>
    <w:rPr>
      <w:rFonts w:cs="Times New Roman"/>
      <w:sz w:val="18"/>
      <w:szCs w:val="18"/>
    </w:rPr>
  </w:style>
  <w:style w:type="character" w:customStyle="1" w:styleId="13">
    <w:name w:val="页眉 Char"/>
    <w:basedOn w:val="8"/>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2166</Words>
  <Characters>2266</Characters>
  <Lines>18</Lines>
  <Paragraphs>5</Paragraphs>
  <TotalTime>10</TotalTime>
  <ScaleCrop>false</ScaleCrop>
  <LinksUpToDate>false</LinksUpToDate>
  <CharactersWithSpaces>2418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2022-04-22T00:46:00Z</dcterms:created>
  <dc:creator>曦微。</dc:creator>
  <cp:lastModifiedBy>Administrator</cp:lastModifiedBy>
  <dcterms:modified xsi:type="dcterms:W3CDTF">2022-04-22T02:03:20Z</dcterms:modified>
  <dc:title>附件3</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24B3F085F6D24B09B851298C07F6B5F9</vt:lpwstr>
  </property>
  <property fmtid="{D5CDD505-2E9C-101B-9397-08002B2CF9AE}" pid="4" name="commondata">
    <vt:lpwstr>eyJoZGlkIjoiNDljMDMzZTNhYjNiMmFkOGQ4NWUwMDQwZWU3ZWY2YWIifQ==</vt:lpwstr>
  </property>
</Properties>
</file>