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val="0"/>
        <w:snapToGrid w:val="0"/>
        <w:spacing w:before="0" w:after="0" w:line="580" w:lineRule="exact"/>
        <w:jc w:val="center"/>
        <w:textAlignment w:val="auto"/>
        <w:rPr>
          <w:rFonts w:hint="eastAsia" w:ascii="方正小标宋简体" w:hAnsi="Times New Roman" w:eastAsia="方正小标宋简体"/>
          <w:b w:val="0"/>
          <w:sz w:val="36"/>
          <w:szCs w:val="36"/>
        </w:rPr>
      </w:pPr>
      <w:r>
        <w:rPr>
          <w:rFonts w:hint="eastAsia" w:ascii="方正小标宋简体" w:hAnsi="Times New Roman" w:eastAsia="方正小标宋简体"/>
          <w:b w:val="0"/>
          <w:sz w:val="36"/>
          <w:szCs w:val="36"/>
          <w:lang w:eastAsia="zh-CN"/>
        </w:rPr>
        <w:t>隆回县纪委监委</w:t>
      </w:r>
      <w:r>
        <w:rPr>
          <w:rFonts w:hint="eastAsia" w:ascii="方正小标宋简体" w:hAnsi="Times New Roman" w:eastAsia="方正小标宋简体"/>
          <w:b w:val="0"/>
          <w:sz w:val="36"/>
          <w:szCs w:val="36"/>
          <w:lang w:val="en-US" w:eastAsia="zh-CN"/>
        </w:rPr>
        <w:t>2020年</w:t>
      </w:r>
      <w:r>
        <w:rPr>
          <w:rFonts w:hint="eastAsia" w:ascii="方正小标宋简体" w:hAnsi="Times New Roman" w:eastAsia="方正小标宋简体"/>
          <w:b w:val="0"/>
          <w:sz w:val="36"/>
          <w:szCs w:val="36"/>
        </w:rPr>
        <w:t>专项资金绩效自评报告</w:t>
      </w:r>
    </w:p>
    <w:p>
      <w:pPr>
        <w:pageBreakBefore w:val="0"/>
        <w:widowControl w:val="0"/>
        <w:kinsoku/>
        <w:wordWrap/>
        <w:overflowPunct/>
        <w:topLinePunct w:val="0"/>
        <w:autoSpaceDE/>
        <w:autoSpaceDN/>
        <w:bidi w:val="0"/>
        <w:spacing w:line="580" w:lineRule="exact"/>
        <w:textAlignment w:val="auto"/>
      </w:pPr>
    </w:p>
    <w:p>
      <w:pPr>
        <w:pStyle w:val="2"/>
      </w:pP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eastAsia="黑体"/>
          <w:sz w:val="32"/>
          <w:szCs w:val="32"/>
        </w:rPr>
      </w:pPr>
      <w:r>
        <w:rPr>
          <w:rFonts w:hint="eastAsia" w:ascii="黑体" w:eastAsia="黑体"/>
          <w:sz w:val="32"/>
          <w:szCs w:val="32"/>
        </w:rPr>
        <w:t>一、项目概况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800" w:firstLineChars="250"/>
        <w:jc w:val="both"/>
        <w:textAlignment w:val="auto"/>
        <w:outlineLvl w:val="9"/>
        <w:rPr>
          <w:rFonts w:hint="eastAsia" w:eastAsia="仿宋_GB2312"/>
          <w:sz w:val="32"/>
          <w:szCs w:val="32"/>
        </w:rPr>
      </w:pPr>
      <w:r>
        <w:rPr>
          <w:rFonts w:hint="eastAsia" w:eastAsia="仿宋_GB2312"/>
          <w:sz w:val="32"/>
          <w:szCs w:val="32"/>
        </w:rPr>
        <w:t>（一）</w:t>
      </w:r>
      <w:r>
        <w:rPr>
          <w:rFonts w:hint="eastAsia" w:eastAsia="仿宋_GB2312"/>
          <w:sz w:val="32"/>
          <w:szCs w:val="32"/>
          <w:lang w:eastAsia="zh-CN"/>
        </w:rPr>
        <w:t>县财政安排</w:t>
      </w:r>
      <w:r>
        <w:rPr>
          <w:rFonts w:hint="eastAsia" w:eastAsia="仿宋_GB2312"/>
          <w:sz w:val="32"/>
          <w:szCs w:val="32"/>
          <w:lang w:val="en-US" w:eastAsia="zh-CN"/>
        </w:rPr>
        <w:t>800万元给县纪委监委作为日常办案工作经费，特别是用于大案要案、巡察开支等。</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800" w:firstLineChars="250"/>
        <w:jc w:val="both"/>
        <w:textAlignment w:val="auto"/>
        <w:outlineLvl w:val="9"/>
        <w:rPr>
          <w:rFonts w:eastAsia="仿宋_GB2312"/>
          <w:sz w:val="32"/>
          <w:szCs w:val="32"/>
        </w:rPr>
      </w:pPr>
      <w:r>
        <w:rPr>
          <w:rFonts w:hint="eastAsia" w:eastAsia="仿宋_GB2312"/>
          <w:sz w:val="32"/>
          <w:szCs w:val="32"/>
        </w:rPr>
        <w:t>（二）切实加强党风廉政建设和反腐败工作，推动全面从严治党取得显著成效</w:t>
      </w:r>
      <w:r>
        <w:rPr>
          <w:rFonts w:hint="eastAsia" w:eastAsia="仿宋_GB2312"/>
          <w:sz w:val="32"/>
          <w:szCs w:val="32"/>
          <w:lang w:eastAsia="zh-CN"/>
        </w:rPr>
        <w:t>，</w:t>
      </w:r>
      <w:r>
        <w:rPr>
          <w:rFonts w:hint="eastAsia" w:eastAsia="仿宋_GB2312"/>
          <w:sz w:val="32"/>
          <w:szCs w:val="32"/>
        </w:rPr>
        <w:t>巩固发展反腐败压倒性胜利，</w:t>
      </w:r>
      <w:r>
        <w:rPr>
          <w:rFonts w:hint="eastAsia" w:eastAsia="仿宋_GB2312"/>
          <w:sz w:val="32"/>
          <w:szCs w:val="32"/>
          <w:lang w:eastAsia="zh-CN"/>
        </w:rPr>
        <w:t>持续扭转</w:t>
      </w:r>
      <w:r>
        <w:rPr>
          <w:rFonts w:hint="eastAsia" w:eastAsia="仿宋_GB2312"/>
          <w:sz w:val="32"/>
          <w:szCs w:val="32"/>
        </w:rPr>
        <w:t>政治生态。</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eastAsia="黑体"/>
          <w:sz w:val="32"/>
          <w:szCs w:val="32"/>
        </w:rPr>
      </w:pPr>
      <w:r>
        <w:rPr>
          <w:rFonts w:hint="eastAsia" w:ascii="黑体" w:eastAsia="黑体"/>
          <w:sz w:val="32"/>
          <w:szCs w:val="32"/>
        </w:rPr>
        <w:t>二、项目资金使用及管理情况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eastAsia="仿宋_GB2312"/>
          <w:sz w:val="32"/>
          <w:szCs w:val="32"/>
        </w:rPr>
      </w:pPr>
      <w:r>
        <w:rPr>
          <w:rFonts w:hint="eastAsia" w:eastAsia="仿宋_GB2312"/>
          <w:sz w:val="32"/>
          <w:szCs w:val="32"/>
        </w:rPr>
        <w:t>（一）</w:t>
      </w:r>
      <w:r>
        <w:rPr>
          <w:rFonts w:hint="eastAsia" w:eastAsia="仿宋_GB2312"/>
          <w:sz w:val="32"/>
          <w:szCs w:val="32"/>
          <w:lang w:eastAsia="zh-CN"/>
        </w:rPr>
        <w:t>财政安排的</w:t>
      </w:r>
      <w:r>
        <w:rPr>
          <w:rFonts w:hint="eastAsia" w:eastAsia="仿宋_GB2312"/>
          <w:sz w:val="32"/>
          <w:szCs w:val="32"/>
          <w:lang w:val="en-US" w:eastAsia="zh-CN"/>
        </w:rPr>
        <w:t>800万元资金足额到位，县纪委监委主要用于机关专案组的大案要案开支、县委巡察办的常规巡察与专项巡察等项目。</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color w:val="auto"/>
          <w:kern w:val="2"/>
          <w:sz w:val="32"/>
          <w:szCs w:val="32"/>
          <w:lang w:val="en-US" w:eastAsia="zh-CN" w:bidi="ar-SA"/>
        </w:rPr>
      </w:pPr>
      <w:r>
        <w:rPr>
          <w:rFonts w:hint="eastAsia" w:eastAsia="仿宋_GB2312"/>
          <w:sz w:val="32"/>
          <w:szCs w:val="32"/>
        </w:rPr>
        <w:t>（二）</w:t>
      </w:r>
      <w:r>
        <w:rPr>
          <w:rFonts w:hint="eastAsia" w:eastAsia="仿宋_GB2312"/>
          <w:sz w:val="32"/>
          <w:szCs w:val="32"/>
          <w:lang w:val="en-US" w:eastAsia="zh-CN"/>
        </w:rPr>
        <w:t>2020年，县纪委监委800万元主要用于</w:t>
      </w:r>
      <w:r>
        <w:rPr>
          <w:rFonts w:hint="eastAsia" w:ascii="方正仿宋_GBK" w:hAnsi="方正仿宋_GBK" w:eastAsia="方正仿宋_GBK" w:cs="方正仿宋_GBK"/>
          <w:b w:val="0"/>
          <w:bCs/>
          <w:color w:val="auto"/>
          <w:kern w:val="2"/>
          <w:sz w:val="32"/>
          <w:szCs w:val="32"/>
          <w:lang w:val="en-US" w:eastAsia="zh-CN" w:bidi="ar-SA"/>
        </w:rPr>
        <w:t>突出以违反政治纪律政治规矩、“一把手”违纪违法、基层“微腐败”、涉黑涉恶腐败和“保护伞”等方面为重点的审查调查。2020年全县共处置问题线索768件，立案323件，查处科级干部28人，查处“一把手”违纪10人，对2名正科级干部和1名村支部书记采取留置措施，移送检察机关审查起诉6人。严肃查办了县土地房屋征收服务中心原主任李勇、富隆村原党支部书记郭长明等人充当恶势力“保护伞”案件。深入推进工程建设项目招投标突出问题专项整治，从严查处了县城投公司副主任罗晓祥与刘某飞在县城北新区主要道路自来水管材采购项目中围标串标、郭长明伙同钱某等人在桃花廉租房等多个项目中串标等问题。</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lang w:val="en-US" w:eastAsia="zh-CN"/>
        </w:rPr>
      </w:pPr>
      <w:r>
        <w:rPr>
          <w:rFonts w:hint="eastAsia" w:ascii="仿宋" w:hAnsi="仿宋" w:eastAsia="仿宋" w:cs="仿宋"/>
          <w:lang w:val="en-US" w:eastAsia="zh-CN"/>
        </w:rPr>
        <w:t>认真贯彻中央、省委、市委关于巡察工作的部署要求，紧密结合县委巡察工作规划和2020年巡察工作要点，4月份组建6个巡察组（其中1个巡察组参加市委组织交叉巡察），对12个县管党组织开展第九轮常规巡察,发现问题线索22件40人。9月份组织对15个县管党组织开展第十轮巡察，年内完成巡察全覆盖。在去年对全县572个村居开展村级扶贫专项巡查基础上，县委将村级巡察作为拓展巡察工作的重要举措统一部署，由乡镇党委成立巡察工作领导小组、组建巡察队伍，按照先重点村、后一般村的原则推进村级巡察全覆盖，打通巡察监督“最后一公里”。同时抓好巡察整改。</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eastAsia="仿宋_GB2312"/>
          <w:sz w:val="32"/>
          <w:szCs w:val="32"/>
        </w:rPr>
      </w:pPr>
      <w:r>
        <w:rPr>
          <w:rFonts w:hint="eastAsia" w:eastAsia="仿宋_GB2312"/>
          <w:sz w:val="32"/>
          <w:szCs w:val="32"/>
        </w:rPr>
        <w:t>（三）</w:t>
      </w:r>
      <w:r>
        <w:rPr>
          <w:rFonts w:hint="eastAsia" w:eastAsia="仿宋_GB2312"/>
          <w:sz w:val="32"/>
          <w:szCs w:val="32"/>
          <w:lang w:eastAsia="zh-CN"/>
        </w:rPr>
        <w:t>项目资金管理严格按照相关规定执行，单位专门制定大案要案支出管理制度，实行专案组组长负责制，规范专案支出管理。对日常巡察开支由巡察办负总责，对驻点期间和撤点后发生的支出全程把关，有明确管理制度。</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eastAsia="黑体"/>
          <w:sz w:val="32"/>
          <w:szCs w:val="32"/>
        </w:rPr>
      </w:pPr>
      <w:r>
        <w:rPr>
          <w:rFonts w:hint="eastAsia" w:ascii="黑体" w:eastAsia="黑体"/>
          <w:sz w:val="32"/>
          <w:szCs w:val="32"/>
        </w:rPr>
        <w:t>三、项目组织实施情况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eastAsia="仿宋_GB2312"/>
          <w:sz w:val="32"/>
          <w:szCs w:val="32"/>
        </w:rPr>
      </w:pPr>
      <w:r>
        <w:rPr>
          <w:rFonts w:hint="eastAsia" w:eastAsia="仿宋_GB2312"/>
          <w:sz w:val="32"/>
          <w:szCs w:val="32"/>
        </w:rPr>
        <w:t>（一）</w:t>
      </w:r>
      <w:r>
        <w:rPr>
          <w:rFonts w:hint="eastAsia" w:eastAsia="仿宋_GB2312"/>
          <w:sz w:val="32"/>
          <w:szCs w:val="32"/>
          <w:lang w:eastAsia="zh-CN"/>
        </w:rPr>
        <w:t>县纪委监委的</w:t>
      </w:r>
      <w:r>
        <w:rPr>
          <w:rFonts w:hint="eastAsia" w:eastAsia="仿宋_GB2312"/>
          <w:sz w:val="32"/>
          <w:szCs w:val="32"/>
          <w:lang w:val="en-US" w:eastAsia="zh-CN"/>
        </w:rPr>
        <w:t>800万元专项资金项目属于货物与服务类项目，实行实报实销制，主要是一些差旅费、办公费、租车费等，一般情况下不涉及招投标。</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仿宋_GB2312"/>
          <w:sz w:val="32"/>
          <w:szCs w:val="32"/>
          <w:lang w:eastAsia="zh-CN"/>
        </w:rPr>
      </w:pPr>
      <w:r>
        <w:rPr>
          <w:rFonts w:hint="eastAsia" w:eastAsia="仿宋_GB2312"/>
          <w:sz w:val="32"/>
          <w:szCs w:val="32"/>
        </w:rPr>
        <w:t>（二）</w:t>
      </w:r>
      <w:r>
        <w:rPr>
          <w:rFonts w:hint="eastAsia" w:eastAsia="仿宋_GB2312"/>
          <w:sz w:val="32"/>
          <w:szCs w:val="32"/>
          <w:lang w:eastAsia="zh-CN"/>
        </w:rPr>
        <w:t>县纪委监委对专案、巡察等支出实行组长负责制，主要领导把关签审，事前请示，严格按规章制度执行。</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eastAsia="黑体"/>
          <w:sz w:val="32"/>
          <w:szCs w:val="32"/>
        </w:rPr>
      </w:pPr>
      <w:r>
        <w:rPr>
          <w:rFonts w:hint="eastAsia" w:ascii="黑体" w:eastAsia="黑体"/>
          <w:sz w:val="32"/>
          <w:szCs w:val="32"/>
        </w:rPr>
        <w:t>四、项目绩效情况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持续保持反腐败高压态势，严肃查处一批违法违纪案件，净化政治生态环境，转变干部工作作风，切实提高群众获得感。</w:t>
      </w:r>
      <w:r>
        <w:rPr>
          <w:rFonts w:hint="eastAsia" w:ascii="仿宋" w:hAnsi="仿宋" w:eastAsia="仿宋" w:cs="仿宋"/>
          <w:sz w:val="32"/>
          <w:szCs w:val="32"/>
          <w:lang w:val="en-US" w:eastAsia="zh-CN"/>
        </w:rPr>
        <w:t xml:space="preserve">  </w:t>
      </w:r>
    </w:p>
    <w:p>
      <w:pPr>
        <w:pageBreakBefore w:val="0"/>
        <w:widowControl w:val="0"/>
        <w:numPr>
          <w:ilvl w:val="0"/>
          <w:numId w:val="1"/>
        </w:numPr>
        <w:kinsoku/>
        <w:wordWrap/>
        <w:overflowPunct/>
        <w:topLinePunct w:val="0"/>
        <w:autoSpaceDE/>
        <w:autoSpaceDN/>
        <w:bidi w:val="0"/>
        <w:spacing w:line="580" w:lineRule="exact"/>
        <w:ind w:firstLine="640" w:firstLineChars="200"/>
        <w:textAlignment w:val="auto"/>
        <w:rPr>
          <w:rFonts w:hint="eastAsia" w:eastAsia="黑体"/>
          <w:sz w:val="32"/>
          <w:szCs w:val="32"/>
        </w:rPr>
      </w:pPr>
      <w:r>
        <w:rPr>
          <w:rFonts w:hint="eastAsia" w:eastAsia="黑体"/>
          <w:sz w:val="32"/>
          <w:szCs w:val="32"/>
        </w:rPr>
        <w:t>存在的问题</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lang w:val="en-US" w:eastAsia="zh-CN"/>
        </w:rPr>
      </w:pPr>
      <w:r>
        <w:rPr>
          <w:rFonts w:hint="eastAsia" w:ascii="仿宋" w:hAnsi="仿宋" w:eastAsia="仿宋" w:cs="仿宋"/>
          <w:lang w:val="en-US" w:eastAsia="zh-CN"/>
        </w:rPr>
        <w:t>资金管理水平有待进一步提高。</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lang w:val="en-US" w:eastAsia="zh-CN"/>
        </w:rPr>
      </w:pPr>
      <w:r>
        <w:rPr>
          <w:rFonts w:hint="eastAsia" w:ascii="仿宋" w:hAnsi="仿宋" w:eastAsia="仿宋" w:cs="仿宋"/>
          <w:lang w:val="en-US" w:eastAsia="zh-CN"/>
        </w:rPr>
        <w:t>项目</w:t>
      </w:r>
      <w:r>
        <w:rPr>
          <w:rFonts w:hint="eastAsia" w:ascii="仿宋" w:hAnsi="仿宋" w:eastAsia="仿宋" w:cs="仿宋"/>
          <w:sz w:val="32"/>
          <w:szCs w:val="32"/>
        </w:rPr>
        <w:t>在经济效益和社会效益实现上还有待提升。</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pPr>
      <w:r>
        <w:rPr>
          <w:rFonts w:hint="eastAsia" w:ascii="仿宋" w:hAnsi="仿宋" w:eastAsia="仿宋" w:cs="仿宋"/>
          <w:sz w:val="32"/>
          <w:szCs w:val="32"/>
        </w:rPr>
        <w:t>资金安排和使用上有不可预见性，在科学设置预算绩效指标上还需进一步加强，使之更贴合纪检监察工作的实际。</w:t>
      </w:r>
    </w:p>
    <w:p>
      <w:pPr>
        <w:pageBreakBefore w:val="0"/>
        <w:widowControl w:val="0"/>
        <w:numPr>
          <w:ilvl w:val="0"/>
          <w:numId w:val="1"/>
        </w:numPr>
        <w:kinsoku/>
        <w:wordWrap/>
        <w:overflowPunct/>
        <w:topLinePunct w:val="0"/>
        <w:autoSpaceDE/>
        <w:autoSpaceDN/>
        <w:bidi w:val="0"/>
        <w:spacing w:line="580" w:lineRule="exact"/>
        <w:ind w:left="0" w:leftChars="0" w:firstLine="640" w:firstLineChars="200"/>
        <w:textAlignment w:val="auto"/>
        <w:rPr>
          <w:rFonts w:hint="eastAsia" w:eastAsia="黑体"/>
          <w:sz w:val="32"/>
          <w:szCs w:val="32"/>
        </w:rPr>
      </w:pPr>
      <w:r>
        <w:rPr>
          <w:rFonts w:hint="eastAsia" w:eastAsia="黑体"/>
          <w:sz w:val="32"/>
          <w:szCs w:val="32"/>
        </w:rPr>
        <w:t>有关建议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县财政继续加大对执纪监督、审查的支持力度，增加大案要案的办案经费、充分保障巡察工作经费等。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rPr>
      </w:pPr>
      <w:r>
        <w:rPr>
          <w:rFonts w:hint="eastAsia" w:ascii="仿宋" w:hAnsi="仿宋" w:eastAsia="仿宋" w:cs="仿宋"/>
        </w:rPr>
        <w:t>2.经费预算足额编制。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pPr>
      <w:r>
        <w:rPr>
          <w:rFonts w:hint="eastAsia" w:ascii="仿宋" w:hAnsi="仿宋" w:eastAsia="仿宋" w:cs="仿宋"/>
        </w:rPr>
        <w:t>3.建议加强新《预算法》、《政府会计制度》等的学习培训。</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eastAsia="黑体"/>
          <w:sz w:val="32"/>
          <w:szCs w:val="32"/>
        </w:rPr>
      </w:pPr>
      <w:r>
        <w:rPr>
          <w:rFonts w:hint="eastAsia" w:ascii="黑体" w:eastAsia="黑体"/>
          <w:sz w:val="32"/>
          <w:szCs w:val="32"/>
        </w:rPr>
        <w:t>七、其他需要说明的问题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简体" w:hAnsi="宋体" w:eastAsia="方正仿宋简体" w:cs="宋体"/>
          <w:kern w:val="0"/>
          <w:sz w:val="32"/>
          <w:szCs w:val="32"/>
        </w:rPr>
      </w:pPr>
      <w:r>
        <w:rPr>
          <w:rFonts w:hint="eastAsia" w:eastAsia="仿宋_GB2312"/>
          <w:sz w:val="32"/>
          <w:szCs w:val="32"/>
          <w:lang w:eastAsia="zh-CN"/>
        </w:rPr>
        <w:t>无。</w:t>
      </w:r>
      <w:r>
        <w:rPr>
          <w:rFonts w:eastAsia="仿宋_GB2312"/>
          <w:sz w:val="32"/>
          <w:szCs w:val="32"/>
        </w:rPr>
        <w:br w:type="page"/>
      </w:r>
      <w:r>
        <w:rPr>
          <w:rFonts w:hint="eastAsia" w:ascii="方正仿宋简体" w:hAnsi="宋体" w:eastAsia="方正仿宋简体" w:cs="宋体"/>
          <w:kern w:val="0"/>
          <w:sz w:val="32"/>
          <w:szCs w:val="32"/>
        </w:rPr>
        <w:t>附件</w:t>
      </w:r>
      <w:r>
        <w:rPr>
          <w:rFonts w:ascii="方正仿宋简体" w:hAnsi="宋体" w:eastAsia="方正仿宋简体" w:cs="宋体"/>
          <w:kern w:val="0"/>
          <w:sz w:val="32"/>
          <w:szCs w:val="32"/>
        </w:rPr>
        <w:t>3</w:t>
      </w: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7"/>
        <w:tblW w:w="9071"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
        <w:gridCol w:w="533"/>
        <w:gridCol w:w="1168"/>
        <w:gridCol w:w="2372"/>
        <w:gridCol w:w="605"/>
        <w:gridCol w:w="567"/>
        <w:gridCol w:w="992"/>
        <w:gridCol w:w="81"/>
        <w:gridCol w:w="1170"/>
        <w:gridCol w:w="540"/>
        <w:gridCol w:w="972"/>
        <w:gridCol w:w="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071" w:type="dxa"/>
            <w:gridSpan w:val="12"/>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ascii="黑体" w:hAnsi="黑体" w:eastAsia="黑体" w:cs="黑体"/>
                <w:sz w:val="24"/>
              </w:rPr>
              <w:t>20</w:t>
            </w:r>
            <w:r>
              <w:rPr>
                <w:rFonts w:hint="eastAsia" w:ascii="黑体" w:hAnsi="黑体" w:eastAsia="黑体" w:cs="黑体"/>
                <w:sz w:val="24"/>
                <w:lang w:val="en-US" w:eastAsia="zh-CN"/>
              </w:rPr>
              <w:t>20</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791" w:hRule="exact"/>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8"/>
            <w:noWrap w:val="0"/>
            <w:vAlign w:val="top"/>
          </w:tcPr>
          <w:p>
            <w:pPr>
              <w:spacing w:line="540" w:lineRule="exact"/>
              <w:jc w:val="left"/>
              <w:rPr>
                <w:rFonts w:hint="eastAsia" w:ascii="楷体" w:hAnsi="楷体" w:eastAsia="楷体" w:cs="楷体"/>
                <w:szCs w:val="21"/>
                <w:lang w:eastAsia="zh-CN"/>
              </w:rPr>
            </w:pPr>
            <w:r>
              <w:rPr>
                <w:rFonts w:hint="eastAsia" w:ascii="楷体" w:hAnsi="楷体" w:eastAsia="楷体" w:cs="楷体"/>
                <w:szCs w:val="21"/>
                <w:lang w:eastAsia="zh-CN"/>
              </w:rPr>
              <w:t>隆回县纪委监委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466"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center"/>
          </w:tcPr>
          <w:p>
            <w:pPr>
              <w:spacing w:line="540" w:lineRule="exact"/>
              <w:jc w:val="both"/>
              <w:rPr>
                <w:rFonts w:hint="default" w:ascii="楷体" w:hAnsi="楷体" w:eastAsia="楷体" w:cs="楷体"/>
                <w:szCs w:val="21"/>
                <w:lang w:val="en-US" w:eastAsia="zh-CN"/>
              </w:rPr>
            </w:pPr>
            <w:r>
              <w:rPr>
                <w:rFonts w:hint="eastAsia" w:ascii="楷体" w:hAnsi="楷体" w:eastAsia="楷体" w:cs="楷体"/>
                <w:szCs w:val="21"/>
                <w:lang w:val="en-US" w:eastAsia="zh-CN"/>
              </w:rPr>
              <w:t>156</w:t>
            </w:r>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4"/>
            <w:noWrap w:val="0"/>
            <w:vAlign w:val="center"/>
          </w:tcPr>
          <w:p>
            <w:pPr>
              <w:spacing w:line="540" w:lineRule="exact"/>
              <w:ind w:firstLine="105" w:firstLineChars="50"/>
              <w:jc w:val="center"/>
              <w:rPr>
                <w:rFonts w:hint="default" w:ascii="楷体" w:hAnsi="楷体" w:eastAsia="楷体" w:cs="楷体"/>
                <w:szCs w:val="21"/>
                <w:lang w:val="en-US" w:eastAsia="zh-CN"/>
              </w:rPr>
            </w:pPr>
            <w:r>
              <w:rPr>
                <w:rFonts w:hint="eastAsia" w:ascii="楷体" w:hAnsi="楷体" w:eastAsia="楷体" w:cs="楷体"/>
                <w:szCs w:val="21"/>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862"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8"/>
            <w:noWrap w:val="0"/>
            <w:vAlign w:val="top"/>
          </w:tcPr>
          <w:p>
            <w:pPr>
              <w:spacing w:line="340" w:lineRule="exact"/>
              <w:jc w:val="left"/>
              <w:rPr>
                <w:rFonts w:ascii="楷体" w:hAnsi="楷体" w:eastAsia="楷体" w:cs="楷体"/>
                <w:szCs w:val="21"/>
              </w:rPr>
            </w:pPr>
            <w:r>
              <w:rPr>
                <w:rFonts w:hint="eastAsia" w:ascii="楷体" w:hAnsi="楷体" w:eastAsia="楷体" w:cs="楷体"/>
                <w:szCs w:val="21"/>
              </w:rPr>
              <w:t>县纪委、县监委是党统一领导下的反腐败工作机构，履行纪检、监察两项职责，实行一套工作机构、两个机关名称，共同设立内设机构。县委巡察办列入县委工作部门，设在县纪委。县纪委监委机关设立内设机构14个，下属副科级事业单位（信息中心）1个，股级事业单位（案件管理服务中心）1个，派驻纪检监察组14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72"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3360.42</w:t>
            </w:r>
          </w:p>
        </w:tc>
        <w:tc>
          <w:tcPr>
            <w:tcW w:w="1073"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1170" w:type="dxa"/>
            <w:noWrap w:val="0"/>
            <w:vAlign w:val="top"/>
          </w:tcPr>
          <w:p>
            <w:pPr>
              <w:spacing w:line="560" w:lineRule="exact"/>
              <w:jc w:val="left"/>
              <w:rPr>
                <w:rFonts w:ascii="楷体" w:hAnsi="楷体" w:eastAsia="楷体" w:cs="楷体"/>
                <w:szCs w:val="21"/>
              </w:rPr>
            </w:pPr>
          </w:p>
        </w:tc>
        <w:tc>
          <w:tcPr>
            <w:tcW w:w="540"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972" w:type="dxa"/>
            <w:vMerge w:val="restart"/>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3360.42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55"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noWrap w:val="0"/>
            <w:vAlign w:val="center"/>
          </w:tcPr>
          <w:p>
            <w:pPr>
              <w:jc w:val="center"/>
              <w:rPr>
                <w:rFonts w:ascii="楷体" w:hAnsi="楷体" w:eastAsia="楷体" w:cs="楷体"/>
                <w:szCs w:val="21"/>
              </w:rPr>
            </w:pPr>
          </w:p>
        </w:tc>
        <w:tc>
          <w:tcPr>
            <w:tcW w:w="1073" w:type="dxa"/>
            <w:gridSpan w:val="2"/>
            <w:noWrap w:val="0"/>
            <w:vAlign w:val="center"/>
          </w:tcPr>
          <w:p>
            <w:pPr>
              <w:spacing w:line="560" w:lineRule="exact"/>
              <w:rPr>
                <w:rFonts w:ascii="楷体" w:hAnsi="楷体" w:eastAsia="楷体" w:cs="楷体"/>
                <w:szCs w:val="21"/>
              </w:rPr>
            </w:pPr>
            <w:r>
              <w:rPr>
                <w:rFonts w:hint="eastAsia" w:ascii="楷体" w:hAnsi="楷体" w:eastAsia="楷体" w:cs="楷体"/>
                <w:szCs w:val="21"/>
              </w:rPr>
              <w:t>其他收入</w:t>
            </w:r>
          </w:p>
        </w:tc>
        <w:tc>
          <w:tcPr>
            <w:tcW w:w="1170" w:type="dxa"/>
            <w:noWrap w:val="0"/>
            <w:vAlign w:val="top"/>
          </w:tcPr>
          <w:p>
            <w:pPr>
              <w:spacing w:line="560" w:lineRule="exact"/>
              <w:jc w:val="left"/>
              <w:rPr>
                <w:rFonts w:ascii="楷体" w:hAnsi="楷体" w:eastAsia="楷体" w:cs="楷体"/>
                <w:szCs w:val="21"/>
              </w:rPr>
            </w:pPr>
          </w:p>
        </w:tc>
        <w:tc>
          <w:tcPr>
            <w:tcW w:w="540" w:type="dxa"/>
            <w:vMerge w:val="continue"/>
            <w:noWrap w:val="0"/>
            <w:vAlign w:val="center"/>
          </w:tcPr>
          <w:p>
            <w:pPr>
              <w:spacing w:line="560" w:lineRule="exact"/>
              <w:jc w:val="center"/>
              <w:rPr>
                <w:rFonts w:ascii="楷体" w:hAnsi="楷体" w:eastAsia="楷体" w:cs="楷体"/>
                <w:szCs w:val="21"/>
              </w:rPr>
            </w:pPr>
          </w:p>
        </w:tc>
        <w:tc>
          <w:tcPr>
            <w:tcW w:w="972" w:type="dxa"/>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60"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2560.42</w:t>
            </w:r>
          </w:p>
        </w:tc>
        <w:tc>
          <w:tcPr>
            <w:tcW w:w="1073" w:type="dxa"/>
            <w:gridSpan w:val="2"/>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1170"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800</w:t>
            </w:r>
          </w:p>
        </w:tc>
        <w:tc>
          <w:tcPr>
            <w:tcW w:w="540"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972"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3360.42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708"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372"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18.83</w:t>
            </w:r>
          </w:p>
        </w:tc>
        <w:tc>
          <w:tcPr>
            <w:tcW w:w="1073" w:type="dxa"/>
            <w:gridSpan w:val="2"/>
            <w:vMerge w:val="continue"/>
            <w:noWrap w:val="0"/>
            <w:vAlign w:val="top"/>
          </w:tcPr>
          <w:p>
            <w:pPr>
              <w:jc w:val="center"/>
              <w:rPr>
                <w:rFonts w:ascii="楷体" w:hAnsi="楷体" w:eastAsia="楷体" w:cs="楷体"/>
                <w:szCs w:val="21"/>
              </w:rPr>
            </w:pPr>
          </w:p>
        </w:tc>
        <w:tc>
          <w:tcPr>
            <w:tcW w:w="1170" w:type="dxa"/>
            <w:vMerge w:val="continue"/>
            <w:noWrap w:val="0"/>
            <w:vAlign w:val="top"/>
          </w:tcPr>
          <w:p>
            <w:pPr>
              <w:jc w:val="center"/>
              <w:rPr>
                <w:rFonts w:ascii="楷体" w:hAnsi="楷体" w:eastAsia="楷体" w:cs="楷体"/>
                <w:szCs w:val="21"/>
              </w:rPr>
            </w:pPr>
          </w:p>
        </w:tc>
        <w:tc>
          <w:tcPr>
            <w:tcW w:w="540" w:type="dxa"/>
            <w:vMerge w:val="continue"/>
            <w:noWrap w:val="0"/>
            <w:vAlign w:val="center"/>
          </w:tcPr>
          <w:p>
            <w:pPr>
              <w:jc w:val="center"/>
              <w:rPr>
                <w:rFonts w:ascii="楷体" w:hAnsi="楷体" w:eastAsia="楷体" w:cs="楷体"/>
                <w:szCs w:val="21"/>
              </w:rPr>
            </w:pPr>
          </w:p>
        </w:tc>
        <w:tc>
          <w:tcPr>
            <w:tcW w:w="972" w:type="dxa"/>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816" w:hRule="exact"/>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8"/>
            <w:noWrap w:val="0"/>
            <w:vAlign w:val="center"/>
          </w:tcPr>
          <w:p>
            <w:pPr>
              <w:rPr>
                <w:rFonts w:hint="eastAsia" w:ascii="楷体" w:hAnsi="楷体" w:eastAsia="楷体" w:cs="楷体"/>
                <w:szCs w:val="21"/>
                <w:lang w:eastAsia="zh-CN"/>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43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8"/>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125"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8"/>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hint="eastAsia" w:ascii="楷体" w:hAnsi="楷体" w:eastAsia="楷体" w:cs="楷体"/>
                <w:szCs w:val="21"/>
                <w:lang w:eastAsia="zh-CN"/>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814"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8"/>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hint="eastAsia" w:ascii="楷体" w:hAnsi="楷体" w:eastAsia="楷体" w:cs="楷体"/>
                <w:szCs w:val="21"/>
                <w:lang w:val="en-US" w:eastAsia="zh-CN"/>
              </w:rPr>
              <w:t>325</w:t>
            </w:r>
            <w:r>
              <w:rPr>
                <w:rFonts w:hint="eastAsia" w:ascii="楷体" w:hAnsi="楷体" w:eastAsia="楷体" w:cs="楷体"/>
                <w:szCs w:val="21"/>
              </w:rPr>
              <w:t>万元，实际采购金额</w:t>
            </w:r>
            <w:r>
              <w:rPr>
                <w:rFonts w:hint="eastAsia" w:ascii="楷体" w:hAnsi="楷体" w:eastAsia="楷体" w:cs="楷体"/>
                <w:szCs w:val="21"/>
                <w:lang w:val="en-US" w:eastAsia="zh-CN"/>
              </w:rPr>
              <w:t>325</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740"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8"/>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w:t>
            </w:r>
            <w:r>
              <w:rPr>
                <w:rFonts w:hint="eastAsia" w:ascii="楷体" w:hAnsi="楷体" w:eastAsia="楷体" w:cs="楷体"/>
                <w:szCs w:val="21"/>
                <w:lang w:val="en-US" w:eastAsia="zh-CN"/>
              </w:rPr>
              <w:t>2020</w:t>
            </w:r>
            <w:r>
              <w:rPr>
                <w:rFonts w:hint="eastAsia" w:ascii="楷体" w:hAnsi="楷体" w:eastAsia="楷体" w:cs="楷体"/>
                <w:szCs w:val="21"/>
              </w:rPr>
              <w:t>年</w:t>
            </w:r>
            <w:r>
              <w:rPr>
                <w:rFonts w:hint="eastAsia" w:ascii="楷体" w:hAnsi="楷体" w:eastAsia="楷体" w:cs="楷体"/>
                <w:szCs w:val="21"/>
                <w:lang w:val="en-US" w:eastAsia="zh-CN"/>
              </w:rPr>
              <w:t>1</w:t>
            </w:r>
            <w:r>
              <w:rPr>
                <w:rFonts w:hint="eastAsia" w:ascii="楷体" w:hAnsi="楷体" w:eastAsia="楷体" w:cs="楷体"/>
                <w:szCs w:val="21"/>
              </w:rPr>
              <w:t>月</w:t>
            </w:r>
            <w:r>
              <w:rPr>
                <w:rFonts w:hint="eastAsia" w:ascii="楷体" w:hAnsi="楷体" w:eastAsia="楷体" w:cs="楷体"/>
                <w:szCs w:val="21"/>
                <w:lang w:val="en-US" w:eastAsia="zh-CN"/>
              </w:rPr>
              <w:t>20</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99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8"/>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99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8"/>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hint="eastAsia" w:ascii="楷体" w:hAnsi="楷体" w:eastAsia="楷体" w:cs="楷体"/>
                <w:szCs w:val="21"/>
                <w:lang w:eastAsia="zh-CN"/>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280"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8"/>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61"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8"/>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541"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9"/>
            <w:noWrap w:val="0"/>
            <w:vAlign w:val="center"/>
          </w:tcPr>
          <w:p>
            <w:pPr>
              <w:ind w:firstLine="420" w:firstLineChars="200"/>
              <w:rPr>
                <w:rFonts w:hint="default" w:ascii="楷体" w:hAnsi="楷体" w:eastAsia="楷体" w:cs="楷体"/>
                <w:szCs w:val="21"/>
                <w:lang w:val="en-US" w:eastAsia="zh-CN"/>
              </w:rPr>
            </w:pPr>
            <w:r>
              <w:rPr>
                <w:rFonts w:hint="eastAsia" w:ascii="楷体" w:hAnsi="楷体" w:eastAsia="楷体" w:cs="楷体"/>
                <w:szCs w:val="21"/>
              </w:rPr>
              <w:t>20</w:t>
            </w:r>
            <w:r>
              <w:rPr>
                <w:rFonts w:hint="eastAsia" w:ascii="楷体" w:hAnsi="楷体" w:eastAsia="楷体" w:cs="楷体"/>
                <w:szCs w:val="21"/>
                <w:lang w:val="en-US" w:eastAsia="zh-CN"/>
              </w:rPr>
              <w:t>20</w:t>
            </w:r>
            <w:r>
              <w:rPr>
                <w:rFonts w:hint="eastAsia" w:ascii="楷体" w:hAnsi="楷体" w:eastAsia="楷体" w:cs="楷体"/>
                <w:szCs w:val="21"/>
              </w:rPr>
              <w:t>年，始终保持昂扬的斗志和奋发向上的精神风貌，忠诚履行党章和宪法赋予的职责，不松劲、不停步、再出发。</w:t>
            </w:r>
            <w:r>
              <w:rPr>
                <w:rFonts w:hint="eastAsia" w:ascii="楷体" w:hAnsi="楷体" w:eastAsia="楷体" w:cs="楷体"/>
                <w:szCs w:val="21"/>
                <w:lang w:eastAsia="zh-CN"/>
              </w:rPr>
              <w:t>全县党员干部政治自觉明显增强，巡视巡察利剑作用进一步彰显，审查调查强势发力，监督质效不断提升，专项整治深入推进，作风建设向好发展，政治生态展现新气象。</w:t>
            </w:r>
          </w:p>
          <w:p>
            <w:pPr>
              <w:ind w:firstLine="105" w:firstLineChars="50"/>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697"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9"/>
            <w:noWrap w:val="0"/>
            <w:vAlign w:val="center"/>
          </w:tcPr>
          <w:p>
            <w:pPr>
              <w:jc w:val="center"/>
              <w:rPr>
                <w:rFonts w:hint="eastAsia" w:ascii="楷体" w:hAnsi="楷体" w:eastAsia="楷体" w:cs="楷体"/>
                <w:szCs w:val="21"/>
                <w:lang w:eastAsia="zh-CN"/>
              </w:rPr>
            </w:pPr>
            <w:r>
              <w:rPr>
                <w:rFonts w:hint="eastAsia" w:ascii="楷体" w:hAnsi="楷体" w:eastAsia="楷体" w:cs="楷体"/>
                <w:szCs w:val="21"/>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534"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9"/>
            <w:noWrap w:val="0"/>
            <w:vAlign w:val="center"/>
          </w:tcPr>
          <w:p>
            <w:pPr>
              <w:ind w:firstLine="420" w:firstLineChars="200"/>
              <w:rPr>
                <w:rFonts w:hint="eastAsia" w:ascii="楷体" w:hAnsi="楷体" w:eastAsia="楷体" w:cs="楷体"/>
                <w:szCs w:val="21"/>
                <w:lang w:eastAsia="zh-CN"/>
              </w:rPr>
            </w:pPr>
            <w:r>
              <w:rPr>
                <w:rFonts w:hint="eastAsia" w:ascii="楷体" w:hAnsi="楷体" w:eastAsia="楷体" w:cs="楷体"/>
                <w:szCs w:val="21"/>
              </w:rPr>
              <w:t>存在的问题：1.</w:t>
            </w:r>
            <w:r>
              <w:rPr>
                <w:rFonts w:ascii="楷体" w:hAnsi="楷体" w:eastAsia="楷体" w:cs="楷体"/>
                <w:szCs w:val="21"/>
              </w:rPr>
              <w:t>在部门整体支出的资金安排和使用上有不可预见性，在科学设置预算绩效指标上还需进一步加强，使之更贴合纪检监察工作的实际。</w:t>
            </w:r>
            <w:r>
              <w:rPr>
                <w:rFonts w:hint="eastAsia" w:ascii="楷体" w:hAnsi="楷体" w:eastAsia="楷体" w:cs="楷体"/>
                <w:szCs w:val="21"/>
              </w:rPr>
              <w:t>2.履职时在经济效益和社会效益实现上还有待提升。3.资产管理水平有待增强</w:t>
            </w:r>
            <w:r>
              <w:rPr>
                <w:rFonts w:hint="eastAsia" w:ascii="楷体" w:hAnsi="楷体" w:eastAsia="楷体" w:cs="楷体"/>
                <w:szCs w:val="21"/>
                <w:lang w:eastAsia="zh-CN"/>
              </w:rPr>
              <w:t>。</w:t>
            </w:r>
          </w:p>
          <w:p>
            <w:pPr>
              <w:ind w:firstLine="420" w:firstLineChars="200"/>
              <w:rPr>
                <w:rFonts w:hint="eastAsia" w:ascii="楷体" w:hAnsi="楷体" w:eastAsia="楷体" w:cs="楷体"/>
                <w:szCs w:val="21"/>
              </w:rPr>
            </w:pPr>
            <w:r>
              <w:rPr>
                <w:rFonts w:hint="eastAsia" w:ascii="楷体" w:hAnsi="楷体" w:eastAsia="楷体" w:cs="楷体"/>
                <w:szCs w:val="21"/>
              </w:rPr>
              <w:t>建议：1.完善评价指标体系，科学设置预算绩效指标。2.注重经济效益与社会效益相结合。3.积极采取措施，加强资产管理业务的学习，增强对资产的有效管理。</w:t>
            </w:r>
            <w:r>
              <w:rPr>
                <w:rFonts w:hint="eastAsia" w:ascii="楷体" w:hAnsi="楷体" w:eastAsia="楷体" w:cs="楷体"/>
                <w:szCs w:val="21"/>
                <w:lang w:val="en-US" w:eastAsia="zh-CN"/>
              </w:rPr>
              <w:t>4.</w:t>
            </w:r>
            <w:r>
              <w:rPr>
                <w:rFonts w:hint="eastAsia" w:ascii="楷体" w:hAnsi="楷体" w:eastAsia="楷体" w:cs="楷体"/>
                <w:szCs w:val="21"/>
              </w:rPr>
              <w:t>县财政继续加大对执纪监督、审查的支持力度，增加大案要案的办案经费、充分保障巡察工作经费等</w:t>
            </w:r>
            <w:r>
              <w:rPr>
                <w:rFonts w:hint="eastAsia" w:ascii="楷体" w:hAnsi="楷体" w:eastAsia="楷体" w:cs="楷体"/>
                <w:szCs w:val="21"/>
                <w:lang w:eastAsia="zh-CN"/>
              </w:rPr>
              <w:t>。</w:t>
            </w:r>
            <w:r>
              <w:rPr>
                <w:rFonts w:hint="eastAsia" w:ascii="楷体" w:hAnsi="楷体" w:eastAsia="楷体" w:cs="楷体"/>
                <w:szCs w:val="21"/>
                <w:lang w:val="en-US" w:eastAsia="zh-CN"/>
              </w:rPr>
              <w:t>5.</w:t>
            </w:r>
            <w:r>
              <w:rPr>
                <w:rFonts w:hint="eastAsia" w:ascii="楷体" w:hAnsi="楷体" w:eastAsia="楷体" w:cs="楷体"/>
                <w:szCs w:val="21"/>
              </w:rPr>
              <w:t>经费预算足额编制。</w:t>
            </w:r>
            <w:r>
              <w:rPr>
                <w:rFonts w:hint="eastAsia" w:ascii="楷体" w:hAnsi="楷体" w:eastAsia="楷体" w:cs="楷体"/>
                <w:szCs w:val="21"/>
                <w:lang w:val="en-US" w:eastAsia="zh-CN"/>
              </w:rPr>
              <w:t>6.</w:t>
            </w:r>
            <w:r>
              <w:rPr>
                <w:rFonts w:hint="eastAsia" w:ascii="楷体" w:hAnsi="楷体" w:eastAsia="楷体" w:cs="楷体"/>
                <w:szCs w:val="21"/>
              </w:rPr>
              <w:t>建议加强新《预算法》、《政府会计制度》等的学习培训。</w:t>
            </w:r>
          </w:p>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974" w:hRule="atLeast"/>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9"/>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ascii="宋体" w:hAnsi="宋体"/>
          <w:szCs w:val="21"/>
        </w:rPr>
        <w:t xml:space="preserve"> </w:t>
      </w:r>
      <w:r>
        <w:rPr>
          <w:rFonts w:hint="eastAsia" w:ascii="宋体" w:hAnsi="宋体"/>
          <w:szCs w:val="21"/>
          <w:lang w:eastAsia="zh-CN"/>
        </w:rPr>
        <w:t>谭鸣凤</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18773962730</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lang w:val="en-US" w:eastAsia="zh-CN"/>
        </w:rPr>
        <w:t>2021</w:t>
      </w:r>
      <w:r>
        <w:rPr>
          <w:rFonts w:ascii="宋体" w:hAnsi="宋体"/>
          <w:szCs w:val="21"/>
        </w:rPr>
        <w:t xml:space="preserve"> </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25</w:t>
      </w:r>
      <w:r>
        <w:rPr>
          <w:rFonts w:ascii="宋体" w:hAnsi="宋体"/>
          <w:szCs w:val="21"/>
        </w:rPr>
        <w:t xml:space="preserve"> </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pPr>
        <w:spacing w:line="560" w:lineRule="exact"/>
        <w:rPr>
          <w:rFonts w:ascii="黑体" w:hAnsi="宋体" w:eastAsia="黑体" w:cs="宋体"/>
          <w:kern w:val="0"/>
          <w:sz w:val="32"/>
          <w:szCs w:val="32"/>
        </w:rPr>
      </w:pP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lang w:eastAsia="zh-CN"/>
        </w:rPr>
        <w:t>隆回县纪委监委</w:t>
      </w:r>
      <w:r>
        <w:rPr>
          <w:rFonts w:hint="eastAsia" w:ascii="方正小标宋简体" w:eastAsia="方正小标宋简体"/>
          <w:bCs/>
          <w:kern w:val="0"/>
          <w:sz w:val="36"/>
          <w:szCs w:val="36"/>
        </w:rPr>
        <w:t>部门整体支出绩效自评报告</w:t>
      </w:r>
    </w:p>
    <w:p>
      <w:pPr>
        <w:ind w:firstLine="420" w:firstLineChars="200"/>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（一）部门基本情况</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72" w:firstLineChars="200"/>
        <w:jc w:val="both"/>
        <w:textAlignment w:val="auto"/>
        <w:outlineLvl w:val="9"/>
      </w:pPr>
      <w:r>
        <w:rPr>
          <w:rFonts w:hint="eastAsia" w:ascii="仿宋" w:hAnsi="仿宋" w:eastAsia="仿宋" w:cs="仿宋"/>
          <w:spacing w:val="8"/>
          <w:sz w:val="32"/>
          <w:szCs w:val="32"/>
        </w:rPr>
        <w:t>县纪委、县监委是党统一领导下的反腐败工作机构，履行纪检、监察两项职责，实行一套工作机构、两个机关名称，共同设立内设机构。县委巡察办列入县委工作部门，设在县纪委。县纪委监委机关设立内设机构14个</w:t>
      </w:r>
      <w:r>
        <w:rPr>
          <w:rFonts w:hint="eastAsia" w:ascii="仿宋" w:hAnsi="仿宋" w:eastAsia="仿宋" w:cs="仿宋"/>
          <w:spacing w:val="8"/>
          <w:sz w:val="32"/>
          <w:szCs w:val="32"/>
          <w:lang w:eastAsia="zh-CN"/>
        </w:rPr>
        <w:t>，下属副科级事业单位（信息中心）</w:t>
      </w:r>
      <w:r>
        <w:rPr>
          <w:rFonts w:hint="eastAsia" w:ascii="仿宋" w:hAnsi="仿宋" w:eastAsia="仿宋" w:cs="仿宋"/>
          <w:spacing w:val="8"/>
          <w:sz w:val="32"/>
          <w:szCs w:val="32"/>
          <w:lang w:val="en-US" w:eastAsia="zh-CN"/>
        </w:rPr>
        <w:t>1个，股级事业单位（案件管理服务中心）1个，派驻纪检监察组14个；</w:t>
      </w:r>
      <w:r>
        <w:rPr>
          <w:rFonts w:hint="eastAsia" w:ascii="仿宋" w:hAnsi="仿宋" w:eastAsia="仿宋" w:cs="仿宋"/>
          <w:spacing w:val="8"/>
          <w:sz w:val="32"/>
          <w:szCs w:val="32"/>
        </w:rPr>
        <w:t>编制人数为</w:t>
      </w:r>
      <w:r>
        <w:rPr>
          <w:rFonts w:hint="eastAsia" w:ascii="仿宋" w:hAnsi="仿宋" w:eastAsia="仿宋" w:cs="仿宋"/>
          <w:spacing w:val="8"/>
          <w:sz w:val="32"/>
          <w:szCs w:val="32"/>
          <w:lang w:val="en-US" w:eastAsia="zh-CN"/>
        </w:rPr>
        <w:t>156</w:t>
      </w:r>
      <w:r>
        <w:rPr>
          <w:rFonts w:hint="eastAsia" w:ascii="仿宋" w:hAnsi="仿宋" w:eastAsia="仿宋" w:cs="仿宋"/>
          <w:spacing w:val="8"/>
          <w:sz w:val="32"/>
          <w:szCs w:val="32"/>
        </w:rPr>
        <w:t>人（含县委巡察办、县委巡察组编制15人），在职人员</w:t>
      </w:r>
      <w:r>
        <w:rPr>
          <w:rFonts w:hint="eastAsia" w:ascii="仿宋" w:hAnsi="仿宋" w:eastAsia="仿宋" w:cs="仿宋"/>
          <w:spacing w:val="8"/>
          <w:sz w:val="32"/>
          <w:szCs w:val="32"/>
          <w:lang w:val="en-US" w:eastAsia="zh-CN"/>
        </w:rPr>
        <w:t>145</w:t>
      </w:r>
      <w:r>
        <w:rPr>
          <w:rFonts w:hint="eastAsia" w:ascii="仿宋" w:hAnsi="仿宋" w:eastAsia="仿宋" w:cs="仿宋"/>
          <w:spacing w:val="8"/>
          <w:sz w:val="32"/>
          <w:szCs w:val="32"/>
        </w:rPr>
        <w:t>人</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目前由委机关统发工资人数</w:t>
      </w:r>
      <w:r>
        <w:rPr>
          <w:rFonts w:hint="eastAsia" w:ascii="仿宋" w:hAnsi="仿宋" w:eastAsia="仿宋" w:cs="仿宋"/>
          <w:spacing w:val="8"/>
          <w:sz w:val="32"/>
          <w:szCs w:val="32"/>
          <w:lang w:val="en-US" w:eastAsia="zh-CN"/>
        </w:rPr>
        <w:t>145</w:t>
      </w:r>
      <w:r>
        <w:rPr>
          <w:rFonts w:hint="eastAsia" w:ascii="仿宋" w:hAnsi="仿宋" w:eastAsia="仿宋" w:cs="仿宋"/>
          <w:spacing w:val="8"/>
          <w:sz w:val="32"/>
          <w:szCs w:val="32"/>
        </w:rPr>
        <w:t>人（委机关</w:t>
      </w:r>
      <w:r>
        <w:rPr>
          <w:rFonts w:hint="eastAsia" w:ascii="仿宋" w:hAnsi="仿宋" w:eastAsia="仿宋" w:cs="仿宋"/>
          <w:spacing w:val="8"/>
          <w:sz w:val="32"/>
          <w:szCs w:val="32"/>
          <w:lang w:eastAsia="zh-CN"/>
        </w:rPr>
        <w:t>内设机构</w:t>
      </w:r>
      <w:r>
        <w:rPr>
          <w:rFonts w:hint="eastAsia" w:ascii="仿宋" w:hAnsi="仿宋" w:eastAsia="仿宋" w:cs="仿宋"/>
          <w:spacing w:val="8"/>
          <w:sz w:val="32"/>
          <w:szCs w:val="32"/>
          <w:lang w:val="en-US" w:eastAsia="zh-CN"/>
        </w:rPr>
        <w:t>60</w:t>
      </w:r>
      <w:r>
        <w:rPr>
          <w:rFonts w:hint="eastAsia" w:ascii="仿宋" w:hAnsi="仿宋" w:eastAsia="仿宋" w:cs="仿宋"/>
          <w:spacing w:val="8"/>
          <w:sz w:val="32"/>
          <w:szCs w:val="32"/>
        </w:rPr>
        <w:t>人，</w:t>
      </w:r>
      <w:r>
        <w:rPr>
          <w:rFonts w:hint="eastAsia" w:ascii="仿宋" w:hAnsi="仿宋" w:eastAsia="仿宋" w:cs="仿宋"/>
          <w:spacing w:val="8"/>
          <w:sz w:val="32"/>
          <w:szCs w:val="32"/>
          <w:lang w:eastAsia="zh-CN"/>
        </w:rPr>
        <w:t>委机关二级机构</w:t>
      </w:r>
      <w:r>
        <w:rPr>
          <w:rFonts w:hint="eastAsia" w:ascii="仿宋" w:hAnsi="仿宋" w:eastAsia="仿宋" w:cs="仿宋"/>
          <w:spacing w:val="8"/>
          <w:sz w:val="32"/>
          <w:szCs w:val="32"/>
          <w:lang w:val="en-US" w:eastAsia="zh-CN"/>
        </w:rPr>
        <w:t>7人，</w:t>
      </w:r>
      <w:r>
        <w:rPr>
          <w:rFonts w:hint="eastAsia" w:ascii="仿宋" w:hAnsi="仿宋" w:eastAsia="仿宋" w:cs="仿宋"/>
          <w:spacing w:val="8"/>
          <w:sz w:val="32"/>
          <w:szCs w:val="32"/>
        </w:rPr>
        <w:t>派驻纪检组</w:t>
      </w:r>
      <w:r>
        <w:rPr>
          <w:rFonts w:hint="eastAsia" w:ascii="仿宋" w:hAnsi="仿宋" w:eastAsia="仿宋" w:cs="仿宋"/>
          <w:spacing w:val="8"/>
          <w:sz w:val="32"/>
          <w:szCs w:val="32"/>
          <w:lang w:val="en-US" w:eastAsia="zh-CN"/>
        </w:rPr>
        <w:t>63</w:t>
      </w:r>
      <w:r>
        <w:rPr>
          <w:rFonts w:hint="eastAsia" w:ascii="仿宋" w:hAnsi="仿宋" w:eastAsia="仿宋" w:cs="仿宋"/>
          <w:spacing w:val="8"/>
          <w:sz w:val="32"/>
          <w:szCs w:val="32"/>
        </w:rPr>
        <w:t>人，巡察办组</w:t>
      </w:r>
      <w:r>
        <w:rPr>
          <w:rFonts w:hint="eastAsia" w:ascii="仿宋" w:hAnsi="仿宋" w:eastAsia="仿宋" w:cs="仿宋"/>
          <w:spacing w:val="8"/>
          <w:sz w:val="32"/>
          <w:szCs w:val="32"/>
          <w:lang w:val="en-US" w:eastAsia="zh-CN"/>
        </w:rPr>
        <w:t>15</w:t>
      </w:r>
      <w:r>
        <w:rPr>
          <w:rFonts w:hint="eastAsia" w:ascii="仿宋" w:hAnsi="仿宋" w:eastAsia="仿宋" w:cs="仿宋"/>
          <w:spacing w:val="8"/>
          <w:sz w:val="32"/>
          <w:szCs w:val="32"/>
        </w:rPr>
        <w:t>人</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离退休</w:t>
      </w:r>
      <w:r>
        <w:rPr>
          <w:rFonts w:hint="eastAsia" w:ascii="仿宋" w:hAnsi="仿宋" w:eastAsia="仿宋" w:cs="仿宋"/>
          <w:spacing w:val="8"/>
          <w:sz w:val="32"/>
          <w:szCs w:val="32"/>
          <w:lang w:val="en-US" w:eastAsia="zh-CN"/>
        </w:rPr>
        <w:t>20</w:t>
      </w:r>
      <w:r>
        <w:rPr>
          <w:rFonts w:hint="eastAsia" w:ascii="仿宋" w:hAnsi="仿宋" w:eastAsia="仿宋" w:cs="仿宋"/>
          <w:spacing w:val="8"/>
          <w:sz w:val="32"/>
          <w:szCs w:val="32"/>
        </w:rPr>
        <w:t>人</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小车编制数</w:t>
      </w:r>
      <w:r>
        <w:rPr>
          <w:rFonts w:hint="eastAsia" w:ascii="仿宋" w:hAnsi="仿宋" w:eastAsia="仿宋" w:cs="仿宋"/>
          <w:spacing w:val="8"/>
          <w:sz w:val="32"/>
          <w:szCs w:val="32"/>
          <w:lang w:val="en-US" w:eastAsia="zh-CN"/>
        </w:rPr>
        <w:t>5</w:t>
      </w:r>
      <w:r>
        <w:rPr>
          <w:rFonts w:hint="eastAsia" w:ascii="仿宋" w:hAnsi="仿宋" w:eastAsia="仿宋" w:cs="仿宋"/>
          <w:spacing w:val="8"/>
          <w:sz w:val="32"/>
          <w:szCs w:val="32"/>
        </w:rPr>
        <w:t>台，实际</w:t>
      </w:r>
      <w:r>
        <w:rPr>
          <w:rFonts w:hint="eastAsia" w:ascii="仿宋" w:hAnsi="仿宋" w:eastAsia="仿宋" w:cs="仿宋"/>
          <w:spacing w:val="8"/>
          <w:sz w:val="32"/>
          <w:szCs w:val="32"/>
          <w:lang w:val="en-US" w:eastAsia="zh-CN"/>
        </w:rPr>
        <w:t>5</w:t>
      </w:r>
      <w:r>
        <w:rPr>
          <w:rFonts w:hint="eastAsia" w:ascii="仿宋" w:hAnsi="仿宋" w:eastAsia="仿宋" w:cs="仿宋"/>
          <w:spacing w:val="8"/>
          <w:sz w:val="32"/>
          <w:szCs w:val="32"/>
        </w:rPr>
        <w:t>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（二）</w:t>
      </w:r>
      <w:r>
        <w:rPr>
          <w:rFonts w:eastAsia="仿宋_GB2312"/>
          <w:sz w:val="32"/>
          <w:szCs w:val="32"/>
        </w:rPr>
        <w:t>20</w:t>
      </w:r>
      <w:r>
        <w:rPr>
          <w:rFonts w:hint="eastAsia" w:eastAsia="仿宋_GB2312"/>
          <w:sz w:val="32"/>
          <w:szCs w:val="32"/>
          <w:lang w:val="en-US" w:eastAsia="zh-CN"/>
        </w:rPr>
        <w:t>20</w:t>
      </w:r>
      <w:r>
        <w:rPr>
          <w:rFonts w:hint="eastAsia" w:eastAsia="仿宋_GB2312"/>
          <w:sz w:val="32"/>
          <w:szCs w:val="32"/>
        </w:rPr>
        <w:t>年的重点工作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color w:val="auto"/>
          <w:sz w:val="32"/>
          <w:szCs w:val="32"/>
          <w:lang w:val="en-US" w:eastAsia="zh-CN"/>
        </w:rPr>
        <w:t>切实强化政治监督，不断增强“两个维护”自觉性坚定性。一是深学笃用习近平新时代中国特色社会主义思想。坚持完善集体学习制度，固定安排县纪委常委会第一个议题为学习议题，将习近平总书记最新重要讲话和指示批示精神作为县纪委常委会、县纪委理论中心组必学内容，持续跟进、专题学习。组织全县纪检监察系统深入学习贯彻习近平总书记考察湖南重要讲话精神，立足纪检监察职责制定贯彻落实20项任务清单，推动新精神新指示在隆回落地落实，以实际行动践行“两个维护”。二是督促推动落实管党治党政治责任。</w:t>
      </w:r>
      <w:r>
        <w:rPr>
          <w:rFonts w:hint="eastAsia" w:ascii="仿宋" w:hAnsi="仿宋" w:eastAsia="仿宋" w:cs="仿宋"/>
          <w:b w:val="0"/>
          <w:bCs w:val="0"/>
          <w:color w:val="auto"/>
          <w:sz w:val="32"/>
          <w:szCs w:val="32"/>
          <w:lang w:eastAsia="zh-CN"/>
        </w:rPr>
        <w:t>自觉将纪检监察工作置于党的领导下，对重要工作、重大事项、重要问题和监督执纪工作中的具体事项及时向市纪委监委和县委请示报告，对市纪委监委和县委主要领导批示件实行清单式管理、逐项落实并报告情况。今年来，向市纪委监委请示报告工作</w:t>
      </w:r>
      <w:r>
        <w:rPr>
          <w:rFonts w:hint="eastAsia" w:ascii="仿宋" w:hAnsi="仿宋" w:eastAsia="仿宋" w:cs="仿宋"/>
          <w:b w:val="0"/>
          <w:bCs w:val="0"/>
          <w:color w:val="auto"/>
          <w:sz w:val="32"/>
          <w:szCs w:val="32"/>
          <w:lang w:val="en-US" w:eastAsia="zh-CN"/>
        </w:rPr>
        <w:t>31</w:t>
      </w:r>
      <w:r>
        <w:rPr>
          <w:rFonts w:hint="eastAsia" w:ascii="仿宋" w:hAnsi="仿宋" w:eastAsia="仿宋" w:cs="仿宋"/>
          <w:b w:val="0"/>
          <w:bCs w:val="0"/>
          <w:color w:val="auto"/>
          <w:sz w:val="32"/>
          <w:szCs w:val="32"/>
          <w:lang w:eastAsia="zh-CN"/>
        </w:rPr>
        <w:t>次，向县委请示报告工作</w:t>
      </w:r>
      <w:r>
        <w:rPr>
          <w:rFonts w:hint="eastAsia" w:ascii="仿宋" w:hAnsi="仿宋" w:eastAsia="仿宋" w:cs="仿宋"/>
          <w:b w:val="0"/>
          <w:bCs w:val="0"/>
          <w:color w:val="auto"/>
          <w:sz w:val="32"/>
          <w:szCs w:val="32"/>
          <w:lang w:val="en-US" w:eastAsia="zh-CN"/>
        </w:rPr>
        <w:t>48</w:t>
      </w:r>
      <w:r>
        <w:rPr>
          <w:rFonts w:hint="eastAsia" w:ascii="仿宋" w:hAnsi="仿宋" w:eastAsia="仿宋" w:cs="仿宋"/>
          <w:b w:val="0"/>
          <w:bCs w:val="0"/>
          <w:color w:val="auto"/>
          <w:sz w:val="32"/>
          <w:szCs w:val="32"/>
          <w:lang w:eastAsia="zh-CN"/>
        </w:rPr>
        <w:t>次，把双重领导落到实处。</w:t>
      </w:r>
      <w:r>
        <w:rPr>
          <w:rFonts w:hint="eastAsia" w:ascii="仿宋" w:hAnsi="仿宋" w:eastAsia="仿宋" w:cs="仿宋"/>
          <w:b w:val="0"/>
          <w:bCs w:val="0"/>
          <w:color w:val="auto"/>
          <w:sz w:val="32"/>
          <w:szCs w:val="32"/>
          <w:u w:val="none"/>
          <w:lang w:eastAsia="zh-CN"/>
        </w:rPr>
        <w:t>认真履行协助职责，</w:t>
      </w:r>
      <w:r>
        <w:rPr>
          <w:rFonts w:hint="eastAsia" w:ascii="仿宋" w:hAnsi="仿宋" w:eastAsia="仿宋" w:cs="仿宋"/>
          <w:b w:val="0"/>
          <w:bCs w:val="0"/>
          <w:color w:val="auto"/>
          <w:sz w:val="32"/>
          <w:szCs w:val="32"/>
          <w:u w:val="none"/>
          <w:lang w:val="en-US" w:eastAsia="zh-CN"/>
        </w:rPr>
        <w:t>开展“两个责任”落实情况专项巡察，在全县</w:t>
      </w:r>
      <w:r>
        <w:rPr>
          <w:rFonts w:hint="eastAsia" w:ascii="仿宋" w:hAnsi="仿宋" w:eastAsia="仿宋" w:cs="仿宋"/>
          <w:b w:val="0"/>
          <w:bCs w:val="0"/>
          <w:color w:val="auto"/>
          <w:sz w:val="32"/>
          <w:szCs w:val="32"/>
          <w:u w:val="none"/>
          <w:lang w:eastAsia="zh-CN"/>
        </w:rPr>
        <w:t>制发“两单一书”</w:t>
      </w:r>
      <w:r>
        <w:rPr>
          <w:rFonts w:hint="eastAsia" w:ascii="仿宋" w:hAnsi="仿宋" w:eastAsia="仿宋" w:cs="仿宋"/>
          <w:b w:val="0"/>
          <w:bCs w:val="0"/>
          <w:color w:val="auto"/>
          <w:sz w:val="32"/>
          <w:szCs w:val="32"/>
          <w:u w:val="none"/>
          <w:lang w:val="en-US" w:eastAsia="zh-CN"/>
        </w:rPr>
        <w:t>264</w:t>
      </w:r>
      <w:r>
        <w:rPr>
          <w:rFonts w:hint="eastAsia" w:ascii="仿宋" w:hAnsi="仿宋" w:eastAsia="仿宋" w:cs="仿宋"/>
          <w:b w:val="0"/>
          <w:bCs w:val="0"/>
          <w:color w:val="auto"/>
          <w:sz w:val="32"/>
          <w:szCs w:val="32"/>
          <w:u w:val="none"/>
          <w:lang w:eastAsia="zh-CN"/>
        </w:rPr>
        <w:t>份、印发工作提示函</w:t>
      </w:r>
      <w:r>
        <w:rPr>
          <w:rFonts w:hint="eastAsia" w:ascii="仿宋" w:hAnsi="仿宋" w:eastAsia="仿宋" w:cs="仿宋"/>
          <w:b w:val="0"/>
          <w:bCs w:val="0"/>
          <w:color w:val="auto"/>
          <w:sz w:val="32"/>
          <w:szCs w:val="32"/>
          <w:u w:val="none"/>
          <w:lang w:val="en-US" w:eastAsia="zh-CN"/>
        </w:rPr>
        <w:t>26份，对管党治党不力问责30人，</w:t>
      </w:r>
      <w:r>
        <w:rPr>
          <w:rFonts w:hint="eastAsia" w:ascii="仿宋" w:hAnsi="仿宋" w:eastAsia="仿宋" w:cs="仿宋"/>
          <w:b w:val="0"/>
          <w:bCs w:val="0"/>
          <w:color w:val="auto"/>
          <w:sz w:val="32"/>
          <w:szCs w:val="32"/>
          <w:u w:val="none"/>
          <w:lang w:eastAsia="zh-CN"/>
        </w:rPr>
        <w:t>推动全面从严治党责任落实。</w:t>
      </w:r>
      <w:r>
        <w:rPr>
          <w:rFonts w:hint="eastAsia" w:ascii="仿宋" w:hAnsi="仿宋" w:eastAsia="仿宋" w:cs="仿宋"/>
          <w:b w:val="0"/>
          <w:bCs w:val="0"/>
          <w:color w:val="auto"/>
          <w:sz w:val="32"/>
          <w:szCs w:val="32"/>
          <w:lang w:val="en-US" w:eastAsia="zh-CN"/>
        </w:rPr>
        <w:t>三是加强统筹推进疫情防控和经济社会发展监督检查。面对突如其来的新冠肺炎疫情，全县纪检监察组织闻令而动、迅速跟进，坚持重大决策部署到哪里、监督检查就跟进到哪里，出台《党员干部、国家公职人员疫情防控工作“十严禁”》等制度规定，围绕扎实做好“六稳”工作、全面落实“六保”任务，聚焦常态化疫情防控、全面复工复产强化政治监督，开展专项督查15次，督促整改问题429个，追责问责341人，有效督促为企业减免社保费2212万元、发放稳就业补助328万元，农村劳动力返岗复工9145人，173家规模企业全部复工达产。</w:t>
      </w:r>
    </w:p>
    <w:p>
      <w:pPr>
        <w:keepNext w:val="0"/>
        <w:keepLines w:val="0"/>
        <w:pageBreakBefore w:val="0"/>
        <w:widowControl w:val="0"/>
        <w:kinsoku/>
        <w:wordWrap/>
        <w:topLinePunct w:val="0"/>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2.集中整治群众反映强烈的问题，全力保障脱贫攻坚决战决胜。</w:t>
      </w:r>
      <w:r>
        <w:rPr>
          <w:rFonts w:hint="eastAsia" w:ascii="仿宋" w:hAnsi="仿宋" w:eastAsia="仿宋" w:cs="仿宋"/>
          <w:b w:val="0"/>
          <w:bCs w:val="0"/>
          <w:color w:val="auto"/>
          <w:sz w:val="32"/>
          <w:szCs w:val="32"/>
          <w:lang w:eastAsia="zh-CN"/>
        </w:rPr>
        <w:t>一是狠抓基层信访问题化解。</w:t>
      </w:r>
      <w:r>
        <w:rPr>
          <w:rFonts w:hint="eastAsia" w:ascii="仿宋" w:hAnsi="仿宋" w:eastAsia="仿宋" w:cs="仿宋"/>
          <w:b w:val="0"/>
          <w:bCs w:val="0"/>
          <w:color w:val="auto"/>
          <w:sz w:val="32"/>
          <w:szCs w:val="32"/>
          <w:u w:val="none"/>
          <w:lang w:val="en-US" w:eastAsia="zh-CN"/>
        </w:rPr>
        <w:t>主动变群众上访为干部下访，推进“带着板凳进村”活动制度化、常态化，开展公开接访活动1173次，接待群众2605人次，受理并办结业务内信访件68件，为群众解决困难和问题1255个。</w:t>
      </w:r>
      <w:r>
        <w:rPr>
          <w:rFonts w:hint="eastAsia" w:ascii="仿宋" w:hAnsi="仿宋" w:eastAsia="仿宋" w:cs="仿宋"/>
          <w:b w:val="0"/>
          <w:bCs w:val="0"/>
          <w:color w:val="auto"/>
          <w:sz w:val="32"/>
          <w:szCs w:val="32"/>
          <w:lang w:val="en-US" w:eastAsia="zh-CN"/>
        </w:rPr>
        <w:t>出台《隆回县纪检监察信访举报工作考评办法》，对“三多”疑难信访问题、扶贫领域未办结或案结未息访的信访件进行全面清理，通过挂牌督办、直查直办、县纪委监委班子和乡镇党委班子“双包案”机制，集中时间、力量打攻坚战，</w:t>
      </w:r>
      <w:r>
        <w:rPr>
          <w:rFonts w:hint="eastAsia" w:ascii="仿宋" w:hAnsi="仿宋" w:eastAsia="仿宋" w:cs="仿宋"/>
          <w:b w:val="0"/>
          <w:bCs w:val="0"/>
          <w:color w:val="auto"/>
          <w:sz w:val="32"/>
          <w:szCs w:val="32"/>
          <w:u w:val="none"/>
          <w:lang w:val="en-US" w:eastAsia="zh-CN"/>
        </w:rPr>
        <w:t>有效化解疑难信访积案27件，</w:t>
      </w:r>
      <w:r>
        <w:rPr>
          <w:rFonts w:hint="eastAsia" w:ascii="仿宋" w:hAnsi="仿宋" w:eastAsia="仿宋" w:cs="仿宋"/>
          <w:b w:val="0"/>
          <w:bCs w:val="0"/>
          <w:color w:val="auto"/>
          <w:sz w:val="32"/>
          <w:szCs w:val="32"/>
          <w:lang w:val="en-US" w:eastAsia="zh-CN"/>
        </w:rPr>
        <w:t>扶贫领域信访问题动态清零。</w:t>
      </w:r>
      <w:r>
        <w:rPr>
          <w:rFonts w:hint="eastAsia" w:ascii="仿宋" w:hAnsi="仿宋" w:eastAsia="仿宋" w:cs="仿宋"/>
          <w:b w:val="0"/>
          <w:bCs w:val="0"/>
          <w:color w:val="auto"/>
          <w:sz w:val="32"/>
          <w:szCs w:val="32"/>
          <w:lang w:eastAsia="zh-CN"/>
        </w:rPr>
        <w:t>二是</w:t>
      </w:r>
      <w:r>
        <w:rPr>
          <w:rFonts w:hint="eastAsia" w:ascii="仿宋" w:hAnsi="仿宋" w:eastAsia="仿宋" w:cs="仿宋"/>
          <w:b w:val="0"/>
          <w:bCs w:val="0"/>
          <w:color w:val="auto"/>
          <w:sz w:val="32"/>
          <w:szCs w:val="32"/>
          <w:lang w:val="en-US" w:eastAsia="zh-CN"/>
        </w:rPr>
        <w:t>组织开展入村联乡督查。聚焦群众身边的“微腐败”，整合委机关、派驻纪检监察组、县委巡察办（组）力量，安排25个组开展入村联乡督查和“回头看”，一人一村、既督又战，实现贫困村督查全覆盖，共受理群众意见、建议、诉求369个，现场解决267个，发现问题125个，整改解决到位109个。针对督查发现的</w:t>
      </w:r>
      <w:r>
        <w:rPr>
          <w:rFonts w:hint="eastAsia" w:ascii="仿宋" w:hAnsi="仿宋" w:eastAsia="仿宋" w:cs="仿宋"/>
          <w:b w:val="0"/>
          <w:bCs w:val="0"/>
          <w:color w:val="auto"/>
          <w:sz w:val="32"/>
          <w:szCs w:val="32"/>
          <w:lang w:eastAsia="zh-CN"/>
        </w:rPr>
        <w:t>易地扶贫搬迁对象拆旧复垦补助费发放不到位问题，县纪委及时交办、全程跟进，督促县自然资源管理局在规定时间内向738户易地扶贫搬迁户发放拆旧复垦补助资金1299.27万元</w:t>
      </w:r>
      <w:r>
        <w:rPr>
          <w:rFonts w:hint="eastAsia" w:ascii="仿宋" w:hAnsi="仿宋" w:eastAsia="仿宋" w:cs="仿宋"/>
          <w:b w:val="0"/>
          <w:bCs w:val="0"/>
          <w:color w:val="auto"/>
          <w:sz w:val="32"/>
          <w:szCs w:val="32"/>
          <w:lang w:val="en-US" w:eastAsia="zh-CN"/>
        </w:rPr>
        <w:t>。三是探索</w:t>
      </w:r>
      <w:r>
        <w:rPr>
          <w:rFonts w:hint="eastAsia" w:ascii="仿宋" w:hAnsi="仿宋" w:eastAsia="仿宋" w:cs="仿宋"/>
          <w:b w:val="0"/>
          <w:bCs w:val="0"/>
          <w:color w:val="auto"/>
          <w:sz w:val="32"/>
          <w:szCs w:val="32"/>
          <w:lang w:eastAsia="zh-CN"/>
        </w:rPr>
        <w:t>实行扶贫领域监督清单制度。</w:t>
      </w:r>
      <w:r>
        <w:rPr>
          <w:rFonts w:hint="eastAsia" w:ascii="仿宋" w:hAnsi="仿宋" w:eastAsia="仿宋" w:cs="仿宋"/>
          <w:b w:val="0"/>
          <w:bCs w:val="0"/>
          <w:color w:val="auto"/>
          <w:sz w:val="32"/>
          <w:szCs w:val="32"/>
          <w:lang w:val="en-US" w:eastAsia="zh-CN"/>
        </w:rPr>
        <w:t>严格按照中央纪委、省纪委试点要求，积极探索施行扶贫领域清单制监督，深化扶贫领域腐败和作风问题专项治理。出台《隆回县扶贫领域监督清单制度实施办法》等文件，列出4大类37方面20496个具体问题的监督清单，按照“一单五制”抓实问题整改。1-11月，扶贫领域立案189件，追缴资金963.92万元，退还群众资金694.53万元，具体问题整改完成率达99.9%。经验做法被《中国纪检监察报》《湖南纪检监察动态》专题推介，隆回获评全省脱贫攻坚先进县、全省全面建成小康推进工作优秀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sz w:val="32"/>
          <w:szCs w:val="32"/>
          <w:lang w:val="en-US" w:eastAsia="zh-CN"/>
        </w:rPr>
        <w:t>3.坚持不懈纠治“四风”，持续巩固深化作风建设成果。一是严格落实中央八项规定精神和省市“约法三章”。始终保持露头就打的高压态势，先后组织开展元旦、春节、清明、五一、端午、中秋等节假日专项督查20余次，围绕厉行节约、制止餐饮浪费深入各单位食堂开展明察暗访，对各单位尤其是项目指挥部“三公”经费、车辆管理使用、干部作风等情况开展专项监督检查，抓好违建别墅、违规列支有线电视维护费、“爱心阅读卡”等专项整治。</w:t>
      </w:r>
      <w:r>
        <w:rPr>
          <w:rFonts w:hint="eastAsia" w:ascii="仿宋" w:hAnsi="仿宋" w:eastAsia="仿宋" w:cs="仿宋"/>
          <w:b w:val="0"/>
          <w:bCs w:val="0"/>
          <w:color w:val="auto"/>
          <w:sz w:val="32"/>
          <w:szCs w:val="32"/>
          <w:u w:val="none"/>
          <w:lang w:val="en-US" w:eastAsia="zh-CN"/>
        </w:rPr>
        <w:t>1-11月，全县共查处违反中央八项规定精神问题31个，查处人数87人，党纪政务处分18人。严肃查处了县农业综合服务中心、六都寨卫生院工作人员违规打牌问题，对6人先免职后处理。</w:t>
      </w:r>
      <w:r>
        <w:rPr>
          <w:rFonts w:hint="eastAsia" w:ascii="仿宋" w:hAnsi="仿宋" w:eastAsia="仿宋" w:cs="仿宋"/>
          <w:b w:val="0"/>
          <w:bCs w:val="0"/>
          <w:color w:val="auto"/>
          <w:sz w:val="32"/>
          <w:szCs w:val="32"/>
          <w:lang w:val="en-US" w:eastAsia="zh-CN"/>
        </w:rPr>
        <w:t>二是深入整治形式主义、官僚主义突出问题。深入开展“五规五治”专项行动，在全县召开整治形式主义、官僚主义推进会，印发《隆回县深化整治形式主义官僚主义切实减轻基层负担二十条措施》(修订)，细化分解专项整治行动任务。加大对督检考、材料表格报送、村（社区）挂牌、微信工作群建立使用、张贴悬挂标语横幅等方面形式主义官僚主义突出问题清理整治力度，全县微信工作群合并、删减30%以上，查处扶贫领域形式主义、官僚主义典型案件9起。三是大力弘扬干事创业新风正气。</w:t>
      </w:r>
      <w:r>
        <w:rPr>
          <w:rFonts w:hint="eastAsia" w:ascii="仿宋" w:hAnsi="仿宋" w:eastAsia="仿宋" w:cs="仿宋"/>
          <w:b w:val="0"/>
          <w:bCs w:val="0"/>
          <w:color w:val="auto"/>
          <w:kern w:val="2"/>
          <w:sz w:val="32"/>
          <w:szCs w:val="32"/>
          <w:lang w:val="en-US" w:eastAsia="zh-CN" w:bidi="ar-SA"/>
        </w:rPr>
        <w:t>以“三项机制”旗帜鲜明地支持改革者、鼓励干事者、追究诬告者，把干部的心思和精力引导到谋发展兴发展上来。建立“整改免责”机制，对因作风不实、失误等造成工作差错却及时整改到位的免于或者从轻处分35人。健全“澄清正名”机制，对被诬告陷害的党员干部、公职人员以通报、会议等形式澄清正名18人。推行“暖心回访”机制，加大关心关爱力度，对有过错受处分干部进行回访教育疏导13人。</w:t>
      </w:r>
    </w:p>
    <w:p>
      <w:pPr>
        <w:pStyle w:val="2"/>
        <w:keepNext w:val="0"/>
        <w:keepLines w:val="0"/>
        <w:pageBreakBefore w:val="0"/>
        <w:widowControl w:val="0"/>
        <w:kinsoku/>
        <w:wordWrap/>
        <w:topLinePunct w:val="0"/>
        <w:autoSpaceDE/>
        <w:autoSpaceDN/>
        <w:bidi w:val="0"/>
        <w:spacing w:line="580" w:lineRule="exact"/>
        <w:ind w:left="0" w:leftChars="0" w:right="0" w:rightChars="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kern w:val="2"/>
          <w:sz w:val="32"/>
          <w:szCs w:val="32"/>
          <w:lang w:val="en-US" w:eastAsia="zh-CN" w:bidi="ar-SA"/>
        </w:rPr>
        <w:t>4.做实做细监督专责，全面提升监督质量和实效。一</w:t>
      </w:r>
      <w:r>
        <w:rPr>
          <w:rFonts w:hint="eastAsia" w:ascii="仿宋" w:hAnsi="仿宋" w:eastAsia="仿宋" w:cs="仿宋"/>
          <w:b w:val="0"/>
          <w:bCs w:val="0"/>
          <w:color w:val="auto"/>
          <w:sz w:val="32"/>
          <w:szCs w:val="32"/>
          <w:lang w:val="en-US" w:eastAsia="zh-CN"/>
        </w:rPr>
        <w:t>是聚焦重点事项，推行挂牌监督。</w:t>
      </w:r>
      <w:r>
        <w:rPr>
          <w:rFonts w:hint="eastAsia" w:ascii="仿宋" w:hAnsi="仿宋" w:eastAsia="仿宋" w:cs="仿宋"/>
          <w:b w:val="0"/>
          <w:bCs w:val="0"/>
          <w:color w:val="auto"/>
          <w:kern w:val="2"/>
          <w:sz w:val="32"/>
          <w:szCs w:val="32"/>
          <w:lang w:val="en-US" w:eastAsia="zh-CN" w:bidi="ar-SA"/>
        </w:rPr>
        <w:t>出台《隆回县重点事项挂牌监督实施办法》，组建挂牌监督工作组，对9个重点项目或重点工作实行精准监督、全程监督，通过约谈谈话、监察建议、追责问责，推动重点事项“加速跑”。隆回白沙湾大桥和紫霞园大桥建设项目因工程造价问题停工一年之久，挂牌监督工作组进驻后立案审查调查11人，并同步移送公安立案侦查3人，两个项目均于5月上旬开工建设。</w:t>
      </w:r>
      <w:r>
        <w:rPr>
          <w:rFonts w:hint="eastAsia" w:ascii="仿宋" w:hAnsi="仿宋" w:eastAsia="仿宋" w:cs="仿宋"/>
          <w:b w:val="0"/>
          <w:bCs w:val="0"/>
          <w:color w:val="auto"/>
          <w:sz w:val="32"/>
          <w:szCs w:val="32"/>
        </w:rPr>
        <w:t>二</w:t>
      </w:r>
      <w:r>
        <w:rPr>
          <w:rFonts w:hint="eastAsia" w:ascii="仿宋" w:hAnsi="仿宋" w:eastAsia="仿宋" w:cs="仿宋"/>
          <w:b w:val="0"/>
          <w:bCs w:val="0"/>
          <w:color w:val="auto"/>
          <w:sz w:val="32"/>
          <w:szCs w:val="32"/>
          <w:lang w:eastAsia="zh-CN"/>
        </w:rPr>
        <w:t>是打造“智慧纪检”，用好大数据监督</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在“互联网+监督”平台基础上，建设以干部廉政档案、情报线索分析、民生资金监督、巡察派驻监督等八个子系统为支撑的“智慧纪检”平台，形成覆盖全员、立体、实时的纪检大数据体系，提升监督信息化手段。今年5月平台上线运行以来，发现公职人员直系亲属涉嫌违规纳入低保、医疗机构涉嫌套取医保基金、产业奖补资金发放等问题5137个，立案28人，督促开展医保基金专题治理。中央电视台一套、十三套对我县“智慧纪检”工作进行了报道，江苏省响水县、陕西省富平县、岳阳市华容县等10个县到我县考察交流。三是开展“电视问政”，整合监督力量。积极建立党内监督、群众监督和舆论监督相融合的监督平台，联合县电视台开办“纪委喊你来问政—监督面对面”栏目，并增设“整改进行时”“我有话说”两个子栏目，坚持每季度一期，被问政单位“一把手”上台，县四大家班子全程参加。目前共开展8期，问政27个单位，督促整改环境卫生、医保医疗等民生领域问题39个。该项工作获评全市纪检监察系统创新工作一等奖，被市重点推介并初步入选“湖南基层改革100例”。四是建立“监督服务微信群”，加强群众监督。严格按照上级要求，倒排建设工期，到11月底，全县各乡镇（街道）监督服务微信群建群1010个，入群人数350447人，完成率95.3 %，居全市第一。 截至目前，全县通过监督服务微信群对各村近期党务、村务、财务进行了公示公开，并针对群众意见、诉求生成工单37件，已处理到位34件。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5.坚持一体推进“三不”，有力推动政治生态向上向好。</w:t>
      </w:r>
      <w:r>
        <w:rPr>
          <w:rFonts w:hint="eastAsia" w:ascii="仿宋" w:hAnsi="仿宋" w:eastAsia="仿宋" w:cs="仿宋"/>
          <w:b w:val="0"/>
          <w:bCs w:val="0"/>
          <w:color w:val="auto"/>
          <w:sz w:val="32"/>
          <w:szCs w:val="32"/>
        </w:rPr>
        <w:t>一是</w:t>
      </w:r>
      <w:r>
        <w:rPr>
          <w:rFonts w:hint="eastAsia" w:ascii="仿宋" w:hAnsi="仿宋" w:eastAsia="仿宋" w:cs="仿宋"/>
          <w:b w:val="0"/>
          <w:bCs w:val="0"/>
          <w:color w:val="auto"/>
          <w:sz w:val="32"/>
          <w:szCs w:val="32"/>
          <w:lang w:eastAsia="zh-CN"/>
        </w:rPr>
        <w:t>坚定不移惩治腐败</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kern w:val="2"/>
          <w:sz w:val="32"/>
          <w:szCs w:val="32"/>
          <w:lang w:val="en-US" w:eastAsia="zh-CN" w:bidi="ar-SA"/>
        </w:rPr>
        <w:t>突出以违反政治纪律政治规矩、“一把手”违纪违法、基层“微腐败”、涉黑涉恶腐败和“保护伞”等方面为重点加大审查调查力度，减存量、遏增量。1-11月，全县共处置问题线索768件，立案323件，查处科级干部28人，查处“一把手”违纪10人，对2名正科级干部和1名村支部书记采取留置措施，移送检察机关审查起诉6人。严肃查办了县土地房屋征收服务中心原主任李勇、富隆村原党支部书记郭长明等人充当恶势力“保护伞”案件。深入推进工程建设项目招投标突出问题专项整治，从严查处了县城投公司副主任罗晓祥与刘某飞在县城北新区主要道路自来水管材采购项目中围标串标、郭长明伙同钱某等人在桃花廉租房等多个项目中串标等问题。</w:t>
      </w:r>
      <w:r>
        <w:rPr>
          <w:rFonts w:hint="eastAsia" w:ascii="仿宋" w:hAnsi="仿宋" w:eastAsia="仿宋" w:cs="仿宋"/>
          <w:b w:val="0"/>
          <w:bCs w:val="0"/>
          <w:color w:val="auto"/>
          <w:sz w:val="32"/>
          <w:szCs w:val="32"/>
        </w:rPr>
        <w:t>二是</w:t>
      </w:r>
      <w:r>
        <w:rPr>
          <w:rFonts w:hint="eastAsia" w:ascii="仿宋" w:hAnsi="仿宋" w:eastAsia="仿宋" w:cs="仿宋"/>
          <w:b w:val="0"/>
          <w:bCs w:val="0"/>
          <w:color w:val="auto"/>
          <w:sz w:val="32"/>
          <w:szCs w:val="32"/>
          <w:lang w:eastAsia="zh-CN"/>
        </w:rPr>
        <w:t>做深做实以案促改</w:t>
      </w:r>
      <w:r>
        <w:rPr>
          <w:rFonts w:hint="eastAsia" w:ascii="仿宋" w:hAnsi="仿宋" w:eastAsia="仿宋" w:cs="仿宋"/>
          <w:b w:val="0"/>
          <w:bCs w:val="0"/>
          <w:color w:val="auto"/>
          <w:sz w:val="32"/>
          <w:szCs w:val="32"/>
        </w:rPr>
        <w:t>。建立警示教育制度，坚持“一案一警示、一案一剖析、一案一治理”，利用召开警示教育大会、宣布处分决定书、督促发案单位召开专题民主生活会等方式，深刻剖析反思违纪根源，对存在的问题进行整改</w:t>
      </w:r>
      <w:r>
        <w:rPr>
          <w:rFonts w:hint="eastAsia" w:ascii="仿宋" w:hAnsi="仿宋" w:eastAsia="仿宋" w:cs="仿宋"/>
          <w:b w:val="0"/>
          <w:bCs w:val="0"/>
          <w:color w:val="auto"/>
          <w:sz w:val="32"/>
          <w:szCs w:val="32"/>
          <w:lang w:eastAsia="zh-CN"/>
        </w:rPr>
        <w:t>，今年来各级各部门共组织召开警示教育会</w:t>
      </w:r>
      <w:r>
        <w:rPr>
          <w:rFonts w:hint="eastAsia" w:ascii="仿宋" w:hAnsi="仿宋" w:eastAsia="仿宋" w:cs="仿宋"/>
          <w:b w:val="0"/>
          <w:bCs w:val="0"/>
          <w:color w:val="auto"/>
          <w:sz w:val="32"/>
          <w:szCs w:val="32"/>
          <w:lang w:val="en-US" w:eastAsia="zh-CN"/>
        </w:rPr>
        <w:t>323次</w:t>
      </w:r>
      <w:r>
        <w:rPr>
          <w:rFonts w:hint="eastAsia" w:ascii="仿宋" w:hAnsi="仿宋" w:eastAsia="仿宋" w:cs="仿宋"/>
          <w:b w:val="0"/>
          <w:bCs w:val="0"/>
          <w:color w:val="auto"/>
          <w:sz w:val="32"/>
          <w:szCs w:val="32"/>
        </w:rPr>
        <w:t>。将查处的典型案例制作成本土警示教育专题片《背叛》，组织全县所有村级及以上在职党员干部观看。针对案件中暴露出来的问题，印发纪检监察建议书，在</w:t>
      </w:r>
      <w:r>
        <w:rPr>
          <w:rFonts w:hint="eastAsia" w:ascii="仿宋" w:hAnsi="仿宋" w:eastAsia="仿宋" w:cs="仿宋"/>
          <w:b w:val="0"/>
          <w:bCs w:val="0"/>
          <w:color w:val="auto"/>
          <w:sz w:val="32"/>
          <w:szCs w:val="32"/>
          <w:lang w:eastAsia="zh-CN"/>
        </w:rPr>
        <w:t>卫健、医保、国土等</w:t>
      </w:r>
      <w:r>
        <w:rPr>
          <w:rFonts w:hint="eastAsia" w:ascii="仿宋" w:hAnsi="仿宋" w:eastAsia="仿宋" w:cs="仿宋"/>
          <w:b w:val="0"/>
          <w:bCs w:val="0"/>
          <w:color w:val="auto"/>
          <w:kern w:val="0"/>
          <w:sz w:val="32"/>
          <w:szCs w:val="32"/>
        </w:rPr>
        <w:t>行业系统开展专项治理</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以案促改。</w:t>
      </w:r>
      <w:r>
        <w:rPr>
          <w:rFonts w:hint="eastAsia" w:ascii="仿宋" w:hAnsi="仿宋" w:eastAsia="仿宋" w:cs="仿宋"/>
          <w:b w:val="0"/>
          <w:bCs w:val="0"/>
          <w:color w:val="auto"/>
          <w:sz w:val="32"/>
          <w:szCs w:val="32"/>
        </w:rPr>
        <w:t>三是</w:t>
      </w:r>
      <w:r>
        <w:rPr>
          <w:rFonts w:hint="eastAsia" w:ascii="仿宋" w:hAnsi="仿宋" w:eastAsia="仿宋" w:cs="仿宋"/>
          <w:b w:val="0"/>
          <w:bCs w:val="0"/>
          <w:color w:val="auto"/>
          <w:sz w:val="32"/>
          <w:szCs w:val="32"/>
          <w:lang w:eastAsia="zh-CN"/>
        </w:rPr>
        <w:t>抓好“廉洁单位”创建</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将“廉洁单位”创建作为一体推进“三不”的有效载体抓紧抓实，建立县级领导联系指导乡镇（街道）、县直单位创建“廉洁单位”制度，明确创建标准和细则，充分挖掘本土廉政文化资源，立足虎形山花瑶地区文化特色建设“廉洁花瑶”，建立魏源故居廉政文化教育基地，开展“廉洁单位”创建先进单位评比活动，充分运用“智慧纪检”提升创廉实效，全县共有239个单位和572个村（社区）积极参与，崇廉尚廉氛围日渐浓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6.稳步推进巡察全覆盖，充分彰显利剑作用。</w:t>
      </w:r>
      <w:r>
        <w:rPr>
          <w:rFonts w:hint="eastAsia" w:ascii="仿宋" w:hAnsi="仿宋" w:eastAsia="仿宋" w:cs="仿宋"/>
          <w:b w:val="0"/>
          <w:bCs w:val="0"/>
          <w:color w:val="auto"/>
          <w:kern w:val="0"/>
          <w:sz w:val="32"/>
          <w:szCs w:val="32"/>
          <w:lang w:val="en-US" w:eastAsia="zh-CN" w:bidi="ar-SA"/>
        </w:rPr>
        <w:t>一是如期完成全覆盖任务。</w:t>
      </w:r>
      <w:r>
        <w:rPr>
          <w:rFonts w:hint="eastAsia" w:ascii="仿宋" w:hAnsi="仿宋" w:eastAsia="仿宋" w:cs="仿宋"/>
          <w:b w:val="0"/>
          <w:bCs w:val="0"/>
          <w:color w:val="auto"/>
          <w:sz w:val="32"/>
          <w:szCs w:val="32"/>
        </w:rPr>
        <w:t>认真贯彻中央、省委、市委关于巡察工作的部署要求，紧密结合县委巡察工作规划和2020年巡察工作要点，</w:t>
      </w:r>
      <w:r>
        <w:rPr>
          <w:rFonts w:hint="eastAsia" w:ascii="仿宋" w:hAnsi="仿宋" w:eastAsia="仿宋" w:cs="仿宋"/>
          <w:b w:val="0"/>
          <w:bCs w:val="0"/>
          <w:color w:val="auto"/>
          <w:sz w:val="32"/>
          <w:szCs w:val="32"/>
          <w:lang w:val="en-US" w:eastAsia="zh-CN"/>
        </w:rPr>
        <w:t>4月份</w:t>
      </w:r>
      <w:r>
        <w:rPr>
          <w:rFonts w:hint="eastAsia" w:ascii="仿宋" w:hAnsi="仿宋" w:eastAsia="仿宋" w:cs="仿宋"/>
          <w:b w:val="0"/>
          <w:bCs w:val="0"/>
          <w:color w:val="auto"/>
          <w:sz w:val="32"/>
          <w:szCs w:val="32"/>
        </w:rPr>
        <w:t>组建6个巡察组</w:t>
      </w:r>
      <w:r>
        <w:rPr>
          <w:rFonts w:hint="eastAsia" w:ascii="仿宋" w:hAnsi="仿宋" w:eastAsia="仿宋" w:cs="仿宋"/>
          <w:b w:val="0"/>
          <w:bCs w:val="0"/>
          <w:color w:val="auto"/>
          <w:sz w:val="32"/>
          <w:szCs w:val="32"/>
          <w:lang w:eastAsia="zh-CN"/>
        </w:rPr>
        <w:t>（其中</w:t>
      </w:r>
      <w:r>
        <w:rPr>
          <w:rFonts w:hint="eastAsia" w:ascii="仿宋" w:hAnsi="仿宋" w:eastAsia="仿宋" w:cs="仿宋"/>
          <w:b w:val="0"/>
          <w:bCs w:val="0"/>
          <w:color w:val="auto"/>
          <w:sz w:val="32"/>
          <w:szCs w:val="32"/>
          <w:lang w:val="en-US" w:eastAsia="zh-CN"/>
        </w:rPr>
        <w:t>1个巡察组参加市委组织交叉巡察</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，对12</w:t>
      </w:r>
      <w:r>
        <w:rPr>
          <w:rFonts w:hint="eastAsia" w:ascii="仿宋" w:hAnsi="仿宋" w:eastAsia="仿宋" w:cs="仿宋"/>
          <w:b w:val="0"/>
          <w:bCs w:val="0"/>
          <w:color w:val="auto"/>
          <w:sz w:val="32"/>
          <w:szCs w:val="32"/>
          <w:lang w:val="en-US" w:eastAsia="zh-CN"/>
        </w:rPr>
        <w:t>个县管党组织开展第九轮常规巡察,发现问题线索22件40人。9月份组织对15个县管党组织开展第十轮巡察，年内将完成巡察全覆盖。</w:t>
      </w:r>
      <w:r>
        <w:rPr>
          <w:rFonts w:hint="eastAsia" w:ascii="仿宋" w:hAnsi="仿宋" w:eastAsia="仿宋" w:cs="仿宋"/>
          <w:b w:val="0"/>
          <w:bCs w:val="0"/>
          <w:color w:val="auto"/>
          <w:sz w:val="32"/>
          <w:szCs w:val="32"/>
          <w:lang w:eastAsia="zh-CN"/>
        </w:rPr>
        <w:t>二</w:t>
      </w:r>
      <w:r>
        <w:rPr>
          <w:rFonts w:hint="eastAsia" w:ascii="仿宋" w:hAnsi="仿宋" w:eastAsia="仿宋" w:cs="仿宋"/>
          <w:b w:val="0"/>
          <w:bCs w:val="0"/>
          <w:color w:val="auto"/>
          <w:sz w:val="32"/>
          <w:szCs w:val="32"/>
        </w:rPr>
        <w:t>是</w:t>
      </w:r>
      <w:r>
        <w:rPr>
          <w:rFonts w:hint="eastAsia" w:ascii="仿宋" w:hAnsi="仿宋" w:eastAsia="仿宋" w:cs="仿宋"/>
          <w:b w:val="0"/>
          <w:bCs w:val="0"/>
          <w:color w:val="auto"/>
          <w:sz w:val="32"/>
          <w:szCs w:val="32"/>
          <w:lang w:eastAsia="zh-CN"/>
        </w:rPr>
        <w:t>全面推进村级巡察</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在去年对全县572个村居开展村级扶贫专项巡查基础上，县委将村级巡察作为拓展巡察工作的重要举措统一部署，由乡镇党委成立巡察工作领导小组、组建巡察队伍，按照先重点村、后一般村的原则推进村级巡察全覆盖，打通巡察监督“最后一公里”。目前已完成巡察110个村居，正在巡察52个村居，发现各类问题971个，移交问题线索34件，立案18人。三是扎实抓好巡察整改。出台《关于建立健全县委巡察机构与县纪委监委协作配合机制的意见》，完善巡察成果运用协作、巡察整改监督等机制。积极推动巡察信息化建设，成立巡察信息中心，在“智慧纪检”平台中开发“巡察监督”模块，加强对巡察整改的科技监督。目前，第八轮巡察的8个单位按要求上报了巡察整改方案并落实整改责任，发现问题188个，已整改到位180个；第九轮巡察的12个单位上报了巡察整改方案。省委巡视办10月12日至19日到我县调研指导，对我县落实巡察主体责任、推进村级巡察等做法给予充分肯定。</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pPr>
      <w:r>
        <w:rPr>
          <w:rFonts w:hint="eastAsia" w:ascii="仿宋" w:hAnsi="仿宋" w:eastAsia="仿宋" w:cs="仿宋"/>
          <w:b w:val="0"/>
          <w:bCs w:val="0"/>
          <w:color w:val="auto"/>
          <w:kern w:val="2"/>
          <w:sz w:val="32"/>
          <w:szCs w:val="32"/>
          <w:lang w:val="en-US" w:eastAsia="zh-CN" w:bidi="ar-SA"/>
        </w:rPr>
        <w:t>7.深入开展“重讲强”建设年活动，建设高素质专业化干部队伍。</w:t>
      </w:r>
      <w:r>
        <w:rPr>
          <w:rFonts w:hint="eastAsia" w:ascii="仿宋" w:hAnsi="仿宋" w:eastAsia="仿宋" w:cs="仿宋"/>
          <w:b w:val="0"/>
          <w:bCs w:val="0"/>
          <w:color w:val="auto"/>
          <w:sz w:val="32"/>
          <w:szCs w:val="32"/>
          <w:lang w:val="en-US" w:eastAsia="zh-CN"/>
        </w:rPr>
        <w:t>一是持续深化纪检监察体制改革。</w:t>
      </w:r>
      <w:r>
        <w:rPr>
          <w:rFonts w:hint="eastAsia" w:ascii="仿宋" w:hAnsi="仿宋" w:eastAsia="仿宋" w:cs="仿宋"/>
          <w:b w:val="0"/>
          <w:bCs w:val="0"/>
          <w:color w:val="auto"/>
          <w:sz w:val="32"/>
          <w:szCs w:val="32"/>
          <w:lang w:eastAsia="zh-CN"/>
        </w:rPr>
        <w:t>印发深化派驻机构改革和向乡镇派出监察办公室实施方案，进一步明确派驻机构领导体制、职能职责和工作程序，完成乡镇（街道）派出监察办公室挂牌，赋予派驻机构和乡镇监察办公室监察职能。推进双重领导体制具体化程序化制度化，进一步规范乡镇纪委副书记兼监察办副主任任免职办理工作程序。建立健全与公安、法院、检察等执法机关信息沟通、线索移交、成果共享等工作机制</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eastAsia="zh-CN"/>
        </w:rPr>
        <w:t>二</w:t>
      </w:r>
      <w:r>
        <w:rPr>
          <w:rFonts w:hint="eastAsia" w:ascii="仿宋" w:hAnsi="仿宋" w:eastAsia="仿宋" w:cs="仿宋"/>
          <w:b w:val="0"/>
          <w:bCs w:val="0"/>
          <w:color w:val="auto"/>
          <w:sz w:val="32"/>
          <w:szCs w:val="32"/>
          <w:lang w:val="en-US" w:eastAsia="zh-CN"/>
        </w:rPr>
        <w:t>是切实增强队伍履职能力。开展</w:t>
      </w:r>
      <w:r>
        <w:rPr>
          <w:rFonts w:hint="eastAsia" w:ascii="仿宋" w:hAnsi="仿宋" w:eastAsia="仿宋" w:cs="仿宋"/>
          <w:b w:val="0"/>
          <w:bCs w:val="0"/>
          <w:color w:val="auto"/>
          <w:kern w:val="2"/>
          <w:sz w:val="32"/>
          <w:szCs w:val="32"/>
        </w:rPr>
        <w:t>“廉政讲堂”</w:t>
      </w:r>
      <w:r>
        <w:rPr>
          <w:rFonts w:hint="eastAsia" w:ascii="仿宋" w:hAnsi="仿宋" w:eastAsia="仿宋" w:cs="仿宋"/>
          <w:b w:val="0"/>
          <w:bCs w:val="0"/>
          <w:color w:val="auto"/>
          <w:kern w:val="2"/>
          <w:sz w:val="32"/>
          <w:szCs w:val="32"/>
          <w:lang w:eastAsia="zh-CN"/>
        </w:rPr>
        <w:t>、</w:t>
      </w:r>
      <w:r>
        <w:rPr>
          <w:rFonts w:hint="eastAsia" w:ascii="仿宋" w:hAnsi="仿宋" w:eastAsia="仿宋" w:cs="仿宋"/>
          <w:b w:val="0"/>
          <w:bCs w:val="0"/>
          <w:color w:val="auto"/>
          <w:sz w:val="32"/>
          <w:szCs w:val="32"/>
          <w:lang w:val="en-US" w:eastAsia="zh-CN"/>
        </w:rPr>
        <w:t>清风读书社等活动，举办审理业务培训班、全县纪检监察干部培训班、县直单位纪检监察业务培训班、办信办访能力专题提升班等，</w:t>
      </w:r>
      <w:r>
        <w:rPr>
          <w:rFonts w:hint="eastAsia" w:ascii="仿宋" w:hAnsi="仿宋" w:eastAsia="仿宋" w:cs="仿宋"/>
          <w:b w:val="0"/>
          <w:bCs w:val="0"/>
          <w:color w:val="auto"/>
          <w:kern w:val="2"/>
          <w:sz w:val="32"/>
          <w:szCs w:val="32"/>
          <w:lang w:val="en-US" w:eastAsia="zh-CN" w:bidi="ar-SA"/>
        </w:rPr>
        <w:t>组织开展文字综合技能练兵比武，</w:t>
      </w:r>
      <w:r>
        <w:rPr>
          <w:rFonts w:hint="eastAsia" w:ascii="仿宋" w:hAnsi="仿宋" w:eastAsia="仿宋" w:cs="仿宋"/>
          <w:b w:val="0"/>
          <w:bCs w:val="0"/>
          <w:color w:val="auto"/>
          <w:sz w:val="32"/>
          <w:szCs w:val="32"/>
          <w:lang w:val="en-US" w:eastAsia="zh-CN"/>
        </w:rPr>
        <w:t>择优选取19名县直单位纪检监察干部到委机关实战锻炼，全面提升队伍业务水平。《</w:t>
      </w:r>
      <w:r>
        <w:rPr>
          <w:rFonts w:hint="eastAsia" w:ascii="仿宋" w:hAnsi="仿宋" w:eastAsia="仿宋" w:cs="仿宋"/>
          <w:b w:val="0"/>
          <w:bCs w:val="0"/>
          <w:color w:val="auto"/>
          <w:sz w:val="32"/>
          <w:szCs w:val="32"/>
          <w:lang w:eastAsia="zh-CN"/>
        </w:rPr>
        <w:t>“清风书社”助推学习走深走实》《“三个结合”全链条淬炼本领》等经验做法被市纪检监察动态刊发推介。</w:t>
      </w:r>
      <w:r>
        <w:rPr>
          <w:rFonts w:hint="eastAsia" w:ascii="仿宋" w:hAnsi="仿宋" w:eastAsia="仿宋" w:cs="仿宋"/>
          <w:b w:val="0"/>
          <w:bCs w:val="0"/>
          <w:color w:val="auto"/>
          <w:sz w:val="32"/>
          <w:szCs w:val="32"/>
          <w:lang w:val="en-US" w:eastAsia="zh-CN"/>
        </w:rPr>
        <w:t>三是全面提升基层案件质量。将提升案件质量作为做实“重讲强”活动有效举措，开展“案件质量提升年”活动，出台《隆回县乡镇（街道）纪检监察案件审理办法（试行）》，建立片区联审初查、分类协审再查、专项评审回查机制，组织对198件案件进行质量评查，对40件重点案件开展“回头看”，对2019年以来处分决定执行情况全面检查，将发现的问题以清单的方式及时反馈，印发整改意见，评选出全县“十大精品案件”和十个“案件质量优秀集体”。“‘三审三查’提升基层办案质量”的经验做法被《湖南纪检监察动态》刊发推介。四是从严加强内部监督管理。进一步完善内控机制，修订委机关内务管理制度，出台纪检监察干部出县报备等制度。突出正向激励，印发《关于进一步激励全县纪检监察干部新时代新担当新作为的七条措施》，评选“特别贡献奖”5人。加强绩效考核，实行差异化管理，制定《2020年度隆回县纪委监委重点工作绩效考核评估方案》《2020年度隆回县乡镇（街道）纪（工）委和县直机关单位纪（工）委履职情况考核办法》。强化外部监督，选聘11名特约监察员，出台工作办法。加强机关作风建设，严格执行内部差错通报曝光制度，印发内部通报10期。保持刀刃向内，立案查处纪检监察干部2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（三）部门整体支出情况</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lang w:val="en-US"/>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年全年</w:t>
      </w:r>
      <w:r>
        <w:rPr>
          <w:rFonts w:hint="eastAsia" w:ascii="仿宋" w:hAnsi="仿宋" w:eastAsia="仿宋" w:cs="仿宋"/>
          <w:b w:val="0"/>
          <w:bCs/>
          <w:color w:val="000000"/>
          <w:sz w:val="32"/>
          <w:szCs w:val="32"/>
        </w:rPr>
        <w:t>财务总支出</w:t>
      </w:r>
      <w:r>
        <w:rPr>
          <w:rFonts w:hint="eastAsia" w:ascii="仿宋" w:hAnsi="仿宋" w:eastAsia="仿宋" w:cs="仿宋"/>
          <w:b w:val="0"/>
          <w:bCs/>
          <w:color w:val="000000"/>
          <w:sz w:val="32"/>
          <w:szCs w:val="32"/>
          <w:lang w:val="en-US" w:eastAsia="zh-CN"/>
        </w:rPr>
        <w:t>3360.42</w:t>
      </w:r>
      <w:r>
        <w:rPr>
          <w:rFonts w:hint="eastAsia" w:ascii="仿宋" w:hAnsi="仿宋" w:eastAsia="仿宋" w:cs="仿宋"/>
          <w:color w:val="000000"/>
          <w:sz w:val="32"/>
          <w:szCs w:val="32"/>
        </w:rPr>
        <w:t>万</w:t>
      </w:r>
      <w:r>
        <w:rPr>
          <w:rFonts w:hint="eastAsia" w:ascii="仿宋" w:hAnsi="仿宋" w:eastAsia="仿宋" w:cs="仿宋"/>
          <w:b w:val="0"/>
          <w:bCs/>
          <w:color w:val="000000"/>
          <w:sz w:val="32"/>
          <w:szCs w:val="32"/>
        </w:rPr>
        <w:t>元</w:t>
      </w:r>
      <w:r>
        <w:rPr>
          <w:rFonts w:hint="eastAsia" w:ascii="仿宋" w:hAnsi="仿宋" w:eastAsia="仿宋" w:cs="仿宋"/>
          <w:color w:val="000000"/>
          <w:sz w:val="32"/>
          <w:szCs w:val="32"/>
          <w:lang w:val="en-US" w:eastAsia="zh-CN"/>
        </w:rPr>
        <w:t>,其中基本支出2560.42万元，项目支出800万元。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（一）基本支出情况</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eastAsia="仿宋_GB2312"/>
          <w:lang w:val="en-US" w:eastAsia="zh-CN"/>
        </w:rPr>
      </w:pPr>
      <w:r>
        <w:rPr>
          <w:rFonts w:hint="eastAsia" w:eastAsia="仿宋_GB2312"/>
          <w:sz w:val="32"/>
          <w:szCs w:val="32"/>
          <w:lang w:val="en-US" w:eastAsia="zh-CN"/>
        </w:rPr>
        <w:t>2020年基本支出2047.33万元，其中人员经费1506.03万元，公用经费541.31万元。</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项目支出情况</w:t>
      </w:r>
    </w:p>
    <w:p>
      <w:pPr>
        <w:pStyle w:val="2"/>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lang w:val="en-US" w:eastAsia="zh-CN"/>
        </w:rPr>
      </w:pPr>
      <w:r>
        <w:rPr>
          <w:rFonts w:hint="eastAsia" w:ascii="仿宋" w:hAnsi="仿宋" w:eastAsia="仿宋" w:cs="仿宋"/>
          <w:lang w:val="en-US" w:eastAsia="zh-CN"/>
        </w:rPr>
        <w:t>2020年项目预算800万元，实际支出646.93万元（因年底有2个专案组和巡察办没有及时报账，故出现账面结余。）主要用于2020年大案要案和村级巡察、常规政治巡察等支出。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（三）</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sz w:val="32"/>
          <w:szCs w:val="32"/>
          <w:lang w:val="en-US" w:eastAsia="zh-CN"/>
        </w:rPr>
      </w:pPr>
      <w:r>
        <w:rPr>
          <w:rFonts w:eastAsia="仿宋_GB2312"/>
          <w:sz w:val="32"/>
          <w:szCs w:val="32"/>
        </w:rPr>
        <w:t xml:space="preserve"> 1</w:t>
      </w:r>
      <w:r>
        <w:rPr>
          <w:rFonts w:hint="eastAsia" w:eastAsia="仿宋_GB2312"/>
          <w:sz w:val="32"/>
          <w:szCs w:val="32"/>
        </w:rPr>
        <w:t>．因公出国（境）费用</w:t>
      </w:r>
      <w:r>
        <w:rPr>
          <w:rFonts w:hint="eastAsia" w:eastAsia="仿宋_GB2312"/>
          <w:sz w:val="32"/>
          <w:szCs w:val="32"/>
          <w:lang w:eastAsia="zh-CN"/>
        </w:rPr>
        <w:t>：</w:t>
      </w:r>
      <w:r>
        <w:rPr>
          <w:rFonts w:hint="eastAsia" w:eastAsia="仿宋_GB2312"/>
          <w:sz w:val="32"/>
          <w:szCs w:val="32"/>
          <w:lang w:val="en-US" w:eastAsia="zh-CN"/>
        </w:rPr>
        <w:t>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sz w:val="32"/>
          <w:szCs w:val="32"/>
          <w:lang w:val="en-US" w:eastAsia="zh-CN"/>
        </w:rPr>
      </w:pPr>
      <w:r>
        <w:rPr>
          <w:rFonts w:eastAsia="仿宋_GB2312"/>
          <w:sz w:val="32"/>
          <w:szCs w:val="32"/>
        </w:rPr>
        <w:t xml:space="preserve"> 2</w:t>
      </w:r>
      <w:r>
        <w:rPr>
          <w:rFonts w:hint="eastAsia" w:eastAsia="仿宋_GB2312"/>
          <w:sz w:val="32"/>
          <w:szCs w:val="32"/>
        </w:rPr>
        <w:t>．公务接待费</w:t>
      </w:r>
      <w:r>
        <w:rPr>
          <w:rFonts w:hint="eastAsia" w:eastAsia="仿宋_GB2312"/>
          <w:sz w:val="32"/>
          <w:szCs w:val="32"/>
          <w:lang w:eastAsia="zh-CN"/>
        </w:rPr>
        <w:t>：</w:t>
      </w:r>
      <w:r>
        <w:rPr>
          <w:rFonts w:hint="eastAsia" w:eastAsia="仿宋_GB2312"/>
          <w:sz w:val="32"/>
          <w:szCs w:val="32"/>
          <w:lang w:val="en-US" w:eastAsia="zh-CN"/>
        </w:rPr>
        <w:t>9.90万元。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sz w:val="32"/>
          <w:szCs w:val="32"/>
          <w:lang w:val="en-US" w:eastAsia="zh-CN"/>
        </w:rPr>
      </w:pPr>
      <w:r>
        <w:rPr>
          <w:rFonts w:eastAsia="仿宋_GB2312"/>
          <w:sz w:val="32"/>
          <w:szCs w:val="32"/>
        </w:rPr>
        <w:t xml:space="preserve"> 3</w:t>
      </w:r>
      <w:r>
        <w:rPr>
          <w:rFonts w:hint="eastAsia" w:eastAsia="仿宋_GB2312"/>
          <w:sz w:val="32"/>
          <w:szCs w:val="32"/>
        </w:rPr>
        <w:t>．公务用车购置及运行费</w:t>
      </w:r>
      <w:r>
        <w:rPr>
          <w:rFonts w:hint="eastAsia" w:eastAsia="仿宋_GB2312"/>
          <w:sz w:val="32"/>
          <w:szCs w:val="32"/>
          <w:lang w:eastAsia="zh-CN"/>
        </w:rPr>
        <w:t>：</w:t>
      </w:r>
      <w:r>
        <w:rPr>
          <w:rFonts w:hint="eastAsia" w:eastAsia="仿宋_GB2312"/>
          <w:sz w:val="32"/>
          <w:szCs w:val="32"/>
          <w:lang w:val="en-US" w:eastAsia="zh-CN"/>
        </w:rPr>
        <w:t>8.93万元。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三、部门整体支出绩效情况</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ascii="仿宋" w:hAnsi="仿宋" w:eastAsia="仿宋" w:cs="仿宋"/>
          <w:sz w:val="32"/>
          <w:szCs w:val="32"/>
          <w:lang w:val="en-US" w:eastAsia="zh-CN"/>
        </w:rPr>
        <w:t>2020年整体支出绩效目标一是</w:t>
      </w:r>
      <w:r>
        <w:rPr>
          <w:rStyle w:val="10"/>
          <w:rFonts w:hint="eastAsia" w:ascii="仿宋" w:hAnsi="仿宋" w:eastAsia="仿宋" w:cs="仿宋"/>
          <w:sz w:val="32"/>
          <w:szCs w:val="32"/>
          <w:lang w:val="en-US" w:eastAsia="zh-CN" w:bidi="ar"/>
        </w:rPr>
        <w:t>抓实抓细政治监督，“两个维护”有力落实。二是精准发力日常监督，充分彰显监督效能。三是持续加强审查调查，明显改善政治生态。四是</w:t>
      </w:r>
      <w:r>
        <w:rPr>
          <w:rFonts w:hint="eastAsia" w:ascii="仿宋" w:hAnsi="仿宋" w:eastAsia="仿宋" w:cs="仿宋"/>
          <w:i w:val="0"/>
          <w:color w:val="000000"/>
          <w:kern w:val="0"/>
          <w:sz w:val="32"/>
          <w:szCs w:val="32"/>
          <w:u w:val="none"/>
          <w:lang w:val="en-US" w:eastAsia="zh-CN" w:bidi="ar"/>
        </w:rPr>
        <w:t>不断深入专项治理，稳步提升群众获得感。五是巩固深化政治巡察，做好“后半篇”文章。六是加强财务管理，资产管理，维护资金的安全和完善，防止资产的流失。在这样的目标指引下，县纪委监委各项工作在全市纪检系统名列前茅，各项工作都取得了好成绩。2020年，始终保持昂扬的斗志和奋发向上的精神风貌，忠诚履行党章和宪法</w:t>
      </w:r>
      <w:bookmarkStart w:id="0" w:name="_GoBack"/>
      <w:bookmarkEnd w:id="0"/>
      <w:r>
        <w:rPr>
          <w:rFonts w:hint="eastAsia" w:ascii="仿宋" w:hAnsi="仿宋" w:eastAsia="仿宋" w:cs="仿宋"/>
          <w:i w:val="0"/>
          <w:color w:val="000000"/>
          <w:kern w:val="0"/>
          <w:sz w:val="32"/>
          <w:szCs w:val="32"/>
          <w:u w:val="none"/>
          <w:lang w:val="en-US" w:eastAsia="zh-CN" w:bidi="ar"/>
        </w:rPr>
        <w:t>赋予的职责，不松劲、不停步、再出发。全县党员干部政治自觉明显增强，巡视巡察利剑作用进一步彰显，审查调查强势发力，监督质效不断提升，专项整治深入推进，作风建设向好发展，政治生态展现新气象。</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存在的问题</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1.在部门整体支出的资金安排和使用上有不可预见性，在科学设置预算绩效指标上还需进一步加强，使之更贴合纪检监察工作的实际。</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2.履职时在经济效益和社会效益实现上还有待提升。</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pPr>
      <w:r>
        <w:rPr>
          <w:rFonts w:hint="eastAsia" w:ascii="仿宋" w:hAnsi="仿宋" w:eastAsia="仿宋" w:cs="仿宋"/>
          <w:sz w:val="32"/>
          <w:szCs w:val="32"/>
        </w:rPr>
        <w:t>3.资产管理水平有待增强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五、改进措施和有关建议</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改进措施</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1.完善评价指标体系，科学设置预算绩效指标。</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2.注重经济效益与社会效益相结合。</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3.积极采取措施，加强资产管理业务的学习，增强对资产的有效管理。</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（二）建议</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县财政继续加大对执纪监督、审查的支持力度，增加大案要案的办案经费、充分保障巡察工作经费等。</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经费预算足额编制。</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建议加强新《预算法》、《政府会计制度》等的学习培训。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p>
    <w:p/>
    <w:p/>
    <w:p/>
    <w:sectPr>
      <w:headerReference r:id="rId3" w:type="default"/>
      <w:footerReference r:id="rId4" w:type="default"/>
      <w:footerReference r:id="rId5" w:type="even"/>
      <w:pgSz w:w="11905" w:h="16837"/>
      <w:pgMar w:top="1418" w:right="1588" w:bottom="1418" w:left="1588" w:header="720" w:footer="1701"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楷体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8"/>
        <w:szCs w:val="28"/>
      </w:rPr>
    </w:pPr>
    <w:r>
      <w:rPr>
        <w:rStyle w:val="9"/>
        <w:rFonts w:hint="eastAsia" w:cs="宋体"/>
      </w:rPr>
      <w:t>—</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4</w:t>
    </w:r>
    <w:r>
      <w:rPr>
        <w:sz w:val="28"/>
        <w:szCs w:val="28"/>
      </w:rPr>
      <w:fldChar w:fldCharType="end"/>
    </w:r>
    <w:r>
      <w:rPr>
        <w:rStyle w:val="9"/>
        <w:rFonts w:hint="eastAsia" w:cs="宋体"/>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DAF5AE"/>
    <w:multiLevelType w:val="singleLevel"/>
    <w:tmpl w:val="D1DAF5AE"/>
    <w:lvl w:ilvl="0" w:tentative="0">
      <w:start w:val="5"/>
      <w:numFmt w:val="chineseCounting"/>
      <w:suff w:val="nothing"/>
      <w:lvlText w:val="%1、"/>
      <w:lvlJc w:val="left"/>
      <w:rPr>
        <w:rFonts w:hint="eastAsia"/>
      </w:rPr>
    </w:lvl>
  </w:abstractNum>
  <w:abstractNum w:abstractNumId="1">
    <w:nsid w:val="EE2FB46E"/>
    <w:multiLevelType w:val="singleLevel"/>
    <w:tmpl w:val="EE2FB46E"/>
    <w:lvl w:ilvl="0" w:tentative="0">
      <w:start w:val="2"/>
      <w:numFmt w:val="chineseCounting"/>
      <w:suff w:val="nothing"/>
      <w:lvlText w:val="（%1）"/>
      <w:lvlJc w:val="left"/>
      <w:rPr>
        <w:rFonts w:hint="eastAsia"/>
      </w:rPr>
    </w:lvl>
  </w:abstractNum>
  <w:abstractNum w:abstractNumId="2">
    <w:nsid w:val="3CAF31C5"/>
    <w:multiLevelType w:val="singleLevel"/>
    <w:tmpl w:val="3CAF31C5"/>
    <w:lvl w:ilvl="0" w:tentative="0">
      <w:start w:val="4"/>
      <w:numFmt w:val="chineseCounting"/>
      <w:suff w:val="nothing"/>
      <w:lvlText w:val="%1、"/>
      <w:lvlJc w:val="left"/>
      <w:rPr>
        <w:rFonts w:hint="eastAsia"/>
      </w:rPr>
    </w:lvl>
  </w:abstractNum>
  <w:abstractNum w:abstractNumId="3">
    <w:nsid w:val="5E8EBDC3"/>
    <w:multiLevelType w:val="singleLevel"/>
    <w:tmpl w:val="5E8EBDC3"/>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538B0"/>
    <w:rsid w:val="0358751E"/>
    <w:rsid w:val="13113C31"/>
    <w:rsid w:val="18D538B0"/>
    <w:rsid w:val="2483632E"/>
    <w:rsid w:val="49201968"/>
    <w:rsid w:val="52756485"/>
    <w:rsid w:val="5F951CC4"/>
    <w:rsid w:val="635B32B1"/>
    <w:rsid w:val="661827D4"/>
    <w:rsid w:val="78853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font01"/>
    <w:basedOn w:val="8"/>
    <w:uiPriority w:val="0"/>
    <w:rPr>
      <w:rFonts w:hint="eastAsia" w:ascii="宋体" w:hAnsi="宋体" w:eastAsia="宋体" w:cs="宋体"/>
      <w:color w:val="000000"/>
      <w:sz w:val="21"/>
      <w:szCs w:val="21"/>
      <w:u w:val="none"/>
    </w:rPr>
  </w:style>
  <w:style w:type="character" w:customStyle="1" w:styleId="11">
    <w:name w:val="font11"/>
    <w:basedOn w:val="8"/>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Administrator</cp:lastModifiedBy>
  <dcterms:modified xsi:type="dcterms:W3CDTF">2021-04-25T09:43:47Z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FC4AD5B48165493FADE0A0374E14E380</vt:lpwstr>
  </property>
</Properties>
</file>