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附件3</w:t>
      </w:r>
    </w:p>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2"/>
        <w:ind w:left="0" w:leftChars="0" w:firstLine="0" w:firstLine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(盖章）:隆回县金石桥镇人民政府</w:t>
      </w:r>
    </w:p>
    <w:tbl>
      <w:tblPr>
        <w:tblStyle w:val="1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131"/>
        <w:gridCol w:w="846"/>
        <w:gridCol w:w="354"/>
        <w:gridCol w:w="1125"/>
        <w:gridCol w:w="80"/>
        <w:gridCol w:w="995"/>
        <w:gridCol w:w="71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exact"/>
          <w:jc w:val="center"/>
        </w:trPr>
        <w:tc>
          <w:tcPr>
            <w:tcW w:w="533" w:type="dxa"/>
            <w:vMerge w:val="restart"/>
            <w:noWrap w:val="0"/>
            <w:vAlign w:val="center"/>
          </w:tcPr>
          <w:p>
            <w:pPr>
              <w:widowControl/>
              <w:jc w:val="left"/>
              <w:rPr>
                <w:rFonts w:hint="eastAsia" w:ascii="仿宋" w:hAnsi="仿宋" w:eastAsia="仿宋" w:cs="仿宋"/>
                <w:szCs w:val="21"/>
              </w:rPr>
            </w:pPr>
            <w:r>
              <w:rPr>
                <w:rFonts w:hint="eastAsia" w:ascii="仿宋" w:hAnsi="仿宋" w:eastAsia="仿宋" w:cs="仿宋"/>
                <w:szCs w:val="21"/>
              </w:rPr>
              <w:t>基本情况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编制人数</w:t>
            </w:r>
          </w:p>
        </w:tc>
        <w:tc>
          <w:tcPr>
            <w:tcW w:w="2977" w:type="dxa"/>
            <w:gridSpan w:val="2"/>
            <w:noWrap w:val="0"/>
            <w:vAlign w:val="top"/>
          </w:tcPr>
          <w:p>
            <w:pPr>
              <w:spacing w:line="240" w:lineRule="auto"/>
              <w:ind w:firstLine="105" w:firstLine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136</w:t>
            </w:r>
          </w:p>
        </w:tc>
        <w:tc>
          <w:tcPr>
            <w:tcW w:w="1559" w:type="dxa"/>
            <w:gridSpan w:val="3"/>
            <w:noWrap w:val="0"/>
            <w:vAlign w:val="center"/>
          </w:tcPr>
          <w:p>
            <w:pPr>
              <w:ind w:firstLine="105" w:firstLineChars="50"/>
              <w:jc w:val="center"/>
              <w:rPr>
                <w:rFonts w:hint="eastAsia" w:ascii="仿宋" w:hAnsi="仿宋" w:eastAsia="仿宋" w:cs="仿宋"/>
                <w:szCs w:val="21"/>
              </w:rPr>
            </w:pPr>
            <w:r>
              <w:rPr>
                <w:rFonts w:hint="eastAsia" w:ascii="仿宋" w:hAnsi="仿宋" w:eastAsia="仿宋" w:cs="仿宋"/>
                <w:szCs w:val="21"/>
              </w:rPr>
              <w:t>实有人数</w:t>
            </w:r>
          </w:p>
        </w:tc>
        <w:tc>
          <w:tcPr>
            <w:tcW w:w="2763" w:type="dxa"/>
            <w:gridSpan w:val="3"/>
            <w:noWrap w:val="0"/>
            <w:vAlign w:val="top"/>
          </w:tcPr>
          <w:p>
            <w:pPr>
              <w:spacing w:line="240" w:lineRule="auto"/>
              <w:ind w:firstLine="105" w:firstLine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部门职能概述</w:t>
            </w:r>
          </w:p>
        </w:tc>
        <w:tc>
          <w:tcPr>
            <w:tcW w:w="7299" w:type="dxa"/>
            <w:gridSpan w:val="8"/>
            <w:noWrap w:val="0"/>
            <w:vAlign w:val="top"/>
          </w:tcPr>
          <w:p>
            <w:pPr>
              <w:ind w:firstLine="360" w:firstLineChars="200"/>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金石桥</w:t>
            </w:r>
            <w:r>
              <w:rPr>
                <w:rFonts w:hint="eastAsia" w:ascii="仿宋" w:hAnsi="仿宋" w:eastAsia="仿宋" w:cs="仿宋"/>
                <w:sz w:val="18"/>
                <w:szCs w:val="18"/>
                <w:lang w:eastAsia="zh-CN"/>
              </w:rPr>
              <w:t>镇人民政府机关及部门设机构如下：镇党委、人大、政府、政协、财政所，行政综合执法大队，社会事务服务中心，农业综合服务中心，政务服务中心，退役军人服务站。</w:t>
            </w:r>
          </w:p>
          <w:p>
            <w:pPr>
              <w:ind w:firstLine="360" w:firstLineChars="200"/>
              <w:jc w:val="left"/>
              <w:rPr>
                <w:rFonts w:hint="eastAsia" w:ascii="仿宋" w:hAnsi="仿宋" w:eastAsia="仿宋" w:cs="仿宋"/>
                <w:szCs w:val="21"/>
              </w:rPr>
            </w:pPr>
            <w:r>
              <w:rPr>
                <w:rFonts w:hint="eastAsia" w:ascii="仿宋" w:hAnsi="仿宋" w:eastAsia="仿宋" w:cs="仿宋"/>
                <w:sz w:val="18"/>
                <w:szCs w:val="18"/>
                <w:lang w:eastAsia="zh-CN"/>
              </w:rPr>
              <w:t>主要职能职责是：（一）宣传和贯彻执行党的路线方针政策和法律法规；（二）落实基层管党治党工作责任制；（三）规范经济管理，组织指导经济发展和经济结构调整；（四）加强社会管理和基础设施建设，创造良好环境。（五）抓好精神文明建设，丰富群众文化生活，提倡移风易俗，反对封建迷信，破除陈规陋习，树立社会主义新风尚。（六）加强综合治理，维护社会稳定。（七）按照管理权限，负责机关和事业单位工作人员的教育、培养、选拔和监督工作。协助管理好派驻单位人员。（八）依法依规承担下放的经济社会管理权限和行政执法事项。（九）完成县委、县政府交办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年度收入（万元）</w:t>
            </w:r>
          </w:p>
        </w:tc>
        <w:tc>
          <w:tcPr>
            <w:tcW w:w="2131" w:type="dxa"/>
            <w:noWrap w:val="0"/>
            <w:vAlign w:val="center"/>
          </w:tcPr>
          <w:p>
            <w:pPr>
              <w:jc w:val="center"/>
              <w:rPr>
                <w:rFonts w:hint="eastAsia" w:ascii="仿宋" w:hAnsi="仿宋" w:eastAsia="仿宋" w:cs="仿宋"/>
                <w:szCs w:val="21"/>
              </w:rPr>
            </w:pPr>
            <w:r>
              <w:rPr>
                <w:rFonts w:hint="eastAsia" w:ascii="仿宋" w:hAnsi="仿宋" w:eastAsia="仿宋" w:cs="仿宋"/>
                <w:szCs w:val="21"/>
              </w:rPr>
              <w:t>县财政预算安排</w:t>
            </w:r>
          </w:p>
        </w:tc>
        <w:tc>
          <w:tcPr>
            <w:tcW w:w="1200"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3222.87</w:t>
            </w:r>
          </w:p>
        </w:tc>
        <w:tc>
          <w:tcPr>
            <w:tcW w:w="1125" w:type="dxa"/>
            <w:noWrap w:val="0"/>
            <w:vAlign w:val="center"/>
          </w:tcPr>
          <w:p>
            <w:pPr>
              <w:spacing w:line="240" w:lineRule="auto"/>
              <w:jc w:val="center"/>
              <w:rPr>
                <w:rFonts w:hint="eastAsia" w:ascii="仿宋" w:hAnsi="仿宋" w:eastAsia="仿宋" w:cs="仿宋"/>
                <w:szCs w:val="21"/>
              </w:rPr>
            </w:pPr>
            <w:r>
              <w:rPr>
                <w:rFonts w:hint="eastAsia" w:ascii="仿宋" w:hAnsi="仿宋" w:eastAsia="仿宋" w:cs="仿宋"/>
                <w:szCs w:val="21"/>
              </w:rPr>
              <w:t>非税收入</w:t>
            </w:r>
          </w:p>
        </w:tc>
        <w:tc>
          <w:tcPr>
            <w:tcW w:w="1075" w:type="dxa"/>
            <w:gridSpan w:val="2"/>
            <w:noWrap w:val="0"/>
            <w:vAlign w:val="top"/>
          </w:tcPr>
          <w:p>
            <w:pPr>
              <w:spacing w:line="560" w:lineRule="exact"/>
              <w:jc w:val="left"/>
              <w:rPr>
                <w:rFonts w:hint="eastAsia" w:ascii="仿宋" w:hAnsi="仿宋" w:eastAsia="仿宋" w:cs="仿宋"/>
                <w:szCs w:val="21"/>
              </w:rPr>
            </w:pPr>
          </w:p>
        </w:tc>
        <w:tc>
          <w:tcPr>
            <w:tcW w:w="713"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合计</w:t>
            </w:r>
          </w:p>
        </w:tc>
        <w:tc>
          <w:tcPr>
            <w:tcW w:w="1055" w:type="dxa"/>
            <w:vMerge w:val="restart"/>
            <w:noWrap w:val="0"/>
            <w:vAlign w:val="top"/>
          </w:tcPr>
          <w:p>
            <w:pPr>
              <w:spacing w:line="56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3222.87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spacing w:line="240" w:lineRule="atLeast"/>
              <w:jc w:val="center"/>
              <w:rPr>
                <w:rFonts w:hint="eastAsia" w:ascii="仿宋" w:hAnsi="仿宋" w:eastAsia="仿宋" w:cs="仿宋"/>
                <w:szCs w:val="21"/>
              </w:rPr>
            </w:pPr>
          </w:p>
        </w:tc>
        <w:tc>
          <w:tcPr>
            <w:tcW w:w="2131" w:type="dxa"/>
            <w:noWrap w:val="0"/>
            <w:vAlign w:val="center"/>
          </w:tcPr>
          <w:p>
            <w:pPr>
              <w:jc w:val="center"/>
              <w:rPr>
                <w:rFonts w:hint="eastAsia" w:ascii="仿宋" w:hAnsi="仿宋" w:eastAsia="仿宋" w:cs="仿宋"/>
                <w:szCs w:val="21"/>
              </w:rPr>
            </w:pPr>
            <w:r>
              <w:rPr>
                <w:rFonts w:hint="eastAsia" w:ascii="仿宋" w:hAnsi="仿宋" w:eastAsia="仿宋" w:cs="仿宋"/>
                <w:szCs w:val="21"/>
              </w:rPr>
              <w:t>中央省市安排资金</w:t>
            </w:r>
          </w:p>
        </w:tc>
        <w:tc>
          <w:tcPr>
            <w:tcW w:w="1200" w:type="dxa"/>
            <w:gridSpan w:val="2"/>
            <w:noWrap w:val="0"/>
            <w:vAlign w:val="center"/>
          </w:tcPr>
          <w:p>
            <w:pPr>
              <w:jc w:val="center"/>
              <w:rPr>
                <w:rFonts w:hint="eastAsia" w:ascii="仿宋" w:hAnsi="仿宋" w:eastAsia="仿宋" w:cs="仿宋"/>
                <w:szCs w:val="21"/>
              </w:rPr>
            </w:pPr>
          </w:p>
        </w:tc>
        <w:tc>
          <w:tcPr>
            <w:tcW w:w="1125" w:type="dxa"/>
            <w:noWrap w:val="0"/>
            <w:vAlign w:val="center"/>
          </w:tcPr>
          <w:p>
            <w:pPr>
              <w:spacing w:line="240" w:lineRule="auto"/>
              <w:jc w:val="both"/>
              <w:rPr>
                <w:rFonts w:hint="eastAsia" w:ascii="仿宋" w:hAnsi="仿宋" w:eastAsia="仿宋" w:cs="仿宋"/>
                <w:szCs w:val="21"/>
              </w:rPr>
            </w:pPr>
            <w:r>
              <w:rPr>
                <w:rFonts w:hint="eastAsia" w:ascii="仿宋" w:hAnsi="仿宋" w:eastAsia="仿宋" w:cs="仿宋"/>
                <w:szCs w:val="21"/>
              </w:rPr>
              <w:t>其他收入</w:t>
            </w:r>
          </w:p>
        </w:tc>
        <w:tc>
          <w:tcPr>
            <w:tcW w:w="1075" w:type="dxa"/>
            <w:gridSpan w:val="2"/>
            <w:noWrap w:val="0"/>
            <w:vAlign w:val="top"/>
          </w:tcPr>
          <w:p>
            <w:pPr>
              <w:spacing w:line="560" w:lineRule="exact"/>
              <w:jc w:val="left"/>
              <w:rPr>
                <w:rFonts w:hint="eastAsia" w:ascii="仿宋" w:hAnsi="仿宋" w:eastAsia="仿宋" w:cs="仿宋"/>
                <w:szCs w:val="21"/>
              </w:rPr>
            </w:pPr>
          </w:p>
        </w:tc>
        <w:tc>
          <w:tcPr>
            <w:tcW w:w="713" w:type="dxa"/>
            <w:vMerge w:val="continue"/>
            <w:noWrap w:val="0"/>
            <w:vAlign w:val="center"/>
          </w:tcPr>
          <w:p>
            <w:pPr>
              <w:spacing w:line="560" w:lineRule="exact"/>
              <w:jc w:val="center"/>
              <w:rPr>
                <w:rFonts w:hint="eastAsia" w:ascii="仿宋" w:hAnsi="仿宋" w:eastAsia="仿宋" w:cs="仿宋"/>
                <w:szCs w:val="21"/>
              </w:rPr>
            </w:pPr>
          </w:p>
        </w:tc>
        <w:tc>
          <w:tcPr>
            <w:tcW w:w="1055" w:type="dxa"/>
            <w:vMerge w:val="continue"/>
            <w:noWrap w:val="0"/>
            <w:vAlign w:val="top"/>
          </w:tcPr>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年度支出</w:t>
            </w:r>
          </w:p>
          <w:p>
            <w:pPr>
              <w:jc w:val="center"/>
              <w:rPr>
                <w:rFonts w:hint="eastAsia" w:ascii="仿宋" w:hAnsi="仿宋" w:eastAsia="仿宋" w:cs="仿宋"/>
                <w:szCs w:val="21"/>
              </w:rPr>
            </w:pPr>
            <w:r>
              <w:rPr>
                <w:rFonts w:hint="eastAsia" w:ascii="仿宋" w:hAnsi="仿宋" w:eastAsia="仿宋" w:cs="仿宋"/>
                <w:szCs w:val="21"/>
              </w:rPr>
              <w:t>（万元）</w:t>
            </w:r>
          </w:p>
        </w:tc>
        <w:tc>
          <w:tcPr>
            <w:tcW w:w="2131" w:type="dxa"/>
            <w:noWrap w:val="0"/>
            <w:vAlign w:val="center"/>
          </w:tcPr>
          <w:p>
            <w:pPr>
              <w:jc w:val="center"/>
              <w:rPr>
                <w:rFonts w:hint="eastAsia" w:ascii="仿宋" w:hAnsi="仿宋" w:eastAsia="仿宋" w:cs="仿宋"/>
                <w:szCs w:val="21"/>
              </w:rPr>
            </w:pPr>
            <w:r>
              <w:rPr>
                <w:rFonts w:hint="eastAsia" w:ascii="仿宋" w:hAnsi="仿宋" w:eastAsia="仿宋" w:cs="仿宋"/>
                <w:szCs w:val="21"/>
              </w:rPr>
              <w:t>基本支出</w:t>
            </w:r>
          </w:p>
        </w:tc>
        <w:tc>
          <w:tcPr>
            <w:tcW w:w="1200"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2983.37</w:t>
            </w:r>
          </w:p>
        </w:tc>
        <w:tc>
          <w:tcPr>
            <w:tcW w:w="1125"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项目支出</w:t>
            </w:r>
          </w:p>
        </w:tc>
        <w:tc>
          <w:tcPr>
            <w:tcW w:w="1075" w:type="dxa"/>
            <w:gridSpan w:val="2"/>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239.5</w:t>
            </w:r>
          </w:p>
        </w:tc>
        <w:tc>
          <w:tcPr>
            <w:tcW w:w="713"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1055" w:type="dxa"/>
            <w:vMerge w:val="restart"/>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3222.87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jc w:val="center"/>
              <w:rPr>
                <w:rFonts w:hint="eastAsia" w:ascii="仿宋" w:hAnsi="仿宋" w:eastAsia="仿宋" w:cs="仿宋"/>
                <w:szCs w:val="21"/>
              </w:rPr>
            </w:pPr>
          </w:p>
        </w:tc>
        <w:tc>
          <w:tcPr>
            <w:tcW w:w="2131" w:type="dxa"/>
            <w:noWrap w:val="0"/>
            <w:tcMar>
              <w:left w:w="0" w:type="dxa"/>
              <w:right w:w="0" w:type="dxa"/>
            </w:tcMar>
            <w:vAlign w:val="center"/>
          </w:tcPr>
          <w:p>
            <w:pPr>
              <w:jc w:val="center"/>
              <w:rPr>
                <w:rFonts w:hint="eastAsia" w:ascii="仿宋" w:hAnsi="仿宋" w:eastAsia="仿宋" w:cs="仿宋"/>
                <w:szCs w:val="21"/>
              </w:rPr>
            </w:pPr>
            <w:r>
              <w:rPr>
                <w:rFonts w:hint="eastAsia" w:ascii="仿宋" w:hAnsi="仿宋" w:eastAsia="仿宋" w:cs="仿宋"/>
                <w:szCs w:val="21"/>
              </w:rPr>
              <w:t>其中三公经费支出</w:t>
            </w:r>
          </w:p>
        </w:tc>
        <w:tc>
          <w:tcPr>
            <w:tcW w:w="1200"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29.1</w:t>
            </w:r>
          </w:p>
        </w:tc>
        <w:tc>
          <w:tcPr>
            <w:tcW w:w="1125" w:type="dxa"/>
            <w:vMerge w:val="continue"/>
            <w:noWrap w:val="0"/>
            <w:vAlign w:val="top"/>
          </w:tcPr>
          <w:p>
            <w:pPr>
              <w:jc w:val="center"/>
              <w:rPr>
                <w:rFonts w:hint="eastAsia" w:ascii="仿宋" w:hAnsi="仿宋" w:eastAsia="仿宋" w:cs="仿宋"/>
                <w:szCs w:val="21"/>
              </w:rPr>
            </w:pPr>
          </w:p>
        </w:tc>
        <w:tc>
          <w:tcPr>
            <w:tcW w:w="1075" w:type="dxa"/>
            <w:gridSpan w:val="2"/>
            <w:vMerge w:val="continue"/>
            <w:noWrap w:val="0"/>
            <w:vAlign w:val="top"/>
          </w:tcPr>
          <w:p>
            <w:pPr>
              <w:jc w:val="center"/>
              <w:rPr>
                <w:rFonts w:hint="eastAsia" w:ascii="仿宋" w:hAnsi="仿宋" w:eastAsia="仿宋" w:cs="仿宋"/>
                <w:szCs w:val="21"/>
              </w:rPr>
            </w:pPr>
          </w:p>
        </w:tc>
        <w:tc>
          <w:tcPr>
            <w:tcW w:w="713" w:type="dxa"/>
            <w:vMerge w:val="continue"/>
            <w:noWrap w:val="0"/>
            <w:vAlign w:val="center"/>
          </w:tcPr>
          <w:p>
            <w:pPr>
              <w:jc w:val="center"/>
              <w:rPr>
                <w:rFonts w:hint="eastAsia" w:ascii="仿宋" w:hAnsi="仿宋" w:eastAsia="仿宋" w:cs="仿宋"/>
                <w:szCs w:val="21"/>
              </w:rPr>
            </w:pPr>
          </w:p>
        </w:tc>
        <w:tc>
          <w:tcPr>
            <w:tcW w:w="1055" w:type="dxa"/>
            <w:vMerge w:val="continue"/>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533"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实施情况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财政供养人员控制情况</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rPr>
              <w:t>是否存在超编超配人员：   是</w:t>
            </w:r>
            <w:r>
              <w:rPr>
                <w:rFonts w:hint="eastAsia" w:ascii="仿宋" w:hAnsi="仿宋" w:eastAsia="仿宋" w:cs="仿宋"/>
                <w:szCs w:val="21"/>
              </w:rPr>
              <w:sym w:font="Wingdings 2" w:char="00A3"/>
            </w:r>
            <w:r>
              <w:rPr>
                <w:rFonts w:hint="eastAsia" w:ascii="仿宋" w:hAnsi="仿宋" w:eastAsia="仿宋" w:cs="仿宋"/>
                <w:szCs w:val="21"/>
              </w:rPr>
              <w:t xml:space="preserve">     否</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三公经费管理情况</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rPr>
              <w:t>是否制定“三公”经费管理办法：是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招待费用是否明确招待标准和招待人数：是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公务用车购置运行费是否比上年度下降: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三公经费是否比年度下降：是</w:t>
            </w:r>
            <w:r>
              <w:rPr>
                <w:rFonts w:hint="eastAsia" w:ascii="仿宋" w:hAnsi="仿宋" w:eastAsia="仿宋" w:cs="仿宋"/>
                <w:szCs w:val="21"/>
              </w:rPr>
              <w:sym w:font="Wingdings 2" w:char="0052"/>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非税收入完成情况</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rPr>
              <w:t>年度非税收入是否完成: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是否实行收支两条线管理：是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有无截留、坐支、转移等现象:有□     无</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政府采购及金额</w:t>
            </w:r>
          </w:p>
        </w:tc>
        <w:tc>
          <w:tcPr>
            <w:tcW w:w="7299" w:type="dxa"/>
            <w:gridSpan w:val="8"/>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 xml:space="preserve">年度是否制定了政府采购计划：是 </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spacing w:line="360" w:lineRule="exact"/>
              <w:rPr>
                <w:rFonts w:hint="eastAsia" w:ascii="仿宋" w:hAnsi="仿宋" w:eastAsia="仿宋" w:cs="仿宋"/>
                <w:szCs w:val="21"/>
              </w:rPr>
            </w:pPr>
            <w:r>
              <w:rPr>
                <w:rFonts w:hint="eastAsia" w:ascii="仿宋" w:hAnsi="仿宋" w:eastAsia="仿宋" w:cs="仿宋"/>
                <w:szCs w:val="21"/>
              </w:rPr>
              <w:t>应采购金额</w:t>
            </w:r>
            <w:r>
              <w:rPr>
                <w:rFonts w:hint="eastAsia" w:ascii="仿宋" w:hAnsi="仿宋" w:eastAsia="仿宋" w:cs="仿宋"/>
                <w:szCs w:val="21"/>
                <w:lang w:val="en-US" w:eastAsia="zh-CN"/>
              </w:rPr>
              <w:t>56.74</w:t>
            </w:r>
            <w:r>
              <w:rPr>
                <w:rFonts w:hint="eastAsia" w:ascii="仿宋" w:hAnsi="仿宋" w:eastAsia="仿宋" w:cs="仿宋"/>
                <w:szCs w:val="21"/>
              </w:rPr>
              <w:t>万元，实际采购金额</w:t>
            </w:r>
            <w:r>
              <w:rPr>
                <w:rFonts w:hint="eastAsia" w:ascii="仿宋" w:hAnsi="仿宋" w:eastAsia="仿宋" w:cs="仿宋"/>
                <w:szCs w:val="21"/>
                <w:lang w:val="en-US" w:eastAsia="zh-CN"/>
              </w:rPr>
              <w:t>56.74</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预算执行</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rPr>
              <w:t>本年度是否追加了预算:是□  否</w:t>
            </w:r>
            <w:r>
              <w:rPr>
                <w:rFonts w:hint="eastAsia" w:ascii="仿宋" w:hAnsi="仿宋" w:eastAsia="仿宋" w:cs="仿宋"/>
                <w:szCs w:val="21"/>
              </w:rPr>
              <w:sym w:font="Wingdings 2" w:char="0052"/>
            </w:r>
            <w:r>
              <w:rPr>
                <w:rFonts w:hint="eastAsia" w:ascii="仿宋" w:hAnsi="仿宋" w:eastAsia="仿宋" w:cs="仿宋"/>
                <w:szCs w:val="21"/>
              </w:rPr>
              <w:t>, 追加金额    万元</w:t>
            </w:r>
          </w:p>
          <w:p>
            <w:pPr>
              <w:rPr>
                <w:rFonts w:hint="eastAsia" w:ascii="仿宋" w:hAnsi="仿宋" w:eastAsia="仿宋" w:cs="仿宋"/>
                <w:szCs w:val="21"/>
              </w:rPr>
            </w:pPr>
            <w:r>
              <w:rPr>
                <w:rFonts w:hint="eastAsia" w:ascii="仿宋" w:hAnsi="仿宋" w:eastAsia="仿宋" w:cs="仿宋"/>
                <w:szCs w:val="21"/>
              </w:rPr>
              <w:t>本年度是否有结余: 是□   否</w:t>
            </w:r>
            <w:r>
              <w:rPr>
                <w:rFonts w:hint="eastAsia" w:ascii="仿宋" w:hAnsi="仿宋" w:eastAsia="仿宋" w:cs="仿宋"/>
                <w:szCs w:val="21"/>
              </w:rPr>
              <w:sym w:font="Wingdings 2" w:char="0052"/>
            </w:r>
            <w:r>
              <w:rPr>
                <w:rFonts w:hint="eastAsia" w:ascii="仿宋" w:hAnsi="仿宋" w:eastAsia="仿宋" w:cs="仿宋"/>
                <w:szCs w:val="21"/>
              </w:rPr>
              <w:t>,结余金额     万元</w:t>
            </w:r>
          </w:p>
          <w:p>
            <w:pPr>
              <w:jc w:val="left"/>
              <w:rPr>
                <w:rFonts w:hint="eastAsia" w:ascii="仿宋" w:hAnsi="仿宋" w:eastAsia="仿宋" w:cs="仿宋"/>
                <w:szCs w:val="21"/>
              </w:rPr>
            </w:pPr>
            <w:r>
              <w:rPr>
                <w:rFonts w:hint="eastAsia" w:ascii="仿宋" w:hAnsi="仿宋" w:eastAsia="仿宋" w:cs="仿宋"/>
                <w:szCs w:val="21"/>
              </w:rPr>
              <w:t>预决算信息是否公开: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公开时间:</w:t>
            </w:r>
            <w:r>
              <w:rPr>
                <w:rFonts w:hint="eastAsia" w:ascii="仿宋" w:hAnsi="仿宋" w:eastAsia="仿宋" w:cs="仿宋"/>
                <w:szCs w:val="21"/>
                <w:lang w:val="en-US" w:eastAsia="zh-CN"/>
              </w:rPr>
              <w:t>2022</w:t>
            </w:r>
            <w:r>
              <w:rPr>
                <w:rFonts w:hint="eastAsia" w:ascii="仿宋" w:hAnsi="仿宋" w:eastAsia="仿宋" w:cs="仿宋"/>
                <w:szCs w:val="21"/>
              </w:rPr>
              <w:t>年</w:t>
            </w: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15</w:t>
            </w:r>
            <w:r>
              <w:rPr>
                <w:rFonts w:hint="eastAsia" w:ascii="仿宋" w:hAnsi="仿宋" w:eastAsia="仿宋" w:cs="仿宋"/>
                <w:szCs w:val="21"/>
              </w:rPr>
              <w:t>日</w:t>
            </w:r>
          </w:p>
          <w:p>
            <w:pPr>
              <w:jc w:val="left"/>
              <w:rPr>
                <w:rFonts w:hint="eastAsia" w:ascii="仿宋" w:hAnsi="仿宋" w:eastAsia="仿宋" w:cs="仿宋"/>
                <w:szCs w:val="21"/>
              </w:rPr>
            </w:pPr>
            <w:r>
              <w:rPr>
                <w:rFonts w:hint="eastAsia" w:ascii="仿宋" w:hAnsi="仿宋" w:eastAsia="仿宋" w:cs="仿宋"/>
                <w:szCs w:val="21"/>
              </w:rPr>
              <w:t>公开方式:门户网站</w:t>
            </w:r>
            <w:r>
              <w:rPr>
                <w:rFonts w:hint="eastAsia" w:ascii="仿宋" w:hAnsi="仿宋" w:eastAsia="仿宋" w:cs="仿宋"/>
                <w:szCs w:val="21"/>
              </w:rPr>
              <w:sym w:font="Wingdings 2" w:char="0052"/>
            </w:r>
            <w:r>
              <w:rPr>
                <w:rFonts w:hint="eastAsia" w:ascii="仿宋" w:hAnsi="仿宋" w:eastAsia="仿宋" w:cs="仿宋"/>
                <w:szCs w:val="21"/>
              </w:rPr>
              <w:t xml:space="preserve">     单位内部□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lang w:eastAsia="zh-CN"/>
              </w:rPr>
            </w:pPr>
            <w:r>
              <w:rPr>
                <w:rFonts w:hint="eastAsia" w:ascii="仿宋" w:hAnsi="仿宋" w:eastAsia="仿宋" w:cs="仿宋"/>
                <w:szCs w:val="21"/>
                <w:lang w:eastAsia="zh-CN"/>
              </w:rPr>
              <w:t>预算绩效管理</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lang w:eastAsia="zh-CN"/>
              </w:rPr>
              <w:t>部门预算和专项资金是否编制绩效目标</w:t>
            </w:r>
            <w:r>
              <w:rPr>
                <w:rFonts w:hint="eastAsia" w:ascii="仿宋" w:hAnsi="仿宋" w:eastAsia="仿宋" w:cs="仿宋"/>
                <w:szCs w:val="21"/>
                <w:lang w:val="en-US" w:eastAsia="zh-CN"/>
              </w:rPr>
              <w:t>:</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是否开展绩效运行监控：</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是否开展绩效评价：</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年度绩效目标和绩效评价报告是否信息公开：</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上年度绩效评价反馈的问题是否整改到位：</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绩效监控发现的问题是否及时纠正：</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rPr>
                <w:rFonts w:hint="eastAsia" w:ascii="仿宋" w:hAnsi="仿宋" w:eastAsia="仿宋" w:cs="仿宋"/>
                <w:szCs w:val="21"/>
              </w:rPr>
            </w:pPr>
            <w:r>
              <w:rPr>
                <w:rFonts w:hint="eastAsia" w:ascii="仿宋" w:hAnsi="仿宋" w:eastAsia="仿宋" w:cs="仿宋"/>
                <w:szCs w:val="21"/>
              </w:rPr>
              <w:t>财务管理</w:t>
            </w:r>
          </w:p>
        </w:tc>
        <w:tc>
          <w:tcPr>
            <w:tcW w:w="7299" w:type="dxa"/>
            <w:gridSpan w:val="8"/>
            <w:noWrap w:val="0"/>
            <w:vAlign w:val="center"/>
          </w:tcPr>
          <w:p>
            <w:pPr>
              <w:rPr>
                <w:rFonts w:hint="eastAsia" w:ascii="仿宋" w:hAnsi="仿宋" w:eastAsia="仿宋" w:cs="仿宋"/>
                <w:lang w:eastAsia="zh-CN"/>
              </w:rPr>
            </w:pPr>
            <w:r>
              <w:rPr>
                <w:rFonts w:hint="eastAsia" w:ascii="仿宋" w:hAnsi="仿宋" w:eastAsia="仿宋" w:cs="仿宋"/>
              </w:rPr>
              <w:t>会计机构</w:t>
            </w:r>
            <w:r>
              <w:rPr>
                <w:rFonts w:hint="eastAsia" w:ascii="仿宋" w:hAnsi="仿宋" w:eastAsia="仿宋" w:cs="仿宋"/>
                <w:lang w:eastAsia="zh-CN"/>
              </w:rPr>
              <w:t>或会计人员</w:t>
            </w:r>
            <w:r>
              <w:rPr>
                <w:rFonts w:hint="eastAsia" w:ascii="仿宋" w:hAnsi="仿宋" w:eastAsia="仿宋" w:cs="仿宋"/>
              </w:rPr>
              <w:t>是否按规定设置: 是</w:t>
            </w:r>
            <w:r>
              <w:rPr>
                <w:rFonts w:hint="eastAsia" w:ascii="仿宋" w:hAnsi="仿宋" w:eastAsia="仿宋" w:cs="仿宋"/>
              </w:rPr>
              <w:sym w:font="Wingdings 2" w:char="0052"/>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lang w:eastAsia="zh-CN"/>
              </w:rPr>
            </w:pPr>
            <w:r>
              <w:rPr>
                <w:rFonts w:hint="eastAsia" w:ascii="仿宋" w:hAnsi="仿宋" w:eastAsia="仿宋" w:cs="仿宋"/>
                <w:lang w:eastAsia="zh-CN"/>
              </w:rPr>
              <w:t>会计核算是否严格执行政府会计制度准则：</w:t>
            </w:r>
            <w:r>
              <w:rPr>
                <w:rFonts w:hint="eastAsia" w:ascii="仿宋" w:hAnsi="仿宋" w:eastAsia="仿宋" w:cs="仿宋"/>
              </w:rPr>
              <w:t xml:space="preserve"> 是</w:t>
            </w:r>
            <w:r>
              <w:rPr>
                <w:rFonts w:hint="eastAsia" w:ascii="仿宋" w:hAnsi="仿宋" w:eastAsia="仿宋" w:cs="仿宋"/>
              </w:rPr>
              <w:sym w:font="Wingdings 2" w:char="0052"/>
            </w:r>
            <w:r>
              <w:rPr>
                <w:rFonts w:hint="eastAsia" w:ascii="仿宋" w:hAnsi="仿宋" w:eastAsia="仿宋" w:cs="仿宋"/>
              </w:rPr>
              <w:t xml:space="preserve">    否□</w:t>
            </w:r>
          </w:p>
          <w:p>
            <w:pPr>
              <w:rPr>
                <w:rFonts w:hint="eastAsia" w:ascii="仿宋" w:hAnsi="仿宋" w:eastAsia="仿宋" w:cs="仿宋"/>
              </w:rPr>
            </w:pPr>
            <w:r>
              <w:rPr>
                <w:rFonts w:hint="eastAsia" w:ascii="仿宋" w:hAnsi="仿宋" w:eastAsia="仿宋" w:cs="仿宋"/>
              </w:rPr>
              <w:t>是否制定财务管理、会计核算等制度: 是</w:t>
            </w:r>
            <w:r>
              <w:rPr>
                <w:rFonts w:hint="eastAsia" w:ascii="仿宋" w:hAnsi="仿宋" w:eastAsia="仿宋" w:cs="仿宋"/>
              </w:rPr>
              <w:sym w:font="Wingdings 2" w:char="0052"/>
            </w:r>
            <w:r>
              <w:rPr>
                <w:rFonts w:hint="eastAsia" w:ascii="仿宋" w:hAnsi="仿宋" w:eastAsia="仿宋" w:cs="仿宋"/>
              </w:rPr>
              <w:t xml:space="preserve">  否□</w:t>
            </w:r>
          </w:p>
          <w:p>
            <w:pPr>
              <w:rPr>
                <w:rFonts w:hint="eastAsia" w:ascii="仿宋" w:hAnsi="仿宋" w:eastAsia="仿宋" w:cs="仿宋"/>
                <w:lang w:eastAsia="zh-CN"/>
              </w:rPr>
            </w:pPr>
            <w:r>
              <w:rPr>
                <w:rFonts w:hint="eastAsia" w:ascii="仿宋" w:hAnsi="仿宋" w:eastAsia="仿宋" w:cs="仿宋"/>
                <w:lang w:eastAsia="zh-CN"/>
              </w:rPr>
              <w:t>内部控制报告编制是否规范：</w:t>
            </w:r>
            <w:r>
              <w:rPr>
                <w:rFonts w:hint="eastAsia" w:ascii="仿宋" w:hAnsi="仿宋" w:eastAsia="仿宋" w:cs="仿宋"/>
              </w:rPr>
              <w:t>是</w:t>
            </w:r>
            <w:r>
              <w:rPr>
                <w:rFonts w:hint="eastAsia" w:ascii="仿宋" w:hAnsi="仿宋" w:eastAsia="仿宋" w:cs="仿宋"/>
              </w:rPr>
              <w:sym w:font="Wingdings 2" w:char="0052"/>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rPr>
            </w:pPr>
            <w:r>
              <w:rPr>
                <w:rFonts w:hint="eastAsia" w:ascii="仿宋" w:hAnsi="仿宋" w:eastAsia="仿宋" w:cs="仿宋"/>
              </w:rPr>
              <w:t>会计人员是否</w:t>
            </w:r>
            <w:r>
              <w:rPr>
                <w:rFonts w:hint="eastAsia" w:ascii="仿宋" w:hAnsi="仿宋" w:eastAsia="仿宋" w:cs="仿宋"/>
                <w:lang w:eastAsia="zh-CN"/>
              </w:rPr>
              <w:t>具备从事会计工作所需要的专业能力</w:t>
            </w:r>
            <w:r>
              <w:rPr>
                <w:rFonts w:hint="eastAsia" w:ascii="仿宋" w:hAnsi="仿宋" w:eastAsia="仿宋" w:cs="仿宋"/>
              </w:rPr>
              <w:t>: 是</w:t>
            </w:r>
            <w:r>
              <w:rPr>
                <w:rFonts w:hint="eastAsia" w:ascii="仿宋" w:hAnsi="仿宋" w:eastAsia="仿宋" w:cs="仿宋"/>
              </w:rPr>
              <w:sym w:font="Wingdings 2" w:char="0052"/>
            </w:r>
            <w:r>
              <w:rPr>
                <w:rFonts w:hint="eastAsia" w:ascii="仿宋" w:hAnsi="仿宋" w:eastAsia="仿宋" w:cs="仿宋"/>
              </w:rPr>
              <w:t xml:space="preserve">  否□</w:t>
            </w:r>
          </w:p>
          <w:p>
            <w:pPr>
              <w:pStyle w:val="2"/>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资金管理</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rPr>
              <w:t>是否制定资金管理办法: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资金拨付有完整的审批程序: 有</w:t>
            </w:r>
            <w:r>
              <w:rPr>
                <w:rFonts w:hint="eastAsia" w:ascii="仿宋" w:hAnsi="仿宋" w:eastAsia="仿宋" w:cs="仿宋"/>
                <w:szCs w:val="21"/>
              </w:rPr>
              <w:sym w:font="Wingdings 2" w:char="0052"/>
            </w:r>
            <w:r>
              <w:rPr>
                <w:rFonts w:hint="eastAsia" w:ascii="仿宋" w:hAnsi="仿宋" w:eastAsia="仿宋" w:cs="仿宋"/>
                <w:szCs w:val="21"/>
              </w:rPr>
              <w:t xml:space="preserve">  无□</w:t>
            </w:r>
          </w:p>
          <w:p>
            <w:pPr>
              <w:ind w:left="3885" w:hanging="3885" w:hangingChars="1850"/>
              <w:rPr>
                <w:rFonts w:hint="eastAsia" w:ascii="仿宋" w:hAnsi="仿宋" w:eastAsia="仿宋" w:cs="仿宋"/>
                <w:szCs w:val="21"/>
              </w:rPr>
            </w:pPr>
            <w:r>
              <w:rPr>
                <w:rFonts w:hint="eastAsia" w:ascii="仿宋" w:hAnsi="仿宋" w:eastAsia="仿宋" w:cs="仿宋"/>
                <w:szCs w:val="21"/>
              </w:rPr>
              <w:t>资金使用是否存在违规使用资金、乱发津补贴奖金现象：是□  否</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资产管理</w:t>
            </w:r>
          </w:p>
        </w:tc>
        <w:tc>
          <w:tcPr>
            <w:tcW w:w="7299" w:type="dxa"/>
            <w:gridSpan w:val="8"/>
            <w:noWrap w:val="0"/>
            <w:vAlign w:val="center"/>
          </w:tcPr>
          <w:p>
            <w:pPr>
              <w:rPr>
                <w:rFonts w:hint="eastAsia" w:ascii="仿宋" w:hAnsi="仿宋" w:eastAsia="仿宋" w:cs="仿宋"/>
                <w:szCs w:val="21"/>
              </w:rPr>
            </w:pPr>
            <w:r>
              <w:rPr>
                <w:rFonts w:hint="eastAsia" w:ascii="仿宋" w:hAnsi="仿宋" w:eastAsia="仿宋" w:cs="仿宋"/>
                <w:szCs w:val="21"/>
              </w:rPr>
              <w:t>是否制定资产管理制度: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资产管理、保存、处置是否合理规范: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资产是否产权清晰、两证齐全：是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账、表、实、卡是否相符: 是</w:t>
            </w:r>
            <w:r>
              <w:rPr>
                <w:rFonts w:hint="eastAsia" w:ascii="仿宋" w:hAnsi="仿宋" w:eastAsia="仿宋" w:cs="仿宋"/>
                <w:szCs w:val="21"/>
              </w:rPr>
              <w:sym w:font="Wingdings 2" w:char="0052"/>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职责履行</w:t>
            </w:r>
          </w:p>
        </w:tc>
        <w:tc>
          <w:tcPr>
            <w:tcW w:w="7299" w:type="dxa"/>
            <w:gridSpan w:val="8"/>
            <w:noWrap w:val="0"/>
            <w:vAlign w:val="top"/>
          </w:tcPr>
          <w:p>
            <w:pPr>
              <w:spacing w:line="560" w:lineRule="exact"/>
              <w:jc w:val="left"/>
              <w:rPr>
                <w:rFonts w:hint="eastAsia" w:ascii="仿宋" w:hAnsi="仿宋" w:eastAsia="仿宋" w:cs="仿宋"/>
                <w:szCs w:val="21"/>
              </w:rPr>
            </w:pPr>
            <w:r>
              <w:rPr>
                <w:rFonts w:hint="eastAsia" w:ascii="仿宋" w:hAnsi="仿宋" w:eastAsia="仿宋" w:cs="仿宋"/>
                <w:szCs w:val="21"/>
              </w:rPr>
              <w:t>重点工作是否全部完成且质量达标: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部门</w:t>
            </w:r>
          </w:p>
          <w:p>
            <w:pPr>
              <w:spacing w:line="320" w:lineRule="exact"/>
              <w:jc w:val="center"/>
              <w:rPr>
                <w:rFonts w:hint="eastAsia" w:ascii="仿宋" w:hAnsi="仿宋" w:eastAsia="仿宋" w:cs="仿宋"/>
                <w:szCs w:val="21"/>
              </w:rPr>
            </w:pPr>
            <w:r>
              <w:rPr>
                <w:rFonts w:hint="eastAsia" w:ascii="仿宋" w:hAnsi="仿宋" w:eastAsia="仿宋" w:cs="仿宋"/>
                <w:szCs w:val="21"/>
              </w:rPr>
              <w:t>主要绩效</w:t>
            </w:r>
          </w:p>
        </w:tc>
        <w:tc>
          <w:tcPr>
            <w:tcW w:w="8467" w:type="dxa"/>
            <w:gridSpan w:val="9"/>
            <w:noWrap w:val="0"/>
            <w:vAlign w:val="center"/>
          </w:tcPr>
          <w:p>
            <w:pPr>
              <w:ind w:firstLine="525" w:firstLineChars="250"/>
              <w:rPr>
                <w:rFonts w:hint="default" w:ascii="仿宋" w:hAnsi="仿宋" w:eastAsia="楷体" w:cs="仿宋"/>
                <w:szCs w:val="21"/>
                <w:lang w:val="en-US" w:eastAsia="zh-CN"/>
              </w:rPr>
            </w:pPr>
            <w:r>
              <w:rPr>
                <w:rFonts w:hint="eastAsia" w:ascii="仿宋" w:hAnsi="仿宋" w:eastAsia="仿宋" w:cs="仿宋"/>
                <w:szCs w:val="21"/>
                <w:lang w:val="en-US" w:eastAsia="zh-CN"/>
              </w:rPr>
              <w:t>2022年，我镇积极履职，强化管理，较好的完成了年度工作目标。通过加强预算收支管理，不断建立健全内部管理制度，梳理内部管理流程，整体支出管理水平得到提升。主要表现在：1.我们始终坚持以发展为第一要务，综合经济实力明显增强，县域副中心建设成效明显。2.我们始终坚持以乡村振兴为抓手，城乡品质发生显著变化，脱贫成果不断巩固。3.我们始终坚持以人民福祉为中心，社会民生事业大幅改善。民生服务水平不断提升。4.我们始终坚持以综合治理为主线，社会大局更加稳定。安全生产意识明显增强。5.我们始终坚持以高效履职为宗旨，政府自身建设全面加强。坚持党建引领</w:t>
            </w:r>
            <w:r>
              <w:rPr>
                <w:rFonts w:hint="default" w:ascii="仿宋" w:hAnsi="仿宋" w:eastAsia="仿宋" w:cs="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自评结论</w:t>
            </w:r>
          </w:p>
        </w:tc>
        <w:tc>
          <w:tcPr>
            <w:tcW w:w="8467" w:type="dxa"/>
            <w:gridSpan w:val="9"/>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问题与建议</w:t>
            </w:r>
          </w:p>
        </w:tc>
        <w:tc>
          <w:tcPr>
            <w:tcW w:w="8467" w:type="dxa"/>
            <w:gridSpan w:val="9"/>
            <w:noWrap w:val="0"/>
            <w:vAlign w:val="center"/>
          </w:tcPr>
          <w:p>
            <w:pPr>
              <w:rPr>
                <w:rFonts w:hint="eastAsia" w:ascii="仿宋" w:hAnsi="仿宋" w:eastAsia="仿宋" w:cs="仿宋"/>
                <w:szCs w:val="21"/>
                <w:lang w:val="en-US" w:eastAsia="zh-CN"/>
              </w:rPr>
            </w:pPr>
            <w:r>
              <w:rPr>
                <w:rFonts w:hint="eastAsia" w:ascii="仿宋" w:hAnsi="仿宋" w:eastAsia="仿宋" w:cs="仿宋"/>
                <w:szCs w:val="21"/>
                <w:lang w:val="en-US" w:eastAsia="zh-CN"/>
              </w:rPr>
              <w:t>1、预算编制有待细化。细化预算编制工作，认真做好预算的编制。</w:t>
            </w:r>
          </w:p>
          <w:p>
            <w:pPr>
              <w:rPr>
                <w:rFonts w:hint="eastAsia" w:ascii="仿宋" w:hAnsi="仿宋" w:eastAsia="仿宋" w:cs="仿宋"/>
                <w:szCs w:val="21"/>
                <w:lang w:val="en-US" w:eastAsia="zh-CN"/>
              </w:rPr>
            </w:pPr>
            <w:r>
              <w:rPr>
                <w:rFonts w:hint="eastAsia" w:ascii="仿宋" w:hAnsi="仿宋" w:eastAsia="仿宋" w:cs="仿宋"/>
                <w:szCs w:val="21"/>
                <w:lang w:val="en-US" w:eastAsia="zh-CN"/>
              </w:rPr>
              <w:t>2、财务管理有待创新。加强财务管理，严格财务审核。</w:t>
            </w:r>
          </w:p>
          <w:p>
            <w:pPr>
              <w:rPr>
                <w:rFonts w:hint="eastAsia" w:ascii="仿宋" w:hAnsi="仿宋" w:eastAsia="仿宋" w:cs="仿宋"/>
                <w:szCs w:val="21"/>
                <w:lang w:val="en-US" w:eastAsia="zh-CN"/>
              </w:rPr>
            </w:pPr>
            <w:r>
              <w:rPr>
                <w:rFonts w:hint="eastAsia" w:ascii="仿宋" w:hAnsi="仿宋" w:eastAsia="仿宋" w:cs="仿宋"/>
                <w:szCs w:val="21"/>
                <w:lang w:val="en-US" w:eastAsia="zh-CN"/>
              </w:rPr>
              <w:t>3、资产管理有待加强。完善资产管理，抓好“三公”经费控制。</w:t>
            </w:r>
          </w:p>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533" w:type="dxa"/>
            <w:noWrap w:val="0"/>
            <w:vAlign w:val="top"/>
          </w:tcPr>
          <w:p>
            <w:pPr>
              <w:spacing w:line="320" w:lineRule="exact"/>
              <w:jc w:val="center"/>
              <w:rPr>
                <w:rFonts w:hint="eastAsia" w:ascii="仿宋" w:hAnsi="仿宋" w:eastAsia="仿宋" w:cs="仿宋"/>
                <w:szCs w:val="21"/>
              </w:rPr>
            </w:pPr>
            <w:r>
              <w:rPr>
                <w:rFonts w:hint="eastAsia" w:ascii="仿宋" w:hAnsi="仿宋" w:eastAsia="仿宋" w:cs="仿宋"/>
                <w:szCs w:val="21"/>
              </w:rPr>
              <w:t>主管部门意见</w:t>
            </w:r>
          </w:p>
        </w:tc>
        <w:tc>
          <w:tcPr>
            <w:tcW w:w="8467" w:type="dxa"/>
            <w:gridSpan w:val="9"/>
            <w:noWrap w:val="0"/>
            <w:vAlign w:val="top"/>
          </w:tcPr>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pStyle w:val="2"/>
              <w:rPr>
                <w:rFonts w:hint="eastAsia"/>
              </w:rPr>
            </w:pPr>
          </w:p>
          <w:p>
            <w:pPr>
              <w:ind w:firstLine="3360" w:firstLineChars="1600"/>
              <w:rPr>
                <w:rFonts w:hint="eastAsia" w:ascii="仿宋" w:hAnsi="仿宋" w:eastAsia="仿宋" w:cs="仿宋"/>
                <w:szCs w:val="21"/>
              </w:rPr>
            </w:pPr>
            <w:r>
              <w:rPr>
                <w:rFonts w:hint="eastAsia" w:ascii="仿宋" w:hAnsi="仿宋" w:eastAsia="仿宋" w:cs="仿宋"/>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 xml:space="preserve">填报人：                        联系电话：                时间： </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5</w:t>
      </w:r>
      <w:r>
        <w:rPr>
          <w:rFonts w:hint="eastAsia" w:ascii="仿宋" w:hAnsi="仿宋" w:eastAsia="仿宋" w:cs="仿宋"/>
          <w:szCs w:val="21"/>
        </w:rPr>
        <w:t>月</w:t>
      </w:r>
      <w:r>
        <w:rPr>
          <w:rFonts w:hint="eastAsia" w:ascii="仿宋" w:hAnsi="仿宋" w:eastAsia="仿宋" w:cs="仿宋"/>
          <w:szCs w:val="21"/>
          <w:lang w:val="en-US" w:eastAsia="zh-CN"/>
        </w:rPr>
        <w:t>5</w:t>
      </w:r>
      <w:r>
        <w:rPr>
          <w:rFonts w:hint="eastAsia" w:ascii="仿宋" w:hAnsi="仿宋" w:eastAsia="仿宋" w:cs="仿宋"/>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rPr>
      </w:pPr>
      <w:r>
        <w:rPr>
          <w:rFonts w:hint="eastAsia" w:ascii="仿宋" w:hAnsi="仿宋" w:eastAsia="仿宋" w:cs="仿宋"/>
          <w:kern w:val="0"/>
        </w:rPr>
        <w:t>注：自评结论填“优、良、中、差”。</w:t>
      </w:r>
    </w:p>
    <w:p>
      <w:pPr>
        <w:spacing w:line="560" w:lineRule="exact"/>
        <w:rPr>
          <w:rFonts w:hint="eastAsia" w:ascii="仿宋" w:hAnsi="仿宋" w:eastAsia="仿宋" w:cs="仿宋"/>
          <w:kern w:val="0"/>
          <w:sz w:val="24"/>
          <w:szCs w:val="24"/>
        </w:rPr>
      </w:pPr>
      <w:r>
        <w:rPr>
          <w:rFonts w:hint="eastAsia" w:ascii="仿宋" w:hAnsi="仿宋" w:eastAsia="仿宋" w:cs="仿宋"/>
          <w:kern w:val="0"/>
          <w:sz w:val="24"/>
          <w:szCs w:val="24"/>
        </w:rPr>
        <w:t>附件4</w:t>
      </w:r>
    </w:p>
    <w:p>
      <w:pPr>
        <w:spacing w:line="600" w:lineRule="exact"/>
        <w:jc w:val="center"/>
        <w:rPr>
          <w:rFonts w:hint="eastAsia" w:ascii="楷体" w:hAnsi="楷体" w:eastAsia="楷体" w:cs="楷体"/>
          <w:b/>
          <w:bCs/>
          <w:sz w:val="32"/>
          <w:szCs w:val="32"/>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（一）部门基本情况</w:t>
      </w:r>
    </w:p>
    <w:p>
      <w:pPr>
        <w:spacing w:after="120" w:line="360" w:lineRule="auto"/>
        <w:ind w:left="42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金石桥镇人民政府编制人数136人，实际人数134人，离退休64人，遗属补助人数27人，小车编制数1台，实际1台，房屋面积32497平方米。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rPr>
        <w:t>（二）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年的重点工作</w:t>
      </w:r>
    </w:p>
    <w:p>
      <w:pPr>
        <w:pStyle w:val="2"/>
        <w:spacing w:line="360" w:lineRule="auto"/>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宣传和贯彻执行党的路线方针政策和法律法规；制定地方经济社会发展规划和年度计划并组织实施；坚持依法行政，推进民主政治，加强基层政权建设；做好农业、农村、农民和社区工作。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4、加强社会管理和基础设施建设，创造良好环境。推进政务、村（居）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5、发展公益事业，强化公共服务。搞好公共设施建设，开展社会保障服务，着力解决群众生产生活中的问题；发展科教文卫事业，促进精神文明建设；制订公共服务事项目录清单，加强公共服务体系建设。6、加强综合治理，维护社会稳定。调解民事纠纷、化解社会矛盾，接待上访群众，处理群体性突发事件，保证社会公正，维护社会秩序和社会稳定。指导村民自治，推动农村社会建设，促进社会组织健康发展，增强社会自治功能。7、按照管理权限，负责机关和事业单位工作人员的教育、培养、选拔和监督工作。协助管理好派驻单位人员。8、依法依规承担下放的经济社会管理权限和行政执法事项。9、行使《中华人民共和国地方各级人民代表大会和地方各级人民政府组织法》等法律法规赋予的职权。10、完成县委、县政府交办的其它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（三）部门整体支出情况</w:t>
      </w:r>
    </w:p>
    <w:p>
      <w:pPr>
        <w:pStyle w:val="2"/>
        <w:spacing w:line="360" w:lineRule="auto"/>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2022年度决算支出为3222.87万元,其中：一般公共服务支出1948.71万元，公共安全支出103.8万元，社会保障支出5.12万元，卫生健康支出9.73万元，农林水支出1142.51万元，其他支出13万元。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决算数为2983.37万元，其中：人员经费2473.74万元，日常公用经费509.63万元。是指为保障单位机构和村级组织正常运转、完成日常工作任务而发生的各项支出，包括用于基本工资、津贴补贴、村干部工资等人员经费和办公费、印刷费、水电费及办公设备购置等日常公用经费以及村级运转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2022年年度决算数为239.5万元，是指单位为完成选定行政工作或事业发展目标而发生的支出，主要是第五批次建设用地（公立幼儿园、芙蓉学校扩建、安置区、养老院）以及划拨村账云雾山、卧龙文化广场建设款。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23.1万元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6万元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（一）我们始终坚持以发展为第一要务，综合经济实力明显增强。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县域副中心建设成效明显。</w:t>
      </w:r>
      <w:r>
        <w:rPr>
          <w:rFonts w:hint="eastAsia" w:ascii="仿宋" w:hAnsi="仿宋" w:eastAsia="仿宋" w:cs="仿宋"/>
          <w:b w:val="0"/>
          <w:bCs w:val="0"/>
          <w:kern w:val="2"/>
          <w:sz w:val="32"/>
          <w:szCs w:val="32"/>
          <w:lang w:val="en-US" w:eastAsia="zh-CN" w:bidi="ar-SA"/>
        </w:rPr>
        <w:t>我</w:t>
      </w:r>
      <w:r>
        <w:rPr>
          <w:rFonts w:hint="eastAsia" w:ascii="仿宋" w:hAnsi="仿宋" w:eastAsia="仿宋" w:cs="仿宋"/>
          <w:b w:val="0"/>
          <w:bCs w:val="0"/>
          <w:sz w:val="32"/>
          <w:szCs w:val="32"/>
          <w:lang w:val="en-US" w:eastAsia="zh-CN"/>
        </w:rPr>
        <w:t>们严格落实县域副中心县长办公会议精神，以更高站位、更高质量、更高水平推动县域副中心建设。全镇上下坚持把项目建设作为“一号工程”和战略任务来抓，积极作为、履职尽责，勇争先，谋落实，各领域多点布局、多业开花。</w:t>
      </w:r>
      <w:r>
        <w:rPr>
          <w:rFonts w:hint="eastAsia" w:ascii="仿宋" w:hAnsi="仿宋" w:eastAsia="仿宋" w:cs="仿宋"/>
          <w:b w:val="0"/>
          <w:bCs w:val="0"/>
          <w:kern w:val="2"/>
          <w:sz w:val="32"/>
          <w:szCs w:val="32"/>
          <w:lang w:val="en-US" w:eastAsia="zh-CN" w:bidi="ar-SA"/>
        </w:rPr>
        <w:t>经济活力持续激发。</w:t>
      </w:r>
      <w:r>
        <w:rPr>
          <w:rFonts w:hint="eastAsia" w:ascii="仿宋" w:hAnsi="仿宋" w:eastAsia="仿宋" w:cs="仿宋"/>
          <w:b w:val="0"/>
          <w:bCs w:val="0"/>
          <w:color w:val="auto"/>
          <w:sz w:val="32"/>
          <w:szCs w:val="32"/>
          <w:highlight w:val="none"/>
          <w:lang w:val="en-US" w:eastAsia="zh-CN"/>
        </w:rPr>
        <w:t>我镇2022年固定资产投资项目12个，其中五千万以上项目3个，完成投资7.23亿元；现有规模以上商贸企业6家，2022年新增1家，社会消费品零售总额7977.67万元，同比增长19.7%；规模工业生产总值2.03亿元；</w:t>
      </w:r>
      <w:r>
        <w:rPr>
          <w:rFonts w:hint="eastAsia" w:ascii="仿宋" w:hAnsi="仿宋" w:eastAsia="仿宋" w:cs="仿宋"/>
          <w:b w:val="0"/>
          <w:bCs w:val="0"/>
          <w:sz w:val="32"/>
          <w:szCs w:val="32"/>
          <w:lang w:val="en-US" w:eastAsia="zh-CN"/>
        </w:rPr>
        <w:t>全年共招商引资合同资金2.67亿元，超过全年任务7%。引进内联企业（省外境内）2家，完成招商引资续建项目1个。文旅项目方面。投资700万元的红二军团鸭田战斗指挥所修缮工作已完成，游客接待中心已完成主体建设。医养康养产业方面。养老院征地工作已完成；投资4000余万元的隆回县人民医院第二院区工程项目建设已进入招标阶段。商贸企业项目方面。投资4.5亿元的商贸物流中心正进行招拍挂；拟引进投资2亿元的猫人集团南区总部及生产厂区项目，在金石桥设立湖南猫人贸易有限公司；同时拟引进投资3亿元的金石桥创业产业园项目。新能源项目方面。冷溪山风电、金石桥二期风电共16台组并网发电。道路交通项目方面。</w:t>
      </w:r>
      <w:r>
        <w:rPr>
          <w:rFonts w:hint="eastAsia" w:ascii="仿宋" w:hAnsi="仿宋" w:eastAsia="仿宋" w:cs="仿宋"/>
          <w:b w:val="0"/>
          <w:bCs w:val="0"/>
          <w:color w:val="auto"/>
          <w:kern w:val="2"/>
          <w:sz w:val="32"/>
          <w:szCs w:val="32"/>
          <w:lang w:val="en-US" w:eastAsia="zh-CN" w:bidi="ar-SA"/>
        </w:rPr>
        <w:t>泉山公路已完成项目设计初稿，新新高速沿线和互通场所征地工作稳步推进。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（二）我们始终坚持以乡村振兴为抓手，城乡品质发生显著变化。</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脱贫成果不断巩固。坚持做到脱贫不脱政策，建立健全防返贫动态监测和帮扶机制，实施“12345”识别工作法，新纳入监测对象195户536人。引进了投资600万元的邵阳学院音乐舞蹈学院教育和培训帮扶项目；完成四大专项行动；“三网三员三色”防止返贫动态监测和帮扶机制实现全覆盖。2022年使用乡村振兴项目库资金829万元，完成乡村振兴项目项目34个，用于完善基础设施建设，发展特色农业产业，实现脱贫户稳定增收。积极开展稳岗就业工作，提供公益性岗位273个。规划编制工作稳步推进。已委托深圳城市规划设计院，高标准编制《金石桥镇2021--2035年空间利用总体规划》；委托湖南大学编制《隆回县域副中心发展概念规划》，经多次研判已形成初稿；完成10个村庄规划的编制工作。农业生产稳产增收。我们狠抓农业生产，完成全年粮食播种面积，全力抗旱保产，粮食产量取得新高。高标准农田建设项目于2022年10月开工实施。</w:t>
      </w:r>
      <w:r>
        <w:rPr>
          <w:rFonts w:hint="eastAsia" w:ascii="仿宋" w:hAnsi="仿宋" w:eastAsia="仿宋" w:cs="仿宋"/>
          <w:b w:val="0"/>
          <w:bCs w:val="0"/>
          <w:color w:val="auto"/>
          <w:sz w:val="32"/>
          <w:szCs w:val="32"/>
          <w:lang w:val="en-US" w:eastAsia="zh-CN"/>
        </w:rPr>
        <w:t>特色产业发展欣欣向荣。</w:t>
      </w:r>
      <w:r>
        <w:rPr>
          <w:rFonts w:hint="eastAsia" w:ascii="仿宋" w:hAnsi="仿宋" w:eastAsia="仿宋" w:cs="仿宋"/>
          <w:b w:val="0"/>
          <w:bCs w:val="0"/>
          <w:sz w:val="32"/>
          <w:szCs w:val="32"/>
          <w:lang w:val="en-US" w:eastAsia="zh-CN"/>
        </w:rPr>
        <w:t>成功争取湖南美味佳瑶农业科技股份有限公司的省重点建设项目；推动新花园、高洲</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rPr>
        <w:t>村流转土地</w:t>
      </w:r>
      <w:r>
        <w:rPr>
          <w:rFonts w:hint="eastAsia" w:ascii="仿宋" w:hAnsi="仿宋" w:eastAsia="仿宋" w:cs="仿宋"/>
          <w:b w:val="0"/>
          <w:bCs w:val="0"/>
          <w:sz w:val="32"/>
          <w:szCs w:val="32"/>
          <w:lang w:val="en-US" w:eastAsia="zh-CN"/>
        </w:rPr>
        <w:t>200</w:t>
      </w:r>
      <w:r>
        <w:rPr>
          <w:rFonts w:hint="eastAsia" w:ascii="仿宋" w:hAnsi="仿宋" w:eastAsia="仿宋" w:cs="仿宋"/>
          <w:b w:val="0"/>
          <w:bCs w:val="0"/>
          <w:sz w:val="32"/>
          <w:szCs w:val="32"/>
          <w:lang w:eastAsia="zh-CN"/>
        </w:rPr>
        <w:t>余</w:t>
      </w:r>
      <w:r>
        <w:rPr>
          <w:rFonts w:hint="eastAsia" w:ascii="仿宋" w:hAnsi="仿宋" w:eastAsia="仿宋" w:cs="仿宋"/>
          <w:b w:val="0"/>
          <w:bCs w:val="0"/>
          <w:sz w:val="32"/>
          <w:szCs w:val="32"/>
        </w:rPr>
        <w:t>亩</w:t>
      </w:r>
      <w:r>
        <w:rPr>
          <w:rFonts w:hint="eastAsia" w:ascii="仿宋" w:hAnsi="仿宋" w:eastAsia="仿宋" w:cs="仿宋"/>
          <w:b w:val="0"/>
          <w:bCs w:val="0"/>
          <w:sz w:val="32"/>
          <w:szCs w:val="32"/>
          <w:lang w:eastAsia="zh-CN"/>
        </w:rPr>
        <w:t>用于种植龙牙</w:t>
      </w:r>
      <w:r>
        <w:rPr>
          <w:rFonts w:hint="eastAsia" w:ascii="仿宋" w:hAnsi="仿宋" w:eastAsia="仿宋" w:cs="仿宋"/>
          <w:b w:val="0"/>
          <w:bCs w:val="0"/>
          <w:sz w:val="32"/>
          <w:szCs w:val="32"/>
        </w:rPr>
        <w:t>百合</w:t>
      </w:r>
      <w:r>
        <w:rPr>
          <w:rFonts w:hint="eastAsia" w:ascii="仿宋" w:hAnsi="仿宋" w:eastAsia="仿宋" w:cs="仿宋"/>
          <w:b w:val="0"/>
          <w:bCs w:val="0"/>
          <w:sz w:val="32"/>
          <w:szCs w:val="32"/>
          <w:lang w:eastAsia="zh-CN"/>
        </w:rPr>
        <w:t>和玉竹；</w:t>
      </w:r>
      <w:r>
        <w:rPr>
          <w:rFonts w:hint="eastAsia" w:ascii="仿宋" w:hAnsi="仿宋" w:eastAsia="仿宋" w:cs="仿宋"/>
          <w:b w:val="0"/>
          <w:bCs w:val="0"/>
          <w:sz w:val="32"/>
          <w:szCs w:val="32"/>
          <w:lang w:val="en-US" w:eastAsia="zh-CN"/>
        </w:rPr>
        <w:t>推动</w:t>
      </w:r>
      <w:r>
        <w:rPr>
          <w:rFonts w:hint="eastAsia" w:ascii="仿宋" w:hAnsi="仿宋" w:eastAsia="仿宋" w:cs="仿宋"/>
          <w:b w:val="0"/>
          <w:bCs w:val="0"/>
          <w:sz w:val="32"/>
          <w:szCs w:val="32"/>
          <w:lang w:eastAsia="zh-CN"/>
        </w:rPr>
        <w:t>冷溪山、</w:t>
      </w:r>
      <w:r>
        <w:rPr>
          <w:rFonts w:hint="eastAsia" w:ascii="仿宋" w:hAnsi="仿宋" w:eastAsia="仿宋" w:cs="仿宋"/>
          <w:b w:val="0"/>
          <w:bCs w:val="0"/>
          <w:sz w:val="32"/>
          <w:szCs w:val="32"/>
          <w:lang w:val="en-US" w:eastAsia="zh-CN"/>
        </w:rPr>
        <w:t>晓阳溪</w:t>
      </w:r>
      <w:r>
        <w:rPr>
          <w:rFonts w:hint="eastAsia" w:ascii="仿宋" w:hAnsi="仿宋" w:eastAsia="仿宋" w:cs="仿宋"/>
          <w:b w:val="0"/>
          <w:bCs w:val="0"/>
          <w:sz w:val="32"/>
          <w:szCs w:val="32"/>
          <w:lang w:eastAsia="zh-CN"/>
        </w:rPr>
        <w:t>、聚群、</w:t>
      </w:r>
      <w:r>
        <w:rPr>
          <w:rFonts w:hint="eastAsia" w:ascii="仿宋" w:hAnsi="仿宋" w:eastAsia="仿宋" w:cs="仿宋"/>
          <w:b w:val="0"/>
          <w:bCs w:val="0"/>
          <w:sz w:val="32"/>
          <w:szCs w:val="32"/>
          <w:lang w:val="en-US" w:eastAsia="zh-CN"/>
        </w:rPr>
        <w:t>南龙</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rPr>
        <w:t>村</w:t>
      </w:r>
      <w:r>
        <w:rPr>
          <w:rFonts w:hint="eastAsia" w:ascii="仿宋" w:hAnsi="仿宋" w:eastAsia="仿宋" w:cs="仿宋"/>
          <w:b w:val="0"/>
          <w:bCs w:val="0"/>
          <w:sz w:val="32"/>
          <w:szCs w:val="32"/>
          <w:lang w:eastAsia="zh-CN"/>
        </w:rPr>
        <w:t>新增金银花、茶叶、五味子、天麻等特色农业种植面积</w:t>
      </w:r>
      <w:r>
        <w:rPr>
          <w:rFonts w:hint="eastAsia" w:ascii="仿宋" w:hAnsi="仿宋" w:eastAsia="仿宋" w:cs="仿宋"/>
          <w:b w:val="0"/>
          <w:bCs w:val="0"/>
          <w:sz w:val="32"/>
          <w:szCs w:val="32"/>
          <w:lang w:val="en-US" w:eastAsia="zh-CN"/>
        </w:rPr>
        <w:t>500余亩</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推动</w:t>
      </w:r>
      <w:r>
        <w:rPr>
          <w:rFonts w:hint="eastAsia" w:ascii="仿宋" w:hAnsi="仿宋" w:eastAsia="仿宋" w:cs="仿宋"/>
          <w:b w:val="0"/>
          <w:bCs w:val="0"/>
          <w:sz w:val="32"/>
          <w:szCs w:val="32"/>
          <w:lang w:eastAsia="zh-CN"/>
        </w:rPr>
        <w:t>金南社区新增魔芋种植面积</w:t>
      </w:r>
      <w:r>
        <w:rPr>
          <w:rFonts w:hint="eastAsia" w:ascii="仿宋" w:hAnsi="仿宋" w:eastAsia="仿宋" w:cs="仿宋"/>
          <w:b w:val="0"/>
          <w:bCs w:val="0"/>
          <w:sz w:val="32"/>
          <w:szCs w:val="32"/>
          <w:lang w:val="en-US" w:eastAsia="zh-CN"/>
        </w:rPr>
        <w:t>100余亩。9月份</w:t>
      </w:r>
      <w:r>
        <w:rPr>
          <w:rFonts w:hint="eastAsia" w:ascii="仿宋" w:hAnsi="仿宋" w:eastAsia="仿宋" w:cs="仿宋"/>
          <w:b w:val="0"/>
          <w:bCs w:val="0"/>
          <w:kern w:val="2"/>
          <w:sz w:val="32"/>
          <w:szCs w:val="32"/>
          <w:highlight w:val="none"/>
          <w:lang w:val="en-US" w:eastAsia="zh-CN" w:bidi="ar-SA"/>
        </w:rPr>
        <w:t>举行了特色农产品展销会暨第三届佳瑶猕猴桃采摘节，并取得了圆满成功。</w:t>
      </w:r>
      <w:r>
        <w:rPr>
          <w:rFonts w:hint="eastAsia" w:ascii="仿宋" w:hAnsi="仿宋" w:eastAsia="仿宋" w:cs="仿宋"/>
          <w:b w:val="0"/>
          <w:bCs w:val="0"/>
          <w:color w:val="auto"/>
          <w:sz w:val="32"/>
          <w:szCs w:val="32"/>
          <w:lang w:val="en-US" w:eastAsia="zh-CN"/>
        </w:rPr>
        <w:t>村级产业提质增效。</w:t>
      </w:r>
      <w:r>
        <w:rPr>
          <w:rFonts w:hint="eastAsia" w:ascii="仿宋" w:hAnsi="仿宋" w:eastAsia="仿宋" w:cs="仿宋"/>
          <w:b w:val="0"/>
          <w:bCs w:val="0"/>
          <w:kern w:val="2"/>
          <w:sz w:val="32"/>
          <w:szCs w:val="32"/>
          <w:highlight w:val="none"/>
          <w:lang w:val="en-US" w:eastAsia="zh-CN" w:bidi="ar-SA"/>
        </w:rPr>
        <w:t>严格落实村集体经济发展“一二三四法”，突出四大板块为村集体经济发展增产创收，截至目前，全镇31个村（社区）村集体经济收入均超过10万元，总计860余万元，是我镇2021年全年村级集体经济收入的5倍，其中超100万元的村2个，50万-100万元的村2个，20万元以上的村12个。</w:t>
      </w:r>
      <w:r>
        <w:rPr>
          <w:rFonts w:hint="eastAsia" w:ascii="仿宋" w:hAnsi="仿宋" w:eastAsia="仿宋" w:cs="仿宋"/>
          <w:b w:val="0"/>
          <w:bCs w:val="0"/>
          <w:sz w:val="32"/>
          <w:szCs w:val="32"/>
          <w:lang w:val="en-US" w:eastAsia="zh-CN"/>
        </w:rPr>
        <w:t>城区扩容提质增速。</w:t>
      </w:r>
      <w:r>
        <w:rPr>
          <w:rFonts w:hint="eastAsia" w:ascii="仿宋" w:hAnsi="仿宋" w:eastAsia="仿宋" w:cs="仿宋"/>
          <w:b w:val="0"/>
          <w:bCs w:val="0"/>
          <w:color w:val="auto"/>
          <w:kern w:val="2"/>
          <w:sz w:val="32"/>
          <w:szCs w:val="32"/>
          <w:lang w:val="en-US" w:eastAsia="zh-CN" w:bidi="ar-SA"/>
        </w:rPr>
        <w:t>金石大道延长线完工并通过验收；隆回县政务服务中心金石桥分中心建设已基本完工；</w:t>
      </w:r>
      <w:r>
        <w:rPr>
          <w:rFonts w:hint="eastAsia" w:ascii="仿宋" w:hAnsi="仿宋" w:eastAsia="仿宋" w:cs="仿宋"/>
          <w:b w:val="0"/>
          <w:bCs w:val="0"/>
          <w:sz w:val="32"/>
          <w:szCs w:val="32"/>
          <w:lang w:val="en-US" w:eastAsia="zh-CN"/>
        </w:rPr>
        <w:t>投入21万余元，对城区街道坑洼地段进行修补，对城区所有标志线进行重新划定；杨梅树河网红街打造完成；</w:t>
      </w:r>
      <w:r>
        <w:rPr>
          <w:rFonts w:hint="eastAsia" w:ascii="仿宋" w:hAnsi="仿宋" w:eastAsia="仿宋" w:cs="仿宋"/>
          <w:b w:val="0"/>
          <w:bCs w:val="0"/>
          <w:color w:val="auto"/>
          <w:kern w:val="2"/>
          <w:sz w:val="32"/>
          <w:szCs w:val="32"/>
          <w:lang w:val="en-US" w:eastAsia="zh-CN" w:bidi="ar-SA"/>
        </w:rPr>
        <w:t>金石桥养老院正式立项，征地工作已完成；新新高速沿线和互通场所征地工作稳步推进。</w:t>
      </w:r>
      <w:r>
        <w:rPr>
          <w:rFonts w:hint="eastAsia" w:ascii="仿宋" w:hAnsi="仿宋" w:eastAsia="仿宋" w:cs="仿宋"/>
          <w:b w:val="0"/>
          <w:bCs w:val="0"/>
          <w:sz w:val="32"/>
          <w:szCs w:val="32"/>
          <w:lang w:val="en-US" w:eastAsia="zh-CN"/>
        </w:rPr>
        <w:t>人居环境明显改观。</w:t>
      </w:r>
      <w:r>
        <w:rPr>
          <w:rFonts w:hint="eastAsia" w:ascii="仿宋" w:hAnsi="仿宋" w:eastAsia="仿宋" w:cs="仿宋"/>
          <w:b w:val="0"/>
          <w:bCs w:val="0"/>
          <w:sz w:val="32"/>
          <w:szCs w:val="32"/>
        </w:rPr>
        <w:t>“蓝天碧水净土”保卫战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交通顽瘴痼疾整治工作取得积极成效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完成农村改厕</w:t>
      </w:r>
      <w:r>
        <w:rPr>
          <w:rFonts w:hint="eastAsia" w:ascii="仿宋" w:hAnsi="仿宋" w:eastAsia="仿宋" w:cs="仿宋"/>
          <w:b w:val="0"/>
          <w:bCs w:val="0"/>
          <w:sz w:val="32"/>
          <w:szCs w:val="32"/>
          <w:lang w:val="en-US" w:eastAsia="zh-CN"/>
        </w:rPr>
        <w:t>312</w:t>
      </w:r>
      <w:r>
        <w:rPr>
          <w:rFonts w:hint="eastAsia" w:ascii="仿宋" w:hAnsi="仿宋" w:eastAsia="仿宋" w:cs="仿宋"/>
          <w:b w:val="0"/>
          <w:bCs w:val="0"/>
          <w:sz w:val="32"/>
          <w:szCs w:val="32"/>
        </w:rPr>
        <w:t>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空心房和危房拆除超标准完成全年任务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投入26万余元，对镇城区人居环境基础设施更新；金石桥镇卫生监督委员会持续发力</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绿色发展全力以赴。始终坚持保护生态就是发展生产力这一基本理念。</w:t>
      </w:r>
      <w:r>
        <w:rPr>
          <w:rFonts w:hint="eastAsia" w:ascii="仿宋" w:hAnsi="仿宋" w:eastAsia="仿宋" w:cs="仿宋"/>
          <w:b w:val="0"/>
          <w:bCs w:val="0"/>
          <w:color w:val="auto"/>
          <w:sz w:val="32"/>
          <w:szCs w:val="32"/>
          <w:lang w:val="en-US" w:eastAsia="zh-CN"/>
        </w:rPr>
        <w:t>全年新造林面积1900亩；建设美丽乡村院落4个；</w:t>
      </w:r>
      <w:r>
        <w:rPr>
          <w:rFonts w:hint="eastAsia" w:ascii="仿宋" w:hAnsi="仿宋" w:eastAsia="仿宋" w:cs="仿宋"/>
          <w:b w:val="0"/>
          <w:bCs w:val="0"/>
          <w:sz w:val="32"/>
          <w:szCs w:val="32"/>
          <w:lang w:val="en-US" w:eastAsia="zh-CN"/>
        </w:rPr>
        <w:t>高标准推进“林长制”阵地建设，顺利通过省级验收；严格落实“一长四员”规定，以志愿者协会为平台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率先在全县聘任“民间林长”；</w:t>
      </w:r>
      <w:r>
        <w:rPr>
          <w:rFonts w:hint="eastAsia" w:ascii="仿宋" w:hAnsi="仿宋" w:eastAsia="仿宋" w:cs="仿宋"/>
          <w:b w:val="0"/>
          <w:bCs w:val="0"/>
          <w:color w:val="auto"/>
          <w:sz w:val="32"/>
          <w:szCs w:val="32"/>
          <w:lang w:val="en-US" w:eastAsia="zh-CN"/>
        </w:rPr>
        <w:t>织牢耕地保护网，完成耕地净减少任务375亩，恢复耕地任务300亩，已完成全年目标。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（三）我们始终坚持以人民福祉为中心，社会民生事业大幅改善。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民生服务水平不断提升。认真践行以人民为中心的发展思想，切实解决人民群众“急难愁盼”问题。</w:t>
      </w:r>
      <w:r>
        <w:rPr>
          <w:rFonts w:hint="eastAsia" w:ascii="仿宋" w:hAnsi="仿宋" w:eastAsia="仿宋" w:cs="仿宋"/>
          <w:b w:val="0"/>
          <w:bCs w:val="0"/>
          <w:sz w:val="32"/>
          <w:szCs w:val="32"/>
        </w:rPr>
        <w:t>社会保障体系不断完善，</w:t>
      </w:r>
      <w:r>
        <w:rPr>
          <w:rFonts w:hint="eastAsia" w:ascii="仿宋" w:hAnsi="仿宋" w:eastAsia="仿宋" w:cs="仿宋"/>
          <w:b w:val="0"/>
          <w:bCs w:val="0"/>
          <w:sz w:val="32"/>
          <w:szCs w:val="32"/>
          <w:lang w:val="en-US" w:eastAsia="zh-CN"/>
        </w:rPr>
        <w:t>完成居民养老保险征收征缴，综合排名全县第三。农村合作医疗参保率96%，参保率排名全县第二。发放低保资金414万余元；全年临时救助发放资金45万余元。低边认定工作完成进度和准确率位于全县第一。建设冷溪山村老年活动中心，成功创建“银龄安康”示范乡镇。截至目前，金石芙蓉教育促进会已募捐600余万元，全年对62名成绩优异的学子和111名监测户困难学子发放助学金25万余元</w:t>
      </w:r>
      <w:r>
        <w:rPr>
          <w:rFonts w:hint="eastAsia" w:ascii="仿宋" w:hAnsi="仿宋" w:eastAsia="仿宋" w:cs="仿宋"/>
          <w:b w:val="0"/>
          <w:bCs w:val="0"/>
          <w:sz w:val="32"/>
          <w:szCs w:val="32"/>
          <w:lang w:eastAsia="zh-CN"/>
        </w:rPr>
        <w:t>。开展书美乡村活动，金石桥镇图书馆每日阅书人数达</w:t>
      </w:r>
      <w:r>
        <w:rPr>
          <w:rFonts w:hint="eastAsia" w:ascii="仿宋" w:hAnsi="仿宋" w:eastAsia="仿宋" w:cs="仿宋"/>
          <w:b w:val="0"/>
          <w:bCs w:val="0"/>
          <w:sz w:val="32"/>
          <w:szCs w:val="32"/>
          <w:lang w:val="en-US" w:eastAsia="zh-CN"/>
        </w:rPr>
        <w:t>50余人。投入资金49万余元，实施危房改造18座，活动板房提质改造3座。全年实施安全饮水项目5个。科技创新达到新高。成功创建省级科普小镇；</w:t>
      </w:r>
      <w:r>
        <w:rPr>
          <w:rFonts w:hint="eastAsia" w:ascii="仿宋" w:hAnsi="仿宋" w:eastAsia="仿宋" w:cs="仿宋"/>
          <w:b w:val="0"/>
          <w:bCs w:val="0"/>
          <w:color w:val="000000"/>
          <w:kern w:val="0"/>
          <w:sz w:val="32"/>
          <w:szCs w:val="32"/>
        </w:rPr>
        <w:t>在全省第43届青少年科技创新大赛评比中，我镇有7件作品在省里获奖</w:t>
      </w:r>
      <w:r>
        <w:rPr>
          <w:rFonts w:hint="eastAsia" w:ascii="仿宋" w:hAnsi="仿宋" w:eastAsia="仿宋" w:cs="仿宋"/>
          <w:b w:val="0"/>
          <w:bCs w:val="0"/>
          <w:color w:val="000000"/>
          <w:kern w:val="0"/>
          <w:sz w:val="32"/>
          <w:szCs w:val="32"/>
          <w:lang w:eastAsia="zh-CN"/>
        </w:rPr>
        <w:t>，科技创新作品</w:t>
      </w:r>
      <w:r>
        <w:rPr>
          <w:rFonts w:hint="eastAsia" w:ascii="仿宋" w:hAnsi="仿宋" w:eastAsia="仿宋" w:cs="仿宋"/>
          <w:b w:val="0"/>
          <w:bCs w:val="0"/>
          <w:color w:val="000000"/>
          <w:kern w:val="0"/>
          <w:sz w:val="32"/>
          <w:szCs w:val="32"/>
        </w:rPr>
        <w:t>在</w:t>
      </w:r>
      <w:r>
        <w:rPr>
          <w:rFonts w:hint="eastAsia" w:ascii="仿宋" w:hAnsi="仿宋" w:eastAsia="仿宋" w:cs="仿宋"/>
          <w:b w:val="0"/>
          <w:bCs w:val="0"/>
          <w:color w:val="000000"/>
          <w:kern w:val="0"/>
          <w:sz w:val="32"/>
          <w:szCs w:val="32"/>
          <w:lang w:eastAsia="zh-CN"/>
        </w:rPr>
        <w:t>市级</w:t>
      </w:r>
      <w:r>
        <w:rPr>
          <w:rFonts w:hint="eastAsia" w:ascii="仿宋" w:hAnsi="仿宋" w:eastAsia="仿宋" w:cs="仿宋"/>
          <w:b w:val="0"/>
          <w:bCs w:val="0"/>
          <w:color w:val="000000"/>
          <w:kern w:val="0"/>
          <w:sz w:val="32"/>
          <w:szCs w:val="32"/>
        </w:rPr>
        <w:t>以上获奖达18件</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金石桥镇中心学校被评定为</w:t>
      </w:r>
      <w:r>
        <w:rPr>
          <w:rFonts w:hint="eastAsia" w:ascii="仿宋" w:hAnsi="仿宋" w:eastAsia="仿宋" w:cs="仿宋"/>
          <w:b w:val="0"/>
          <w:bCs w:val="0"/>
          <w:color w:val="000000"/>
          <w:kern w:val="0"/>
          <w:sz w:val="32"/>
          <w:szCs w:val="32"/>
          <w:lang w:eastAsia="zh-CN"/>
        </w:rPr>
        <w:t>邵阳市唯一的省级</w:t>
      </w:r>
      <w:r>
        <w:rPr>
          <w:rFonts w:hint="eastAsia" w:ascii="仿宋" w:hAnsi="仿宋" w:eastAsia="仿宋" w:cs="仿宋"/>
          <w:b w:val="0"/>
          <w:bCs w:val="0"/>
          <w:color w:val="000000"/>
          <w:kern w:val="0"/>
          <w:sz w:val="32"/>
          <w:szCs w:val="32"/>
        </w:rPr>
        <w:t>教育科学研究基地。</w:t>
      </w:r>
      <w:r>
        <w:rPr>
          <w:rFonts w:hint="eastAsia" w:ascii="仿宋" w:hAnsi="仿宋" w:eastAsia="仿宋" w:cs="仿宋"/>
          <w:b w:val="0"/>
          <w:bCs w:val="0"/>
          <w:spacing w:val="0"/>
          <w:kern w:val="0"/>
          <w:sz w:val="32"/>
          <w:szCs w:val="32"/>
          <w:lang w:val="en-US" w:eastAsia="zh-CN" w:bidi="ar-SA"/>
        </w:rPr>
        <w:t>道德评议活动掀起热潮。</w:t>
      </w:r>
      <w:r>
        <w:rPr>
          <w:rFonts w:hint="eastAsia" w:ascii="仿宋" w:hAnsi="仿宋" w:eastAsia="仿宋" w:cs="仿宋"/>
          <w:b w:val="0"/>
          <w:bCs w:val="0"/>
          <w:sz w:val="32"/>
          <w:szCs w:val="32"/>
          <w:lang w:val="en-US" w:eastAsia="zh-CN"/>
        </w:rPr>
        <w:t>继续发挥道德评议会作用，宣传表彰好人好事，抨击教育反面典型，促进农村良好道德风尚逐步形成。2022年以来开展道德评议5次，得到社会各界一致好评。举行道德模范评比活动，最终评选出9名同志获得“第二届金石桥镇道德模范”荣誉称号，在全社会形成了崇尚先进、学习先进的良好道德风尚。</w:t>
      </w:r>
      <w:r>
        <w:rPr>
          <w:rFonts w:hint="eastAsia" w:ascii="仿宋" w:hAnsi="仿宋" w:eastAsia="仿宋" w:cs="仿宋"/>
          <w:b w:val="0"/>
          <w:bCs w:val="0"/>
          <w:spacing w:val="0"/>
          <w:kern w:val="0"/>
          <w:sz w:val="32"/>
          <w:szCs w:val="32"/>
          <w:lang w:val="en-US" w:eastAsia="zh-CN" w:bidi="ar-SA"/>
        </w:rPr>
        <w:t>文化事业提振精神力量。</w:t>
      </w:r>
      <w:r>
        <w:rPr>
          <w:rFonts w:hint="eastAsia" w:ascii="仿宋" w:hAnsi="仿宋" w:eastAsia="仿宋" w:cs="仿宋"/>
          <w:b w:val="0"/>
          <w:bCs w:val="0"/>
          <w:sz w:val="32"/>
          <w:szCs w:val="32"/>
          <w:lang w:val="en-US" w:eastAsia="zh-CN"/>
        </w:rPr>
        <w:t>全年举办各类文化活动10余次，高标准举办“梅山油龙迎端午·乡村振兴添活力”民俗文化活动，获得省市县领导一致好评。全网发布我镇形象歌曲《弯弯的兰草河》，副中心品位得到提升。干群一心汇聚蓬勃力量。社会各界组织和金石桥籍的各级领导、乡贤和爱心人士充分发挥自身优势，积极贡献智慧力量，在不同场合、以不同方式为金石桥正面宣传，形成了万众一心谋发展的良好局面。金石桥镇商会获评湖南省“四好”商会。</w:t>
      </w:r>
    </w:p>
    <w:p>
      <w:pPr>
        <w:pStyle w:val="2"/>
        <w:keepNext w:val="0"/>
        <w:keepLines w:val="0"/>
        <w:pageBreakBefore w:val="0"/>
        <w:widowControl/>
        <w:numPr>
          <w:ilvl w:val="-1"/>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i w:val="0"/>
          <w:iCs w:val="0"/>
          <w:caps w:val="0"/>
          <w:color w:val="333333"/>
          <w:spacing w:val="0"/>
          <w:sz w:val="32"/>
          <w:szCs w:val="32"/>
          <w:shd w:val="clear" w:fill="FFFFFF"/>
        </w:rPr>
        <w:t>　</w:t>
      </w:r>
      <w:r>
        <w:rPr>
          <w:rFonts w:hint="eastAsia" w:ascii="仿宋" w:hAnsi="仿宋" w:eastAsia="仿宋" w:cs="仿宋"/>
          <w:b w:val="0"/>
          <w:bCs w:val="0"/>
          <w:kern w:val="2"/>
          <w:sz w:val="32"/>
          <w:szCs w:val="32"/>
          <w:lang w:val="en-US" w:eastAsia="zh-CN" w:bidi="ar-SA"/>
        </w:rPr>
        <w:t>（四）我们始终坚持以综合治理为主线，社会大局更加稳定。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sz w:val="32"/>
          <w:szCs w:val="32"/>
          <w:shd w:val="clear" w:color="auto" w:fill="FFFFFF"/>
          <w:lang w:val="en-US" w:eastAsia="zh-CN"/>
        </w:rPr>
        <w:t>安全生产意识明显增强。始终把人民群众生命财产安全放在首位，</w:t>
      </w:r>
      <w:r>
        <w:rPr>
          <w:rFonts w:hint="eastAsia" w:ascii="仿宋" w:hAnsi="仿宋" w:eastAsia="仿宋" w:cs="仿宋"/>
          <w:b w:val="0"/>
          <w:bCs w:val="0"/>
          <w:sz w:val="32"/>
          <w:szCs w:val="32"/>
          <w:lang w:val="en-US" w:eastAsia="zh-CN"/>
        </w:rPr>
        <w:t>研究制定了《金石桥镇安全生产专项整治三年行动实施方案》，</w:t>
      </w:r>
      <w:r>
        <w:rPr>
          <w:rFonts w:hint="eastAsia" w:ascii="仿宋" w:hAnsi="仿宋" w:eastAsia="仿宋" w:cs="仿宋"/>
          <w:b w:val="0"/>
          <w:bCs w:val="0"/>
          <w:color w:val="000000"/>
          <w:sz w:val="32"/>
          <w:szCs w:val="32"/>
          <w:shd w:val="clear" w:color="auto" w:fill="FFFFFF"/>
        </w:rPr>
        <w:t>定期研究</w:t>
      </w:r>
      <w:r>
        <w:rPr>
          <w:rFonts w:hint="eastAsia" w:ascii="仿宋" w:hAnsi="仿宋" w:eastAsia="仿宋" w:cs="仿宋"/>
          <w:b w:val="0"/>
          <w:bCs w:val="0"/>
          <w:color w:val="000000"/>
          <w:sz w:val="32"/>
          <w:szCs w:val="32"/>
          <w:shd w:val="clear" w:color="auto" w:fill="FFFFFF"/>
          <w:lang w:eastAsia="zh-CN"/>
        </w:rPr>
        <w:t>部署三年</w:t>
      </w:r>
      <w:r>
        <w:rPr>
          <w:rFonts w:hint="eastAsia" w:ascii="仿宋" w:hAnsi="仿宋" w:eastAsia="仿宋" w:cs="仿宋"/>
          <w:b w:val="0"/>
          <w:bCs w:val="0"/>
          <w:color w:val="000000"/>
          <w:sz w:val="32"/>
          <w:szCs w:val="32"/>
          <w:shd w:val="clear" w:color="auto" w:fill="FFFFFF"/>
        </w:rPr>
        <w:t>行动工作</w:t>
      </w:r>
      <w:r>
        <w:rPr>
          <w:rFonts w:hint="eastAsia" w:ascii="仿宋" w:hAnsi="仿宋" w:eastAsia="仿宋" w:cs="仿宋"/>
          <w:b w:val="0"/>
          <w:bCs w:val="0"/>
          <w:color w:val="000000"/>
          <w:sz w:val="32"/>
          <w:szCs w:val="32"/>
          <w:shd w:val="clear" w:color="auto" w:fill="FFFFFF"/>
          <w:lang w:eastAsia="zh-CN"/>
        </w:rPr>
        <w:t>，</w:t>
      </w:r>
      <w:r>
        <w:rPr>
          <w:rStyle w:val="13"/>
          <w:rFonts w:hint="eastAsia" w:ascii="仿宋" w:hAnsi="仿宋" w:eastAsia="仿宋" w:cs="仿宋"/>
          <w:b w:val="0"/>
          <w:bCs w:val="0"/>
          <w:i w:val="0"/>
          <w:caps w:val="0"/>
          <w:color w:val="auto"/>
          <w:spacing w:val="0"/>
          <w:w w:val="100"/>
          <w:kern w:val="2"/>
          <w:sz w:val="32"/>
          <w:szCs w:val="32"/>
          <w:lang w:val="en-US" w:eastAsia="zh-CN" w:bidi="ar-SA"/>
        </w:rPr>
        <w:t>推进安全生产专项整治三年行动巩固提升。</w:t>
      </w:r>
      <w:r>
        <w:rPr>
          <w:rFonts w:hint="eastAsia" w:ascii="仿宋" w:hAnsi="仿宋" w:eastAsia="仿宋" w:cs="仿宋"/>
          <w:b w:val="0"/>
          <w:bCs w:val="0"/>
          <w:color w:val="000000"/>
          <w:sz w:val="32"/>
          <w:szCs w:val="32"/>
          <w:shd w:val="clear" w:color="auto" w:fill="FFFFFF"/>
          <w:lang w:val="en-US" w:eastAsia="zh-CN"/>
        </w:rPr>
        <w:t>扎实开展安全隐患“大排查大整改大提升”百日行动，全年无安全生产事故发生。镇财政投入10万元，在重点危险水域安装摄像头和预警系统并接入应急管理信息平台；镇财政投入26万元专项资金整改重大安全隐患2处。面对历史罕见的由涝转旱“旱期”考验、2轮低温雨雪冰冻灾害和4轮汛期强降雨，金石桥镇压实责任，实行24小时应急值班值守，全体镇村干部彰显担当，不畏险情，成功应对并战胜了极端气候带来的抗旱保水、迎峰度夏、森林防火等系列挑战。综合治理能力明显优化。扎实开展“扫黑除恶”专项整治行动。对辖区内“两抢一盗”、毒品、赌博等一系列犯罪常抓不懈。全年盗窃发生率连续三年下降，民众安全感大幅提升。对滞留在缅甸、柬埔寨和边境人员进行自主摸排，信访积案有效化解，全力维护社会大局稳定。疫情防控措施不断落细。镇村两级党员干部坚持把人民群众生命健康安全放在第一位，提高政治站位，建立疫情联防联控机制，压实“五包一”工作责任制，进行网格化管理。面对10月份新冠疫情冲击</w:t>
      </w:r>
      <w:r>
        <w:rPr>
          <w:rFonts w:hint="eastAsia" w:ascii="仿宋" w:hAnsi="仿宋" w:eastAsia="仿宋" w:cs="仿宋"/>
          <w:b w:val="0"/>
          <w:bCs w:val="0"/>
          <w:sz w:val="32"/>
          <w:szCs w:val="32"/>
          <w:lang w:val="en-US" w:eastAsia="zh-CN"/>
        </w:rPr>
        <w:t>，镇村干部以及医护人员、广大志愿者全力以赴奋战一线，顺利完成三轮全员核酸检测，金石桥镇无一人感染，成为全县第一个申请解除封控状态的乡镇，最大限度降低了疫情对群众生产生活的影响；12月10日，我们紧跟国务院“新十条”措施，因时因势调整优化防控政策，最大程度恢复了群众的正常生产生活。</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000000"/>
          <w:sz w:val="32"/>
          <w:szCs w:val="32"/>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（五）我们始终坚持以高效履职为宗旨，政府自身建设全面加强。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sz w:val="32"/>
          <w:szCs w:val="32"/>
          <w:shd w:val="clear" w:color="auto" w:fill="FFFFFF"/>
          <w:lang w:val="en-US" w:eastAsia="zh-CN"/>
        </w:rPr>
        <w:t>坚持党建引领。</w:t>
      </w:r>
      <w:r>
        <w:rPr>
          <w:rFonts w:hint="eastAsia" w:ascii="仿宋" w:hAnsi="仿宋" w:eastAsia="仿宋" w:cs="仿宋"/>
          <w:b w:val="0"/>
          <w:bCs w:val="0"/>
          <w:sz w:val="32"/>
          <w:szCs w:val="32"/>
          <w:lang w:val="en-US" w:eastAsia="zh-CN"/>
        </w:rPr>
        <w:t>深入学习贯彻习近平新时代中国特色社会主义思想和党的二十大精神，</w:t>
      </w:r>
      <w:r>
        <w:rPr>
          <w:rFonts w:hint="eastAsia" w:ascii="仿宋" w:hAnsi="仿宋" w:eastAsia="仿宋" w:cs="仿宋"/>
          <w:b w:val="0"/>
          <w:bCs w:val="0"/>
          <w:color w:val="000000"/>
          <w:sz w:val="32"/>
          <w:szCs w:val="32"/>
          <w:shd w:val="clear" w:color="auto" w:fill="FFFFFF"/>
          <w:lang w:val="en-US" w:eastAsia="zh-CN"/>
        </w:rPr>
        <w:t>推动党史学习教育常态化长效化，</w:t>
      </w:r>
      <w:r>
        <w:rPr>
          <w:rFonts w:hint="eastAsia" w:ascii="仿宋" w:hAnsi="仿宋" w:eastAsia="仿宋" w:cs="仿宋"/>
          <w:b w:val="0"/>
          <w:bCs w:val="0"/>
          <w:sz w:val="32"/>
          <w:szCs w:val="32"/>
          <w:lang w:val="en-US" w:eastAsia="zh-CN"/>
        </w:rPr>
        <w:t>严格落实“三会一课”、主题党日等制度，扎实开展学习讨论，确保学习教育落到实处。我们严格执行重大行政决策程序，重大事项及时向镇党委报告，自觉接受镇人大、政协和社会监督，办理好人大代表建议和政协提案。</w:t>
      </w:r>
      <w:r>
        <w:rPr>
          <w:rFonts w:hint="eastAsia" w:ascii="仿宋" w:hAnsi="仿宋" w:eastAsia="仿宋" w:cs="仿宋"/>
          <w:b w:val="0"/>
          <w:bCs w:val="0"/>
          <w:color w:val="000000"/>
          <w:sz w:val="32"/>
          <w:szCs w:val="32"/>
          <w:shd w:val="clear" w:color="auto" w:fill="FFFFFF"/>
          <w:lang w:val="en-US" w:eastAsia="zh-CN"/>
        </w:rPr>
        <w:t>持续提升效能建设。</w:t>
      </w:r>
      <w:r>
        <w:rPr>
          <w:rFonts w:hint="eastAsia" w:ascii="仿宋" w:hAnsi="仿宋" w:eastAsia="仿宋" w:cs="仿宋"/>
          <w:b w:val="0"/>
          <w:bCs w:val="0"/>
          <w:sz w:val="32"/>
          <w:szCs w:val="32"/>
          <w:lang w:val="en-US" w:eastAsia="zh-CN"/>
        </w:rPr>
        <w:t>坚持“群众利益无小事”原则，全年受理答复金石桥镇12345政务服务便民热线200余条，持续跟踪督办、齐心合力、高效限时办理群众反映的“急难愁盼”问题，群众满意度持续提升。全面推行镇政府权责清单制度，对重大建设项目和民生工程进行任务和责任分解，工作有效推进。持续深化依法行政。进一步建立健全机关、单位管理责任制度，规范公务出差、公物采购、财经管理等制度，降低行政成本。推进政务公开，完善重大决策公开公示制度，规范重大建设项目的招投标管理，加强政务服务工作，全年共公开政务信息45条。抓好清廉单元建设。筑牢全面从严治党政治根基，坚持正风肃纪，从严落实中央八项规定及其实施细则精神，强化行政监督，完善一系列管理办法，整章建制，严肃查处了一批违法乱纪党员干部，政治生态更加风清气正。深入推进“带着板凳进村”活动，通过领导干部到村到组下访，将群众的“急难愁盼”问题解决在一线。适时开展“土桥人话廉”文艺演出等“五个一”清廉文化推广周活动，既引导干部崇廉尚廉又在社会营造清廉风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1、预算编制有待细化。预算编制不够明确和细化，预算编制的合理性需要提高，预算执行力度还要进一步加强。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2、财务管理有待创新。财务管理水平和逐年上升的财务要求不匹配，相对落后。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3、资产管理有待加强。对国有资产管理不较规范，部分往来款项清理不够及时，管理方法不科学。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2、加强财务管理，严格财务审核。加强单位财务管理，在费用报账支付时，按照预算规定的费用项目和用途进行资金使用审核、列报支付、财务核算，杜绝超支现象的发生。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bookmarkStart w:id="0" w:name="_GoBack"/>
      <w:bookmarkEnd w:id="0"/>
    </w:p>
    <w:p>
      <w:pPr>
        <w:pStyle w:val="2"/>
        <w:rPr>
          <w:rFonts w:hint="eastAsia" w:ascii="仿宋" w:hAnsi="仿宋" w:eastAsia="仿宋" w:cs="仿宋"/>
          <w:b w:val="0"/>
          <w:bCs w:val="0"/>
          <w:sz w:val="32"/>
          <w:szCs w:val="32"/>
          <w:lang w:val="en-US" w:eastAsia="zh-CN"/>
        </w:rPr>
      </w:pPr>
    </w:p>
    <w:p>
      <w:pPr>
        <w:rPr>
          <w:rFonts w:hint="eastAsia"/>
          <w:lang w:val="en-US" w:eastAsia="zh-CN"/>
        </w:rPr>
      </w:pPr>
    </w:p>
    <w:p>
      <w:pPr>
        <w:pStyle w:val="2"/>
        <w:ind w:left="0" w:leftChars="0" w:firstLine="0" w:firstLineChars="0"/>
        <w:jc w:val="righ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隆回县金石桥镇人民政府</w:t>
      </w:r>
    </w:p>
    <w:p>
      <w:pPr>
        <w:pStyle w:val="2"/>
        <w:wordWrap w:val="0"/>
        <w:ind w:left="0" w:leftChars="0" w:firstLine="0" w:firstLineChars="0"/>
        <w:jc w:val="righ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2023年5月5日   </w:t>
      </w:r>
    </w:p>
    <w:p>
      <w:pPr>
        <w:pStyle w:val="2"/>
        <w:wordWrap w:val="0"/>
        <w:ind w:left="0" w:leftChars="0" w:firstLine="0" w:firstLineChars="0"/>
        <w:jc w:val="righ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pStyle w:val="2"/>
        <w:ind w:left="0" w:leftChars="0" w:firstLine="0" w:firstLineChars="0"/>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A8A0C"/>
    <w:multiLevelType w:val="singleLevel"/>
    <w:tmpl w:val="7E8A8A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Y2U2MTk0ZTQxZTkyYTdiY2M4Y2NhMzYwMjFkYWMifQ=="/>
  </w:docVars>
  <w:rsids>
    <w:rsidRoot w:val="18D538B0"/>
    <w:rsid w:val="01600BAC"/>
    <w:rsid w:val="018E17F6"/>
    <w:rsid w:val="01E50D53"/>
    <w:rsid w:val="01EB6738"/>
    <w:rsid w:val="03B40C48"/>
    <w:rsid w:val="03D2624F"/>
    <w:rsid w:val="040501C3"/>
    <w:rsid w:val="05323055"/>
    <w:rsid w:val="05E337FC"/>
    <w:rsid w:val="06536294"/>
    <w:rsid w:val="07155C37"/>
    <w:rsid w:val="07352DC2"/>
    <w:rsid w:val="08C6260F"/>
    <w:rsid w:val="09D347BB"/>
    <w:rsid w:val="0A6273E5"/>
    <w:rsid w:val="0A686BF6"/>
    <w:rsid w:val="0C760F26"/>
    <w:rsid w:val="0DD74424"/>
    <w:rsid w:val="107F4121"/>
    <w:rsid w:val="10C57C4D"/>
    <w:rsid w:val="11456604"/>
    <w:rsid w:val="117C2E73"/>
    <w:rsid w:val="11E9622E"/>
    <w:rsid w:val="123A0C48"/>
    <w:rsid w:val="12607728"/>
    <w:rsid w:val="126104A5"/>
    <w:rsid w:val="13113C31"/>
    <w:rsid w:val="13C57FC2"/>
    <w:rsid w:val="13DD7ADC"/>
    <w:rsid w:val="13EB2DF0"/>
    <w:rsid w:val="144F5156"/>
    <w:rsid w:val="1767588B"/>
    <w:rsid w:val="18D538B0"/>
    <w:rsid w:val="18E032C2"/>
    <w:rsid w:val="19A277FE"/>
    <w:rsid w:val="1CCF110C"/>
    <w:rsid w:val="1D9456B0"/>
    <w:rsid w:val="1FA31533"/>
    <w:rsid w:val="1FC310EC"/>
    <w:rsid w:val="213827F6"/>
    <w:rsid w:val="21796BC2"/>
    <w:rsid w:val="21B552CB"/>
    <w:rsid w:val="22BE0E76"/>
    <w:rsid w:val="23250B58"/>
    <w:rsid w:val="2483632E"/>
    <w:rsid w:val="25550C1E"/>
    <w:rsid w:val="25B05D49"/>
    <w:rsid w:val="27F51441"/>
    <w:rsid w:val="28BF4190"/>
    <w:rsid w:val="2A706BB3"/>
    <w:rsid w:val="2A7C719C"/>
    <w:rsid w:val="2B926A7E"/>
    <w:rsid w:val="2C2B5641"/>
    <w:rsid w:val="2CB6067E"/>
    <w:rsid w:val="2CC66F08"/>
    <w:rsid w:val="2CCA094F"/>
    <w:rsid w:val="2E2B5E45"/>
    <w:rsid w:val="2E515D05"/>
    <w:rsid w:val="2FC02FA6"/>
    <w:rsid w:val="2FF745A3"/>
    <w:rsid w:val="31480833"/>
    <w:rsid w:val="316450AF"/>
    <w:rsid w:val="335115F0"/>
    <w:rsid w:val="3546366F"/>
    <w:rsid w:val="357070B5"/>
    <w:rsid w:val="36470709"/>
    <w:rsid w:val="376A3C4C"/>
    <w:rsid w:val="38FC7F68"/>
    <w:rsid w:val="39C175C6"/>
    <w:rsid w:val="3A754CC9"/>
    <w:rsid w:val="3BEA370A"/>
    <w:rsid w:val="3DA6700D"/>
    <w:rsid w:val="3DC56552"/>
    <w:rsid w:val="3DCE3E6E"/>
    <w:rsid w:val="3E3A69A0"/>
    <w:rsid w:val="3ECD3124"/>
    <w:rsid w:val="3F9A003D"/>
    <w:rsid w:val="3FEA0343"/>
    <w:rsid w:val="475F4422"/>
    <w:rsid w:val="4874505C"/>
    <w:rsid w:val="49136AFE"/>
    <w:rsid w:val="49201968"/>
    <w:rsid w:val="49F977A4"/>
    <w:rsid w:val="4A5971B6"/>
    <w:rsid w:val="4ABD5996"/>
    <w:rsid w:val="4B6814D6"/>
    <w:rsid w:val="4BB905DA"/>
    <w:rsid w:val="4C393A63"/>
    <w:rsid w:val="4E0B709E"/>
    <w:rsid w:val="4F3F4BCC"/>
    <w:rsid w:val="50367A06"/>
    <w:rsid w:val="5039786D"/>
    <w:rsid w:val="507C62DD"/>
    <w:rsid w:val="50B20CEB"/>
    <w:rsid w:val="54EF17DD"/>
    <w:rsid w:val="55FE57CA"/>
    <w:rsid w:val="563C6D66"/>
    <w:rsid w:val="565C4B5A"/>
    <w:rsid w:val="56632A61"/>
    <w:rsid w:val="578E37A1"/>
    <w:rsid w:val="58C76ABA"/>
    <w:rsid w:val="59CA59DA"/>
    <w:rsid w:val="5B01542B"/>
    <w:rsid w:val="5D6C7344"/>
    <w:rsid w:val="5EA551F5"/>
    <w:rsid w:val="61AF2FE3"/>
    <w:rsid w:val="627B47D8"/>
    <w:rsid w:val="62C029F1"/>
    <w:rsid w:val="634458AE"/>
    <w:rsid w:val="63521D29"/>
    <w:rsid w:val="635B32B1"/>
    <w:rsid w:val="63AD5DD7"/>
    <w:rsid w:val="65B75B1D"/>
    <w:rsid w:val="65ED7F30"/>
    <w:rsid w:val="66815672"/>
    <w:rsid w:val="66C523A5"/>
    <w:rsid w:val="670B01C0"/>
    <w:rsid w:val="6771486D"/>
    <w:rsid w:val="68045877"/>
    <w:rsid w:val="68890F43"/>
    <w:rsid w:val="69CC48B0"/>
    <w:rsid w:val="6A522671"/>
    <w:rsid w:val="6ACB22C2"/>
    <w:rsid w:val="6C3C39CA"/>
    <w:rsid w:val="6C6A0E2B"/>
    <w:rsid w:val="6C801864"/>
    <w:rsid w:val="6E615BFD"/>
    <w:rsid w:val="6FBB3002"/>
    <w:rsid w:val="73263829"/>
    <w:rsid w:val="745037BC"/>
    <w:rsid w:val="767C2482"/>
    <w:rsid w:val="78270946"/>
    <w:rsid w:val="78853E63"/>
    <w:rsid w:val="79367029"/>
    <w:rsid w:val="7A031D57"/>
    <w:rsid w:val="7A3613CA"/>
    <w:rsid w:val="7B3D3D71"/>
    <w:rsid w:val="7D2A54B9"/>
    <w:rsid w:val="7D887789"/>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Body Text"/>
    <w:basedOn w:val="1"/>
    <w:next w:val="5"/>
    <w:qFormat/>
    <w:uiPriority w:val="1"/>
    <w:rPr>
      <w:rFonts w:ascii="仿宋_GB2312" w:hAnsi="仿宋_GB2312" w:eastAsia="仿宋_GB2312" w:cs="仿宋_GB2312"/>
      <w:sz w:val="32"/>
      <w:szCs w:val="32"/>
      <w:lang w:val="zh-CN" w:bidi="zh-CN"/>
    </w:rPr>
  </w:style>
  <w:style w:type="paragraph" w:styleId="5">
    <w:name w:val="toc 5"/>
    <w:basedOn w:val="1"/>
    <w:next w:val="1"/>
    <w:qFormat/>
    <w:uiPriority w:val="0"/>
    <w:pPr>
      <w:ind w:left="1680" w:leftChars="8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rFonts w:ascii="Calibri" w:hAnsi="Calibri" w:cs="宋体"/>
      <w:kern w:val="0"/>
      <w:sz w:val="24"/>
    </w:rPr>
  </w:style>
  <w:style w:type="character" w:styleId="12">
    <w:name w:val="page number"/>
    <w:basedOn w:val="11"/>
    <w:qFormat/>
    <w:uiPriority w:val="0"/>
  </w:style>
  <w:style w:type="character" w:customStyle="1" w:styleId="13">
    <w:name w:val="NormalCharacter"/>
    <w:link w:val="14"/>
    <w:qFormat/>
    <w:uiPriority w:val="0"/>
    <w:rPr>
      <w:rFonts w:ascii="Times New Roman" w:hAnsi="Times New Roman" w:eastAsia="宋体"/>
    </w:rPr>
  </w:style>
  <w:style w:type="paragraph" w:customStyle="1" w:styleId="14">
    <w:name w:val="UserStyle_1"/>
    <w:basedOn w:val="1"/>
    <w:link w:val="13"/>
    <w:qFormat/>
    <w:uiPriority w:val="0"/>
    <w:pPr>
      <w:widowControl/>
      <w:spacing w:after="160" w:line="240" w:lineRule="exact"/>
      <w:jc w:val="left"/>
      <w:textAlignment w:val="baseline"/>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7048</Words>
  <Characters>7323</Characters>
  <Lines>0</Lines>
  <Paragraphs>0</Paragraphs>
  <TotalTime>6</TotalTime>
  <ScaleCrop>false</ScaleCrop>
  <LinksUpToDate>false</LinksUpToDate>
  <CharactersWithSpaces>7507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2023-05-06T00:37:27Z</cp:lastPrinted>
  <dcterms:modified xsi:type="dcterms:W3CDTF">2023-05-06T00:38:22Z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AB810C59E2894EE691622EC438F15754_13</vt:lpwstr>
  </property>
</Properties>
</file>