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60787">
      <w:pPr>
        <w:spacing w:line="600" w:lineRule="exact"/>
        <w:ind w:firstLine="360" w:firstLineChars="100"/>
        <w:jc w:val="center"/>
        <w:rPr>
          <w:rFonts w:ascii="方正小标宋简体" w:eastAsia="方正小标宋简体"/>
          <w:bCs/>
          <w:kern w:val="0"/>
          <w:sz w:val="36"/>
          <w:szCs w:val="36"/>
        </w:rPr>
      </w:pPr>
      <w:r>
        <w:rPr>
          <w:rFonts w:hint="eastAsia" w:ascii="方正小标宋简体" w:eastAsia="方正小标宋简体"/>
          <w:bCs/>
          <w:kern w:val="0"/>
          <w:sz w:val="36"/>
          <w:szCs w:val="36"/>
        </w:rPr>
        <w:t>部门整体支出绩效自评基础数据表</w:t>
      </w:r>
    </w:p>
    <w:tbl>
      <w:tblPr>
        <w:tblStyle w:val="9"/>
        <w:tblW w:w="91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
        <w:gridCol w:w="533"/>
        <w:gridCol w:w="1168"/>
        <w:gridCol w:w="2372"/>
        <w:gridCol w:w="605"/>
        <w:gridCol w:w="567"/>
        <w:gridCol w:w="992"/>
        <w:gridCol w:w="560"/>
        <w:gridCol w:w="1000"/>
        <w:gridCol w:w="494"/>
        <w:gridCol w:w="672"/>
        <w:gridCol w:w="37"/>
      </w:tblGrid>
      <w:tr w14:paraId="70548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 w:type="dxa"/>
          <w:trHeight w:val="480" w:hRule="atLeast"/>
          <w:jc w:val="center"/>
        </w:trPr>
        <w:tc>
          <w:tcPr>
            <w:tcW w:w="9071" w:type="dxa"/>
            <w:gridSpan w:val="11"/>
            <w:tcBorders>
              <w:top w:val="nil"/>
              <w:left w:val="nil"/>
              <w:bottom w:val="nil"/>
              <w:right w:val="nil"/>
            </w:tcBorders>
            <w:noWrap w:val="0"/>
            <w:vAlign w:val="center"/>
          </w:tcPr>
          <w:p w14:paraId="1094E378">
            <w:pPr>
              <w:spacing w:line="600" w:lineRule="exact"/>
              <w:jc w:val="center"/>
              <w:rPr>
                <w:rFonts w:ascii="黑体" w:hAnsi="黑体" w:eastAsia="黑体" w:cs="黑体"/>
              </w:rPr>
            </w:pPr>
            <w:r>
              <w:rPr>
                <w:rFonts w:hint="eastAsia" w:ascii="黑体" w:hAnsi="黑体" w:eastAsia="黑体" w:cs="黑体"/>
                <w:sz w:val="24"/>
              </w:rPr>
              <w:t>（</w:t>
            </w:r>
            <w:r>
              <w:rPr>
                <w:rFonts w:hint="eastAsia" w:ascii="黑体" w:hAnsi="黑体" w:eastAsia="黑体" w:cs="黑体"/>
                <w:sz w:val="24"/>
                <w:lang w:eastAsia="zh-CN"/>
              </w:rPr>
              <w:t>202</w:t>
            </w:r>
            <w:r>
              <w:rPr>
                <w:rFonts w:hint="eastAsia" w:ascii="黑体" w:hAnsi="黑体" w:eastAsia="黑体" w:cs="黑体"/>
                <w:sz w:val="24"/>
                <w:lang w:val="en-US" w:eastAsia="zh-CN"/>
              </w:rPr>
              <w:t>3</w:t>
            </w:r>
            <w:r>
              <w:rPr>
                <w:rFonts w:hint="eastAsia" w:ascii="黑体" w:hAnsi="黑体" w:eastAsia="黑体" w:cs="黑体"/>
                <w:sz w:val="24"/>
              </w:rPr>
              <w:t>年度）</w:t>
            </w:r>
          </w:p>
        </w:tc>
      </w:tr>
      <w:tr w14:paraId="55ED7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036" w:hRule="exact"/>
          <w:jc w:val="center"/>
        </w:trPr>
        <w:tc>
          <w:tcPr>
            <w:tcW w:w="533" w:type="dxa"/>
            <w:vMerge w:val="restart"/>
            <w:noWrap w:val="0"/>
            <w:vAlign w:val="center"/>
          </w:tcPr>
          <w:p w14:paraId="0520F087">
            <w:pPr>
              <w:spacing w:line="560" w:lineRule="exact"/>
              <w:jc w:val="center"/>
              <w:rPr>
                <w:rFonts w:ascii="楷体" w:hAnsi="楷体" w:eastAsia="楷体" w:cs="楷体"/>
                <w:szCs w:val="21"/>
              </w:rPr>
            </w:pPr>
            <w:r>
              <w:rPr>
                <w:rFonts w:hint="eastAsia" w:ascii="楷体" w:hAnsi="楷体" w:eastAsia="楷体" w:cs="楷体"/>
                <w:szCs w:val="21"/>
              </w:rPr>
              <w:t>基本情况</w:t>
            </w:r>
          </w:p>
        </w:tc>
        <w:tc>
          <w:tcPr>
            <w:tcW w:w="1168" w:type="dxa"/>
            <w:noWrap w:val="0"/>
            <w:vAlign w:val="center"/>
          </w:tcPr>
          <w:p w14:paraId="61F4BCE3">
            <w:pPr>
              <w:jc w:val="center"/>
              <w:rPr>
                <w:rFonts w:ascii="楷体" w:hAnsi="楷体" w:eastAsia="楷体" w:cs="楷体"/>
                <w:szCs w:val="21"/>
              </w:rPr>
            </w:pPr>
            <w:r>
              <w:rPr>
                <w:rFonts w:hint="eastAsia" w:ascii="楷体" w:hAnsi="楷体" w:eastAsia="楷体" w:cs="楷体"/>
                <w:szCs w:val="21"/>
              </w:rPr>
              <w:t>单位名称（盖章）</w:t>
            </w:r>
          </w:p>
        </w:tc>
        <w:tc>
          <w:tcPr>
            <w:tcW w:w="7299" w:type="dxa"/>
            <w:gridSpan w:val="9"/>
            <w:noWrap w:val="0"/>
            <w:vAlign w:val="top"/>
          </w:tcPr>
          <w:p w14:paraId="3EFFDB45">
            <w:pPr>
              <w:spacing w:line="540" w:lineRule="exact"/>
              <w:jc w:val="center"/>
              <w:rPr>
                <w:rFonts w:ascii="楷体" w:hAnsi="楷体" w:eastAsia="楷体" w:cs="楷体"/>
                <w:szCs w:val="21"/>
              </w:rPr>
            </w:pPr>
            <w:r>
              <w:rPr>
                <w:rFonts w:hint="eastAsia" w:ascii="楷体" w:hAnsi="楷体" w:eastAsia="楷体" w:cs="楷体"/>
                <w:szCs w:val="21"/>
                <w:lang w:val="en-US" w:eastAsia="zh-CN"/>
              </w:rPr>
              <w:t>隆回县</w:t>
            </w:r>
            <w:r>
              <w:rPr>
                <w:rFonts w:hint="eastAsia" w:ascii="楷体" w:hAnsi="楷体" w:eastAsia="楷体" w:cs="楷体"/>
                <w:szCs w:val="21"/>
              </w:rPr>
              <w:t>金石桥镇人民政府</w:t>
            </w:r>
          </w:p>
          <w:p w14:paraId="33FC50EE">
            <w:pPr>
              <w:spacing w:line="540" w:lineRule="exact"/>
              <w:jc w:val="left"/>
              <w:rPr>
                <w:rFonts w:ascii="楷体" w:hAnsi="楷体" w:eastAsia="楷体" w:cs="楷体"/>
                <w:szCs w:val="21"/>
              </w:rPr>
            </w:pPr>
          </w:p>
        </w:tc>
      </w:tr>
      <w:tr w14:paraId="7E3C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466" w:hRule="exact"/>
          <w:jc w:val="center"/>
        </w:trPr>
        <w:tc>
          <w:tcPr>
            <w:tcW w:w="533" w:type="dxa"/>
            <w:vMerge w:val="continue"/>
            <w:noWrap w:val="0"/>
            <w:vAlign w:val="center"/>
          </w:tcPr>
          <w:p w14:paraId="362BA90F">
            <w:pPr>
              <w:widowControl/>
              <w:jc w:val="left"/>
              <w:rPr>
                <w:rFonts w:ascii="楷体" w:hAnsi="楷体" w:eastAsia="楷体" w:cs="楷体"/>
                <w:szCs w:val="21"/>
              </w:rPr>
            </w:pPr>
          </w:p>
        </w:tc>
        <w:tc>
          <w:tcPr>
            <w:tcW w:w="1168" w:type="dxa"/>
            <w:noWrap w:val="0"/>
            <w:vAlign w:val="center"/>
          </w:tcPr>
          <w:p w14:paraId="5274DBA8">
            <w:pPr>
              <w:jc w:val="center"/>
              <w:rPr>
                <w:rFonts w:ascii="楷体" w:hAnsi="楷体" w:eastAsia="楷体" w:cs="楷体"/>
                <w:szCs w:val="21"/>
              </w:rPr>
            </w:pPr>
            <w:r>
              <w:rPr>
                <w:rFonts w:hint="eastAsia" w:ascii="楷体" w:hAnsi="楷体" w:eastAsia="楷体" w:cs="楷体"/>
                <w:szCs w:val="21"/>
              </w:rPr>
              <w:t>编制人数</w:t>
            </w:r>
          </w:p>
        </w:tc>
        <w:tc>
          <w:tcPr>
            <w:tcW w:w="2977" w:type="dxa"/>
            <w:gridSpan w:val="2"/>
            <w:noWrap w:val="0"/>
            <w:vAlign w:val="top"/>
          </w:tcPr>
          <w:p w14:paraId="0C0B2C6E">
            <w:pPr>
              <w:spacing w:line="540" w:lineRule="exact"/>
              <w:ind w:firstLine="105" w:firstLineChars="50"/>
              <w:jc w:val="center"/>
              <w:rPr>
                <w:rFonts w:hint="default" w:ascii="楷体" w:hAnsi="楷体" w:eastAsia="楷体" w:cs="楷体"/>
                <w:szCs w:val="21"/>
                <w:lang w:val="en-US" w:eastAsia="zh-CN"/>
              </w:rPr>
            </w:pPr>
            <w:r>
              <w:rPr>
                <w:rFonts w:hint="eastAsia" w:ascii="楷体" w:hAnsi="楷体" w:eastAsia="楷体" w:cs="楷体"/>
                <w:szCs w:val="21"/>
                <w:lang w:val="en-US" w:eastAsia="zh-CN"/>
              </w:rPr>
              <w:t>136</w:t>
            </w:r>
          </w:p>
        </w:tc>
        <w:tc>
          <w:tcPr>
            <w:tcW w:w="1559" w:type="dxa"/>
            <w:gridSpan w:val="2"/>
            <w:noWrap w:val="0"/>
            <w:vAlign w:val="center"/>
          </w:tcPr>
          <w:p w14:paraId="7CA60301">
            <w:pPr>
              <w:ind w:firstLine="105" w:firstLineChars="50"/>
              <w:jc w:val="center"/>
              <w:rPr>
                <w:rFonts w:ascii="楷体" w:hAnsi="楷体" w:eastAsia="楷体" w:cs="楷体"/>
                <w:szCs w:val="21"/>
              </w:rPr>
            </w:pPr>
            <w:r>
              <w:rPr>
                <w:rFonts w:hint="eastAsia" w:ascii="楷体" w:hAnsi="楷体" w:eastAsia="楷体" w:cs="楷体"/>
                <w:szCs w:val="21"/>
              </w:rPr>
              <w:t>实有人数</w:t>
            </w:r>
          </w:p>
        </w:tc>
        <w:tc>
          <w:tcPr>
            <w:tcW w:w="2763" w:type="dxa"/>
            <w:gridSpan w:val="5"/>
            <w:noWrap w:val="0"/>
            <w:vAlign w:val="top"/>
          </w:tcPr>
          <w:p w14:paraId="2C7E07FD">
            <w:pPr>
              <w:spacing w:line="540" w:lineRule="exact"/>
              <w:ind w:firstLine="105" w:firstLineChars="50"/>
              <w:jc w:val="center"/>
              <w:rPr>
                <w:rFonts w:hint="default" w:ascii="楷体" w:hAnsi="楷体" w:eastAsia="楷体" w:cs="楷体"/>
                <w:szCs w:val="21"/>
                <w:lang w:val="en-US" w:eastAsia="zh-CN"/>
              </w:rPr>
            </w:pPr>
            <w:r>
              <w:rPr>
                <w:rFonts w:hint="eastAsia" w:ascii="楷体" w:hAnsi="楷体" w:eastAsia="楷体" w:cs="楷体"/>
                <w:szCs w:val="21"/>
                <w:lang w:val="en-US" w:eastAsia="zh-CN"/>
              </w:rPr>
              <w:t>126</w:t>
            </w:r>
          </w:p>
        </w:tc>
      </w:tr>
      <w:tr w14:paraId="49BB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742" w:hRule="exact"/>
          <w:jc w:val="center"/>
        </w:trPr>
        <w:tc>
          <w:tcPr>
            <w:tcW w:w="533" w:type="dxa"/>
            <w:vMerge w:val="continue"/>
            <w:noWrap w:val="0"/>
            <w:vAlign w:val="center"/>
          </w:tcPr>
          <w:p w14:paraId="68EC04C9">
            <w:pPr>
              <w:widowControl/>
              <w:jc w:val="left"/>
              <w:rPr>
                <w:rFonts w:ascii="楷体" w:hAnsi="楷体" w:eastAsia="楷体" w:cs="楷体"/>
                <w:szCs w:val="21"/>
              </w:rPr>
            </w:pPr>
          </w:p>
        </w:tc>
        <w:tc>
          <w:tcPr>
            <w:tcW w:w="1168" w:type="dxa"/>
            <w:noWrap w:val="0"/>
            <w:vAlign w:val="center"/>
          </w:tcPr>
          <w:p w14:paraId="3B62620A">
            <w:pPr>
              <w:jc w:val="center"/>
              <w:rPr>
                <w:rFonts w:ascii="楷体" w:hAnsi="楷体" w:eastAsia="楷体" w:cs="楷体"/>
                <w:sz w:val="13"/>
                <w:szCs w:val="13"/>
              </w:rPr>
            </w:pPr>
            <w:r>
              <w:rPr>
                <w:rFonts w:hint="eastAsia" w:ascii="楷体" w:hAnsi="楷体" w:eastAsia="楷体" w:cs="楷体"/>
                <w:sz w:val="21"/>
                <w:szCs w:val="21"/>
              </w:rPr>
              <w:t>部门职能概述</w:t>
            </w:r>
          </w:p>
        </w:tc>
        <w:tc>
          <w:tcPr>
            <w:tcW w:w="7299" w:type="dxa"/>
            <w:gridSpan w:val="9"/>
            <w:noWrap w:val="0"/>
            <w:vAlign w:val="top"/>
          </w:tcPr>
          <w:p w14:paraId="382A2285">
            <w:pPr>
              <w:pStyle w:val="8"/>
              <w:widowControl/>
              <w:spacing w:before="0" w:beforeAutospacing="0" w:after="0" w:afterAutospacing="0" w:line="360" w:lineRule="auto"/>
              <w:jc w:val="both"/>
              <w:rPr>
                <w:rFonts w:ascii="楷体" w:hAnsi="楷体" w:eastAsia="楷体" w:cs="楷体"/>
                <w:sz w:val="13"/>
                <w:szCs w:val="13"/>
              </w:rPr>
            </w:pPr>
            <w:r>
              <w:rPr>
                <w:rFonts w:ascii="楷体" w:hAnsi="楷体" w:eastAsia="楷体" w:cs="楷体"/>
                <w:sz w:val="13"/>
                <w:szCs w:val="13"/>
              </w:rPr>
              <w:t>1</w:t>
            </w:r>
            <w:r>
              <w:rPr>
                <w:rFonts w:hint="eastAsia" w:ascii="楷体" w:hAnsi="楷体" w:eastAsia="楷体" w:cs="楷体"/>
                <w:sz w:val="13"/>
                <w:szCs w:val="13"/>
              </w:rPr>
              <w:t>、金石桥镇人民政府机关及部门设机构如下：镇党委、人大、政府、政协、财政所，行政综合执法大队，社会事务服务中心，农业综合服务中心，政务服务中心，退役军人服务站。</w:t>
            </w:r>
          </w:p>
          <w:p w14:paraId="4FFD3814">
            <w:pPr>
              <w:pStyle w:val="8"/>
              <w:widowControl/>
              <w:spacing w:before="0" w:beforeAutospacing="0" w:after="0" w:afterAutospacing="0" w:line="360" w:lineRule="auto"/>
              <w:jc w:val="both"/>
              <w:rPr>
                <w:rFonts w:ascii="楷体" w:hAnsi="楷体" w:eastAsia="楷体" w:cs="楷体"/>
                <w:sz w:val="13"/>
                <w:szCs w:val="13"/>
              </w:rPr>
            </w:pPr>
            <w:r>
              <w:rPr>
                <w:rFonts w:ascii="楷体" w:hAnsi="楷体" w:eastAsia="楷体" w:cs="楷体"/>
                <w:sz w:val="13"/>
                <w:szCs w:val="13"/>
              </w:rPr>
              <w:t>2</w:t>
            </w:r>
            <w:r>
              <w:rPr>
                <w:rFonts w:hint="eastAsia" w:ascii="楷体" w:hAnsi="楷体" w:eastAsia="楷体" w:cs="楷体"/>
                <w:sz w:val="13"/>
                <w:szCs w:val="13"/>
              </w:rPr>
              <w:t>、职能职责。（</w:t>
            </w:r>
            <w:r>
              <w:rPr>
                <w:rFonts w:ascii="楷体" w:hAnsi="楷体" w:eastAsia="楷体" w:cs="楷体"/>
                <w:sz w:val="13"/>
                <w:szCs w:val="13"/>
              </w:rPr>
              <w:t>1</w:t>
            </w:r>
            <w:r>
              <w:rPr>
                <w:rFonts w:hint="eastAsia" w:ascii="楷体" w:hAnsi="楷体" w:eastAsia="楷体" w:cs="楷体"/>
                <w:sz w:val="13"/>
                <w:szCs w:val="13"/>
              </w:rPr>
              <w:t>）镇党委工作职责：</w:t>
            </w:r>
            <w:r>
              <w:rPr>
                <w:rFonts w:ascii="楷体" w:hAnsi="楷体" w:eastAsia="楷体" w:cs="楷体"/>
                <w:sz w:val="13"/>
                <w:szCs w:val="13"/>
              </w:rPr>
              <w:t>a</w:t>
            </w:r>
            <w:r>
              <w:rPr>
                <w:rFonts w:hint="eastAsia" w:ascii="楷体" w:hAnsi="楷体" w:eastAsia="楷体" w:cs="楷体"/>
                <w:sz w:val="13"/>
                <w:szCs w:val="13"/>
              </w:rPr>
              <w:t>、负责基层党委全面工作。</w:t>
            </w:r>
            <w:r>
              <w:rPr>
                <w:rFonts w:ascii="楷体" w:hAnsi="楷体" w:eastAsia="楷体" w:cs="楷体"/>
                <w:sz w:val="13"/>
                <w:szCs w:val="13"/>
              </w:rPr>
              <w:t>b</w:t>
            </w:r>
            <w:r>
              <w:rPr>
                <w:rFonts w:hint="eastAsia" w:ascii="楷体" w:hAnsi="楷体" w:eastAsia="楷体" w:cs="楷体"/>
                <w:sz w:val="13"/>
                <w:szCs w:val="13"/>
              </w:rPr>
              <w:t>．主持制定基层党委工作计划，并组织实施。</w:t>
            </w:r>
            <w:r>
              <w:rPr>
                <w:rFonts w:ascii="楷体" w:hAnsi="楷体" w:eastAsia="楷体" w:cs="楷体"/>
                <w:sz w:val="13"/>
                <w:szCs w:val="13"/>
              </w:rPr>
              <w:t>c</w:t>
            </w:r>
            <w:r>
              <w:rPr>
                <w:rFonts w:hint="eastAsia" w:ascii="楷体" w:hAnsi="楷体" w:eastAsia="楷体" w:cs="楷体"/>
                <w:sz w:val="13"/>
                <w:szCs w:val="13"/>
              </w:rPr>
              <w:t>．负责基层党委自身建设，发挥基层党委集体领导作用。</w:t>
            </w:r>
            <w:r>
              <w:rPr>
                <w:rFonts w:ascii="楷体" w:hAnsi="楷体" w:eastAsia="楷体" w:cs="楷体"/>
                <w:sz w:val="13"/>
                <w:szCs w:val="13"/>
              </w:rPr>
              <w:t>d</w:t>
            </w:r>
            <w:r>
              <w:rPr>
                <w:rFonts w:hint="eastAsia" w:ascii="楷体" w:hAnsi="楷体" w:eastAsia="楷体" w:cs="楷体"/>
                <w:sz w:val="13"/>
                <w:szCs w:val="13"/>
              </w:rPr>
              <w:t>．指导各党支部完成基层工作。</w:t>
            </w:r>
            <w:r>
              <w:rPr>
                <w:rFonts w:ascii="楷体" w:hAnsi="楷体" w:eastAsia="楷体" w:cs="楷体"/>
                <w:sz w:val="13"/>
                <w:szCs w:val="13"/>
              </w:rPr>
              <w:t>e</w:t>
            </w:r>
            <w:r>
              <w:rPr>
                <w:rFonts w:hint="eastAsia" w:ascii="楷体" w:hAnsi="楷体" w:eastAsia="楷体" w:cs="楷体"/>
                <w:sz w:val="13"/>
                <w:szCs w:val="13"/>
              </w:rPr>
              <w:t>．领导、支持行政领导完成本单位的行政工作。</w:t>
            </w:r>
            <w:r>
              <w:rPr>
                <w:rFonts w:ascii="楷体" w:hAnsi="楷体" w:eastAsia="楷体" w:cs="楷体"/>
                <w:sz w:val="13"/>
                <w:szCs w:val="13"/>
              </w:rPr>
              <w:t>f</w:t>
            </w:r>
            <w:r>
              <w:rPr>
                <w:rFonts w:hint="eastAsia" w:ascii="楷体" w:hAnsi="楷体" w:eastAsia="楷体" w:cs="楷体"/>
                <w:sz w:val="13"/>
                <w:szCs w:val="13"/>
              </w:rPr>
              <w:t>．负责本单位党员、干部、教职工、学生思想政治工作。</w:t>
            </w:r>
            <w:r>
              <w:rPr>
                <w:rFonts w:ascii="楷体" w:hAnsi="楷体" w:eastAsia="楷体" w:cs="楷体"/>
                <w:sz w:val="13"/>
                <w:szCs w:val="13"/>
              </w:rPr>
              <w:t>g</w:t>
            </w:r>
            <w:r>
              <w:rPr>
                <w:rFonts w:hint="eastAsia" w:ascii="楷体" w:hAnsi="楷体" w:eastAsia="楷体" w:cs="楷体"/>
                <w:sz w:val="13"/>
                <w:szCs w:val="13"/>
              </w:rPr>
              <w:t>．完成上级党组织交办的其他工作。（</w:t>
            </w:r>
            <w:r>
              <w:rPr>
                <w:rFonts w:ascii="楷体" w:hAnsi="楷体" w:eastAsia="楷体" w:cs="楷体"/>
                <w:sz w:val="13"/>
                <w:szCs w:val="13"/>
              </w:rPr>
              <w:t>2</w:t>
            </w:r>
            <w:r>
              <w:rPr>
                <w:rFonts w:hint="eastAsia" w:ascii="楷体" w:hAnsi="楷体" w:eastAsia="楷体" w:cs="楷体"/>
                <w:sz w:val="13"/>
                <w:szCs w:val="13"/>
              </w:rPr>
              <w:t>）政府及其他各部门职能职责：</w:t>
            </w:r>
            <w:r>
              <w:rPr>
                <w:rFonts w:ascii="楷体" w:hAnsi="楷体" w:eastAsia="楷体" w:cs="楷体"/>
                <w:sz w:val="13"/>
                <w:szCs w:val="13"/>
              </w:rPr>
              <w:t>a</w:t>
            </w:r>
            <w:r>
              <w:rPr>
                <w:rFonts w:hint="eastAsia" w:ascii="楷体" w:hAnsi="楷体" w:eastAsia="楷体" w:cs="楷体"/>
                <w:sz w:val="13"/>
                <w:szCs w:val="13"/>
              </w:rPr>
              <w:t>、制定和组织实施经济、科技和社会发展计划，组织指导好各行业生产。</w:t>
            </w:r>
            <w:r>
              <w:rPr>
                <w:rFonts w:ascii="楷体" w:hAnsi="楷体" w:eastAsia="楷体" w:cs="楷体"/>
                <w:sz w:val="13"/>
                <w:szCs w:val="13"/>
              </w:rPr>
              <w:t>b</w:t>
            </w:r>
            <w:r>
              <w:rPr>
                <w:rFonts w:hint="eastAsia" w:ascii="楷体" w:hAnsi="楷体" w:eastAsia="楷体" w:cs="楷体"/>
                <w:sz w:val="13"/>
                <w:szCs w:val="13"/>
              </w:rPr>
              <w:t>、制定并组织实施村镇建设规划等职能职责。</w:t>
            </w:r>
          </w:p>
          <w:p w14:paraId="19875DB6">
            <w:pPr>
              <w:spacing w:line="340" w:lineRule="exact"/>
              <w:jc w:val="left"/>
              <w:rPr>
                <w:rFonts w:ascii="楷体" w:hAnsi="楷体" w:eastAsia="楷体" w:cs="楷体"/>
                <w:sz w:val="13"/>
                <w:szCs w:val="13"/>
              </w:rPr>
            </w:pPr>
          </w:p>
        </w:tc>
      </w:tr>
      <w:tr w14:paraId="2F467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72" w:hRule="exact"/>
          <w:jc w:val="center"/>
        </w:trPr>
        <w:tc>
          <w:tcPr>
            <w:tcW w:w="533" w:type="dxa"/>
            <w:vMerge w:val="continue"/>
            <w:noWrap w:val="0"/>
            <w:vAlign w:val="center"/>
          </w:tcPr>
          <w:p w14:paraId="7ADEC81C">
            <w:pPr>
              <w:widowControl/>
              <w:jc w:val="left"/>
              <w:rPr>
                <w:rFonts w:ascii="楷体" w:hAnsi="楷体" w:eastAsia="楷体" w:cs="楷体"/>
                <w:szCs w:val="21"/>
              </w:rPr>
            </w:pPr>
          </w:p>
        </w:tc>
        <w:tc>
          <w:tcPr>
            <w:tcW w:w="1168" w:type="dxa"/>
            <w:vMerge w:val="restart"/>
            <w:noWrap w:val="0"/>
            <w:vAlign w:val="center"/>
          </w:tcPr>
          <w:p w14:paraId="2AAE00E4">
            <w:pPr>
              <w:spacing w:line="240" w:lineRule="atLeast"/>
              <w:jc w:val="center"/>
              <w:rPr>
                <w:rFonts w:ascii="楷体" w:hAnsi="楷体" w:eastAsia="楷体" w:cs="楷体"/>
                <w:szCs w:val="21"/>
              </w:rPr>
            </w:pPr>
            <w:r>
              <w:rPr>
                <w:rFonts w:hint="eastAsia" w:ascii="楷体" w:hAnsi="楷体" w:eastAsia="楷体" w:cs="楷体"/>
                <w:szCs w:val="21"/>
              </w:rPr>
              <w:t>年度收入（万元）</w:t>
            </w:r>
          </w:p>
        </w:tc>
        <w:tc>
          <w:tcPr>
            <w:tcW w:w="2372" w:type="dxa"/>
            <w:noWrap w:val="0"/>
            <w:vAlign w:val="center"/>
          </w:tcPr>
          <w:p w14:paraId="3FEF99CF">
            <w:pPr>
              <w:jc w:val="center"/>
              <w:rPr>
                <w:rFonts w:ascii="楷体" w:hAnsi="楷体" w:eastAsia="楷体" w:cs="楷体"/>
                <w:szCs w:val="21"/>
              </w:rPr>
            </w:pPr>
            <w:r>
              <w:rPr>
                <w:rFonts w:hint="eastAsia" w:ascii="楷体" w:hAnsi="楷体" w:eastAsia="楷体" w:cs="楷体"/>
                <w:szCs w:val="21"/>
              </w:rPr>
              <w:t>县财政预算安排</w:t>
            </w:r>
          </w:p>
        </w:tc>
        <w:tc>
          <w:tcPr>
            <w:tcW w:w="1172" w:type="dxa"/>
            <w:gridSpan w:val="2"/>
            <w:noWrap w:val="0"/>
            <w:vAlign w:val="center"/>
          </w:tcPr>
          <w:p w14:paraId="5AB877BD">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7047.53</w:t>
            </w:r>
          </w:p>
        </w:tc>
        <w:tc>
          <w:tcPr>
            <w:tcW w:w="1552" w:type="dxa"/>
            <w:gridSpan w:val="2"/>
            <w:noWrap w:val="0"/>
            <w:vAlign w:val="center"/>
          </w:tcPr>
          <w:p w14:paraId="3500709F">
            <w:pPr>
              <w:spacing w:line="560" w:lineRule="exact"/>
              <w:jc w:val="center"/>
              <w:rPr>
                <w:rFonts w:ascii="楷体" w:hAnsi="楷体" w:eastAsia="楷体" w:cs="楷体"/>
                <w:szCs w:val="21"/>
              </w:rPr>
            </w:pPr>
            <w:r>
              <w:rPr>
                <w:rFonts w:hint="eastAsia" w:ascii="楷体" w:hAnsi="楷体" w:eastAsia="楷体" w:cs="楷体"/>
                <w:szCs w:val="21"/>
              </w:rPr>
              <w:t>非税收入</w:t>
            </w:r>
          </w:p>
        </w:tc>
        <w:tc>
          <w:tcPr>
            <w:tcW w:w="1000" w:type="dxa"/>
            <w:noWrap w:val="0"/>
            <w:vAlign w:val="top"/>
          </w:tcPr>
          <w:p w14:paraId="42989374">
            <w:pPr>
              <w:spacing w:line="560" w:lineRule="exact"/>
              <w:jc w:val="left"/>
              <w:rPr>
                <w:rFonts w:ascii="楷体" w:hAnsi="楷体" w:eastAsia="楷体" w:cs="楷体"/>
                <w:szCs w:val="21"/>
              </w:rPr>
            </w:pPr>
          </w:p>
        </w:tc>
        <w:tc>
          <w:tcPr>
            <w:tcW w:w="494" w:type="dxa"/>
            <w:vMerge w:val="restart"/>
            <w:noWrap w:val="0"/>
            <w:vAlign w:val="center"/>
          </w:tcPr>
          <w:p w14:paraId="72E98FC0">
            <w:pPr>
              <w:spacing w:line="560" w:lineRule="exact"/>
              <w:jc w:val="center"/>
              <w:rPr>
                <w:rFonts w:ascii="楷体" w:hAnsi="楷体" w:eastAsia="楷体" w:cs="楷体"/>
                <w:szCs w:val="21"/>
              </w:rPr>
            </w:pPr>
            <w:r>
              <w:rPr>
                <w:rFonts w:hint="eastAsia" w:ascii="楷体" w:hAnsi="楷体" w:eastAsia="楷体" w:cs="楷体"/>
                <w:szCs w:val="21"/>
              </w:rPr>
              <w:t>合计</w:t>
            </w:r>
          </w:p>
        </w:tc>
        <w:tc>
          <w:tcPr>
            <w:tcW w:w="709" w:type="dxa"/>
            <w:gridSpan w:val="2"/>
            <w:vMerge w:val="restart"/>
            <w:noWrap w:val="0"/>
            <w:vAlign w:val="top"/>
          </w:tcPr>
          <w:p w14:paraId="4E0FF3D6">
            <w:pPr>
              <w:spacing w:line="560" w:lineRule="exact"/>
              <w:jc w:val="left"/>
              <w:rPr>
                <w:rFonts w:hint="default" w:ascii="楷体" w:hAnsi="楷体" w:eastAsia="楷体" w:cs="楷体"/>
                <w:szCs w:val="21"/>
                <w:lang w:val="en-US" w:eastAsia="zh-CN"/>
              </w:rPr>
            </w:pPr>
            <w:r>
              <w:rPr>
                <w:rFonts w:hint="eastAsia" w:ascii="楷体" w:hAnsi="楷体" w:eastAsia="楷体" w:cs="楷体"/>
                <w:szCs w:val="21"/>
                <w:lang w:val="en-US" w:eastAsia="zh-CN"/>
              </w:rPr>
              <w:t>4299.03</w:t>
            </w:r>
          </w:p>
        </w:tc>
      </w:tr>
      <w:tr w14:paraId="0E43F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55" w:hRule="exact"/>
          <w:jc w:val="center"/>
        </w:trPr>
        <w:tc>
          <w:tcPr>
            <w:tcW w:w="533" w:type="dxa"/>
            <w:vMerge w:val="continue"/>
            <w:noWrap w:val="0"/>
            <w:vAlign w:val="center"/>
          </w:tcPr>
          <w:p w14:paraId="34DA8792">
            <w:pPr>
              <w:widowControl/>
              <w:jc w:val="left"/>
              <w:rPr>
                <w:rFonts w:ascii="楷体" w:hAnsi="楷体" w:eastAsia="楷体" w:cs="楷体"/>
                <w:szCs w:val="21"/>
              </w:rPr>
            </w:pPr>
          </w:p>
        </w:tc>
        <w:tc>
          <w:tcPr>
            <w:tcW w:w="1168" w:type="dxa"/>
            <w:vMerge w:val="continue"/>
            <w:noWrap w:val="0"/>
            <w:vAlign w:val="center"/>
          </w:tcPr>
          <w:p w14:paraId="53D2047B">
            <w:pPr>
              <w:spacing w:line="240" w:lineRule="atLeast"/>
              <w:jc w:val="center"/>
              <w:rPr>
                <w:rFonts w:ascii="楷体" w:hAnsi="楷体" w:eastAsia="楷体" w:cs="楷体"/>
                <w:szCs w:val="21"/>
              </w:rPr>
            </w:pPr>
          </w:p>
        </w:tc>
        <w:tc>
          <w:tcPr>
            <w:tcW w:w="2372" w:type="dxa"/>
            <w:noWrap w:val="0"/>
            <w:vAlign w:val="center"/>
          </w:tcPr>
          <w:p w14:paraId="1359F67F">
            <w:pPr>
              <w:jc w:val="center"/>
              <w:rPr>
                <w:rFonts w:ascii="楷体" w:hAnsi="楷体" w:eastAsia="楷体" w:cs="楷体"/>
                <w:szCs w:val="21"/>
              </w:rPr>
            </w:pPr>
            <w:r>
              <w:rPr>
                <w:rFonts w:hint="eastAsia" w:ascii="楷体" w:hAnsi="楷体" w:eastAsia="楷体" w:cs="楷体"/>
                <w:szCs w:val="21"/>
              </w:rPr>
              <w:t>中央省市安排资金</w:t>
            </w:r>
          </w:p>
        </w:tc>
        <w:tc>
          <w:tcPr>
            <w:tcW w:w="1172" w:type="dxa"/>
            <w:gridSpan w:val="2"/>
            <w:noWrap w:val="0"/>
            <w:vAlign w:val="center"/>
          </w:tcPr>
          <w:p w14:paraId="7E403701">
            <w:pPr>
              <w:jc w:val="center"/>
              <w:rPr>
                <w:rFonts w:ascii="楷体" w:hAnsi="楷体" w:eastAsia="楷体" w:cs="楷体"/>
                <w:szCs w:val="21"/>
              </w:rPr>
            </w:pPr>
          </w:p>
        </w:tc>
        <w:tc>
          <w:tcPr>
            <w:tcW w:w="1552" w:type="dxa"/>
            <w:gridSpan w:val="2"/>
            <w:noWrap w:val="0"/>
            <w:vAlign w:val="center"/>
          </w:tcPr>
          <w:p w14:paraId="3E5BDF93">
            <w:pPr>
              <w:spacing w:line="560" w:lineRule="exact"/>
              <w:ind w:firstLine="315" w:firstLineChars="150"/>
              <w:rPr>
                <w:rFonts w:ascii="楷体" w:hAnsi="楷体" w:eastAsia="楷体" w:cs="楷体"/>
                <w:szCs w:val="21"/>
              </w:rPr>
            </w:pPr>
            <w:r>
              <w:rPr>
                <w:rFonts w:hint="eastAsia" w:ascii="楷体" w:hAnsi="楷体" w:eastAsia="楷体" w:cs="楷体"/>
                <w:szCs w:val="21"/>
              </w:rPr>
              <w:t>其他收入</w:t>
            </w:r>
          </w:p>
        </w:tc>
        <w:tc>
          <w:tcPr>
            <w:tcW w:w="1000" w:type="dxa"/>
            <w:noWrap w:val="0"/>
            <w:vAlign w:val="top"/>
          </w:tcPr>
          <w:p w14:paraId="57BF4B83">
            <w:pPr>
              <w:spacing w:line="560" w:lineRule="exact"/>
              <w:jc w:val="left"/>
              <w:rPr>
                <w:rFonts w:hint="default" w:ascii="楷体" w:hAnsi="楷体" w:eastAsia="楷体" w:cs="楷体"/>
                <w:szCs w:val="21"/>
                <w:lang w:val="en-US" w:eastAsia="zh-CN"/>
              </w:rPr>
            </w:pPr>
          </w:p>
        </w:tc>
        <w:tc>
          <w:tcPr>
            <w:tcW w:w="494" w:type="dxa"/>
            <w:vMerge w:val="continue"/>
            <w:noWrap w:val="0"/>
            <w:vAlign w:val="center"/>
          </w:tcPr>
          <w:p w14:paraId="7A601D0F">
            <w:pPr>
              <w:spacing w:line="560" w:lineRule="exact"/>
              <w:jc w:val="center"/>
              <w:rPr>
                <w:rFonts w:ascii="楷体" w:hAnsi="楷体" w:eastAsia="楷体" w:cs="楷体"/>
                <w:szCs w:val="21"/>
              </w:rPr>
            </w:pPr>
          </w:p>
        </w:tc>
        <w:tc>
          <w:tcPr>
            <w:tcW w:w="709" w:type="dxa"/>
            <w:gridSpan w:val="2"/>
            <w:vMerge w:val="continue"/>
            <w:noWrap w:val="0"/>
            <w:vAlign w:val="top"/>
          </w:tcPr>
          <w:p w14:paraId="5D986256">
            <w:pPr>
              <w:spacing w:line="560" w:lineRule="exact"/>
              <w:jc w:val="left"/>
              <w:rPr>
                <w:rFonts w:ascii="楷体" w:hAnsi="楷体" w:eastAsia="楷体" w:cs="楷体"/>
                <w:szCs w:val="21"/>
              </w:rPr>
            </w:pPr>
          </w:p>
        </w:tc>
      </w:tr>
      <w:tr w14:paraId="076AD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60" w:hRule="exact"/>
          <w:jc w:val="center"/>
        </w:trPr>
        <w:tc>
          <w:tcPr>
            <w:tcW w:w="533" w:type="dxa"/>
            <w:vMerge w:val="continue"/>
            <w:noWrap w:val="0"/>
            <w:vAlign w:val="center"/>
          </w:tcPr>
          <w:p w14:paraId="0F3722FE">
            <w:pPr>
              <w:widowControl/>
              <w:jc w:val="left"/>
              <w:rPr>
                <w:rFonts w:ascii="楷体" w:hAnsi="楷体" w:eastAsia="楷体" w:cs="楷体"/>
                <w:szCs w:val="21"/>
              </w:rPr>
            </w:pPr>
          </w:p>
        </w:tc>
        <w:tc>
          <w:tcPr>
            <w:tcW w:w="1168" w:type="dxa"/>
            <w:vMerge w:val="restart"/>
            <w:noWrap w:val="0"/>
            <w:vAlign w:val="center"/>
          </w:tcPr>
          <w:p w14:paraId="1FF5CAC3">
            <w:pPr>
              <w:jc w:val="center"/>
              <w:rPr>
                <w:rFonts w:ascii="楷体" w:hAnsi="楷体" w:eastAsia="楷体" w:cs="楷体"/>
                <w:szCs w:val="21"/>
              </w:rPr>
            </w:pPr>
            <w:r>
              <w:rPr>
                <w:rFonts w:hint="eastAsia" w:ascii="楷体" w:hAnsi="楷体" w:eastAsia="楷体" w:cs="楷体"/>
                <w:szCs w:val="21"/>
              </w:rPr>
              <w:t>年度支出</w:t>
            </w:r>
          </w:p>
          <w:p w14:paraId="1BCA4286">
            <w:pPr>
              <w:jc w:val="center"/>
              <w:rPr>
                <w:rFonts w:ascii="楷体" w:hAnsi="楷体" w:eastAsia="楷体" w:cs="楷体"/>
                <w:szCs w:val="21"/>
              </w:rPr>
            </w:pPr>
            <w:r>
              <w:rPr>
                <w:rFonts w:hint="eastAsia" w:ascii="楷体" w:hAnsi="楷体" w:eastAsia="楷体" w:cs="楷体"/>
                <w:szCs w:val="21"/>
              </w:rPr>
              <w:t>（万元）</w:t>
            </w:r>
          </w:p>
        </w:tc>
        <w:tc>
          <w:tcPr>
            <w:tcW w:w="2372" w:type="dxa"/>
            <w:noWrap w:val="0"/>
            <w:vAlign w:val="center"/>
          </w:tcPr>
          <w:p w14:paraId="265608F0">
            <w:pPr>
              <w:jc w:val="center"/>
              <w:rPr>
                <w:rFonts w:ascii="楷体" w:hAnsi="楷体" w:eastAsia="楷体" w:cs="楷体"/>
                <w:szCs w:val="21"/>
              </w:rPr>
            </w:pPr>
            <w:r>
              <w:rPr>
                <w:rFonts w:hint="eastAsia" w:ascii="楷体" w:hAnsi="楷体" w:eastAsia="楷体" w:cs="楷体"/>
                <w:szCs w:val="21"/>
              </w:rPr>
              <w:t>基本支出</w:t>
            </w:r>
          </w:p>
        </w:tc>
        <w:tc>
          <w:tcPr>
            <w:tcW w:w="1172" w:type="dxa"/>
            <w:gridSpan w:val="2"/>
            <w:noWrap w:val="0"/>
            <w:vAlign w:val="center"/>
          </w:tcPr>
          <w:p w14:paraId="440E06EB">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3519.87</w:t>
            </w:r>
          </w:p>
        </w:tc>
        <w:tc>
          <w:tcPr>
            <w:tcW w:w="1552" w:type="dxa"/>
            <w:gridSpan w:val="2"/>
            <w:vMerge w:val="restart"/>
            <w:noWrap w:val="0"/>
            <w:vAlign w:val="center"/>
          </w:tcPr>
          <w:p w14:paraId="55140454">
            <w:pPr>
              <w:jc w:val="center"/>
              <w:rPr>
                <w:rFonts w:ascii="楷体" w:hAnsi="楷体" w:eastAsia="楷体" w:cs="楷体"/>
                <w:szCs w:val="21"/>
              </w:rPr>
            </w:pPr>
            <w:r>
              <w:rPr>
                <w:rFonts w:hint="eastAsia" w:ascii="楷体" w:hAnsi="楷体" w:eastAsia="楷体" w:cs="楷体"/>
                <w:szCs w:val="21"/>
              </w:rPr>
              <w:t>项目支出</w:t>
            </w:r>
          </w:p>
        </w:tc>
        <w:tc>
          <w:tcPr>
            <w:tcW w:w="1000" w:type="dxa"/>
            <w:vMerge w:val="restart"/>
            <w:noWrap w:val="0"/>
            <w:vAlign w:val="center"/>
          </w:tcPr>
          <w:p w14:paraId="388728A0">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3527.66</w:t>
            </w:r>
          </w:p>
        </w:tc>
        <w:tc>
          <w:tcPr>
            <w:tcW w:w="494" w:type="dxa"/>
            <w:vMerge w:val="restart"/>
            <w:noWrap w:val="0"/>
            <w:vAlign w:val="center"/>
          </w:tcPr>
          <w:p w14:paraId="6648FB39">
            <w:pPr>
              <w:jc w:val="center"/>
              <w:rPr>
                <w:rFonts w:ascii="楷体" w:hAnsi="楷体" w:eastAsia="楷体" w:cs="楷体"/>
                <w:szCs w:val="21"/>
              </w:rPr>
            </w:pPr>
            <w:r>
              <w:rPr>
                <w:rFonts w:hint="eastAsia" w:ascii="楷体" w:hAnsi="楷体" w:eastAsia="楷体" w:cs="楷体"/>
                <w:szCs w:val="21"/>
              </w:rPr>
              <w:t>合计</w:t>
            </w:r>
          </w:p>
        </w:tc>
        <w:tc>
          <w:tcPr>
            <w:tcW w:w="709" w:type="dxa"/>
            <w:gridSpan w:val="2"/>
            <w:vMerge w:val="restart"/>
            <w:noWrap w:val="0"/>
            <w:vAlign w:val="center"/>
          </w:tcPr>
          <w:p w14:paraId="50857170">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7047.53</w:t>
            </w:r>
          </w:p>
        </w:tc>
      </w:tr>
      <w:tr w14:paraId="4875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708" w:hRule="exact"/>
          <w:jc w:val="center"/>
        </w:trPr>
        <w:tc>
          <w:tcPr>
            <w:tcW w:w="533" w:type="dxa"/>
            <w:vMerge w:val="continue"/>
            <w:noWrap w:val="0"/>
            <w:vAlign w:val="center"/>
          </w:tcPr>
          <w:p w14:paraId="10BC7F92">
            <w:pPr>
              <w:widowControl/>
              <w:jc w:val="left"/>
              <w:rPr>
                <w:rFonts w:ascii="楷体" w:hAnsi="楷体" w:eastAsia="楷体" w:cs="楷体"/>
                <w:szCs w:val="21"/>
              </w:rPr>
            </w:pPr>
          </w:p>
        </w:tc>
        <w:tc>
          <w:tcPr>
            <w:tcW w:w="1168" w:type="dxa"/>
            <w:vMerge w:val="continue"/>
            <w:noWrap w:val="0"/>
            <w:vAlign w:val="center"/>
          </w:tcPr>
          <w:p w14:paraId="347C209F">
            <w:pPr>
              <w:jc w:val="center"/>
              <w:rPr>
                <w:rFonts w:ascii="楷体" w:hAnsi="楷体" w:eastAsia="楷体" w:cs="楷体"/>
                <w:szCs w:val="21"/>
              </w:rPr>
            </w:pPr>
          </w:p>
        </w:tc>
        <w:tc>
          <w:tcPr>
            <w:tcW w:w="2372" w:type="dxa"/>
            <w:noWrap w:val="0"/>
            <w:tcMar>
              <w:left w:w="0" w:type="dxa"/>
              <w:right w:w="0" w:type="dxa"/>
            </w:tcMar>
            <w:vAlign w:val="center"/>
          </w:tcPr>
          <w:p w14:paraId="275645C3">
            <w:pPr>
              <w:jc w:val="center"/>
              <w:rPr>
                <w:rFonts w:ascii="楷体" w:hAnsi="楷体" w:eastAsia="楷体" w:cs="楷体"/>
                <w:szCs w:val="21"/>
              </w:rPr>
            </w:pPr>
            <w:r>
              <w:rPr>
                <w:rFonts w:hint="eastAsia" w:ascii="楷体" w:hAnsi="楷体" w:eastAsia="楷体" w:cs="楷体"/>
                <w:szCs w:val="21"/>
              </w:rPr>
              <w:t>其中三公经费支出</w:t>
            </w:r>
          </w:p>
        </w:tc>
        <w:tc>
          <w:tcPr>
            <w:tcW w:w="1172" w:type="dxa"/>
            <w:gridSpan w:val="2"/>
            <w:noWrap w:val="0"/>
            <w:vAlign w:val="center"/>
          </w:tcPr>
          <w:p w14:paraId="0FB964F1">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16</w:t>
            </w:r>
          </w:p>
        </w:tc>
        <w:tc>
          <w:tcPr>
            <w:tcW w:w="1552" w:type="dxa"/>
            <w:gridSpan w:val="2"/>
            <w:vMerge w:val="continue"/>
            <w:noWrap w:val="0"/>
            <w:vAlign w:val="top"/>
          </w:tcPr>
          <w:p w14:paraId="60C56158">
            <w:pPr>
              <w:jc w:val="center"/>
              <w:rPr>
                <w:rFonts w:ascii="楷体" w:hAnsi="楷体" w:eastAsia="楷体" w:cs="楷体"/>
                <w:szCs w:val="21"/>
              </w:rPr>
            </w:pPr>
          </w:p>
        </w:tc>
        <w:tc>
          <w:tcPr>
            <w:tcW w:w="1000" w:type="dxa"/>
            <w:vMerge w:val="continue"/>
            <w:noWrap w:val="0"/>
            <w:vAlign w:val="top"/>
          </w:tcPr>
          <w:p w14:paraId="3733EBFB">
            <w:pPr>
              <w:jc w:val="center"/>
              <w:rPr>
                <w:rFonts w:ascii="楷体" w:hAnsi="楷体" w:eastAsia="楷体" w:cs="楷体"/>
                <w:szCs w:val="21"/>
              </w:rPr>
            </w:pPr>
          </w:p>
        </w:tc>
        <w:tc>
          <w:tcPr>
            <w:tcW w:w="494" w:type="dxa"/>
            <w:vMerge w:val="continue"/>
            <w:noWrap w:val="0"/>
            <w:vAlign w:val="center"/>
          </w:tcPr>
          <w:p w14:paraId="3EABA644">
            <w:pPr>
              <w:jc w:val="center"/>
              <w:rPr>
                <w:rFonts w:ascii="楷体" w:hAnsi="楷体" w:eastAsia="楷体" w:cs="楷体"/>
                <w:szCs w:val="21"/>
              </w:rPr>
            </w:pPr>
          </w:p>
        </w:tc>
        <w:tc>
          <w:tcPr>
            <w:tcW w:w="709" w:type="dxa"/>
            <w:gridSpan w:val="2"/>
            <w:vMerge w:val="continue"/>
            <w:noWrap w:val="0"/>
            <w:vAlign w:val="center"/>
          </w:tcPr>
          <w:p w14:paraId="3FAC149B">
            <w:pPr>
              <w:jc w:val="center"/>
              <w:rPr>
                <w:rFonts w:ascii="楷体" w:hAnsi="楷体" w:eastAsia="楷体" w:cs="楷体"/>
                <w:szCs w:val="21"/>
              </w:rPr>
            </w:pPr>
          </w:p>
        </w:tc>
      </w:tr>
      <w:tr w14:paraId="3529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816" w:hRule="exact"/>
          <w:jc w:val="center"/>
        </w:trPr>
        <w:tc>
          <w:tcPr>
            <w:tcW w:w="533" w:type="dxa"/>
            <w:vMerge w:val="restart"/>
            <w:noWrap w:val="0"/>
            <w:vAlign w:val="center"/>
          </w:tcPr>
          <w:p w14:paraId="22CF1369">
            <w:pPr>
              <w:spacing w:line="560" w:lineRule="exact"/>
              <w:jc w:val="center"/>
              <w:rPr>
                <w:rFonts w:ascii="楷体" w:hAnsi="楷体" w:eastAsia="楷体" w:cs="楷体"/>
                <w:szCs w:val="21"/>
              </w:rPr>
            </w:pPr>
            <w:r>
              <w:rPr>
                <w:rFonts w:hint="eastAsia" w:ascii="楷体" w:hAnsi="楷体" w:eastAsia="楷体" w:cs="楷体"/>
                <w:szCs w:val="21"/>
              </w:rPr>
              <w:t>实施情况</w:t>
            </w:r>
          </w:p>
        </w:tc>
        <w:tc>
          <w:tcPr>
            <w:tcW w:w="1168" w:type="dxa"/>
            <w:noWrap w:val="0"/>
            <w:vAlign w:val="center"/>
          </w:tcPr>
          <w:p w14:paraId="11E3DE55">
            <w:pPr>
              <w:jc w:val="center"/>
              <w:rPr>
                <w:rFonts w:ascii="楷体" w:hAnsi="楷体" w:eastAsia="楷体" w:cs="楷体"/>
                <w:szCs w:val="21"/>
              </w:rPr>
            </w:pPr>
            <w:r>
              <w:rPr>
                <w:rFonts w:hint="eastAsia" w:ascii="楷体" w:hAnsi="楷体" w:eastAsia="楷体" w:cs="楷体"/>
                <w:szCs w:val="21"/>
              </w:rPr>
              <w:t>财政供养人员控制情况</w:t>
            </w:r>
          </w:p>
        </w:tc>
        <w:tc>
          <w:tcPr>
            <w:tcW w:w="7299" w:type="dxa"/>
            <w:gridSpan w:val="9"/>
            <w:noWrap w:val="0"/>
            <w:vAlign w:val="center"/>
          </w:tcPr>
          <w:p w14:paraId="2AAEAE9D">
            <w:pPr>
              <w:rPr>
                <w:rFonts w:hint="eastAsia" w:ascii="楷体" w:hAnsi="楷体" w:eastAsia="楷体" w:cs="楷体"/>
                <w:szCs w:val="21"/>
                <w:lang w:eastAsia="zh-CN"/>
              </w:rPr>
            </w:pPr>
            <w:r>
              <w:rPr>
                <w:rFonts w:hint="eastAsia" w:ascii="楷体" w:hAnsi="楷体" w:eastAsia="楷体" w:cs="楷体"/>
                <w:szCs w:val="21"/>
              </w:rPr>
              <w:t>是否存在超编超配人员：</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p>
        </w:tc>
      </w:tr>
      <w:tr w14:paraId="22D6E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437" w:hRule="exact"/>
          <w:jc w:val="center"/>
        </w:trPr>
        <w:tc>
          <w:tcPr>
            <w:tcW w:w="533" w:type="dxa"/>
            <w:vMerge w:val="continue"/>
            <w:noWrap w:val="0"/>
            <w:vAlign w:val="center"/>
          </w:tcPr>
          <w:p w14:paraId="7B04F998">
            <w:pPr>
              <w:widowControl/>
              <w:jc w:val="left"/>
              <w:rPr>
                <w:rFonts w:ascii="楷体" w:hAnsi="楷体" w:eastAsia="楷体" w:cs="楷体"/>
                <w:szCs w:val="21"/>
              </w:rPr>
            </w:pPr>
          </w:p>
        </w:tc>
        <w:tc>
          <w:tcPr>
            <w:tcW w:w="1168" w:type="dxa"/>
            <w:noWrap w:val="0"/>
            <w:vAlign w:val="center"/>
          </w:tcPr>
          <w:p w14:paraId="6A19D163">
            <w:pPr>
              <w:spacing w:line="240" w:lineRule="atLeast"/>
              <w:jc w:val="center"/>
              <w:rPr>
                <w:rFonts w:ascii="楷体" w:hAnsi="楷体" w:eastAsia="楷体" w:cs="楷体"/>
                <w:szCs w:val="21"/>
              </w:rPr>
            </w:pPr>
            <w:r>
              <w:rPr>
                <w:rFonts w:hint="eastAsia" w:ascii="楷体" w:hAnsi="楷体" w:eastAsia="楷体" w:cs="楷体"/>
                <w:szCs w:val="21"/>
              </w:rPr>
              <w:t>三公经费管理情况</w:t>
            </w:r>
          </w:p>
        </w:tc>
        <w:tc>
          <w:tcPr>
            <w:tcW w:w="7299" w:type="dxa"/>
            <w:gridSpan w:val="9"/>
            <w:noWrap w:val="0"/>
            <w:vAlign w:val="center"/>
          </w:tcPr>
          <w:p w14:paraId="428CF382">
            <w:pPr>
              <w:rPr>
                <w:rFonts w:ascii="楷体" w:hAnsi="楷体" w:eastAsia="楷体" w:cs="楷体"/>
                <w:szCs w:val="21"/>
              </w:rPr>
            </w:pPr>
            <w:r>
              <w:rPr>
                <w:rFonts w:hint="eastAsia" w:ascii="楷体" w:hAnsi="楷体" w:eastAsia="楷体" w:cs="楷体"/>
                <w:szCs w:val="21"/>
              </w:rPr>
              <w:t>是否制定“三公”经费管理办法：是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14:paraId="0DBF06DD">
            <w:pPr>
              <w:rPr>
                <w:rFonts w:ascii="楷体" w:hAnsi="楷体" w:eastAsia="楷体" w:cs="楷体"/>
                <w:szCs w:val="21"/>
              </w:rPr>
            </w:pPr>
            <w:r>
              <w:rPr>
                <w:rFonts w:hint="eastAsia" w:ascii="楷体" w:hAnsi="楷体" w:eastAsia="楷体" w:cs="楷体"/>
                <w:szCs w:val="21"/>
              </w:rPr>
              <w:t>招待费用是否明确招待标准和招待人数：是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14:paraId="2CE11F82">
            <w:pPr>
              <w:jc w:val="left"/>
              <w:rPr>
                <w:rFonts w:ascii="楷体" w:hAnsi="楷体" w:eastAsia="楷体" w:cs="楷体"/>
                <w:szCs w:val="21"/>
              </w:rPr>
            </w:pPr>
            <w:r>
              <w:rPr>
                <w:rFonts w:hint="eastAsia" w:ascii="楷体" w:hAnsi="楷体" w:eastAsia="楷体" w:cs="楷体"/>
                <w:szCs w:val="21"/>
              </w:rPr>
              <w:t>公务用车购置运行费是否比上年度下降</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14:paraId="78D1EE22">
            <w:pPr>
              <w:jc w:val="left"/>
              <w:rPr>
                <w:rFonts w:ascii="楷体" w:hAnsi="楷体" w:eastAsia="楷体" w:cs="楷体"/>
                <w:szCs w:val="21"/>
              </w:rPr>
            </w:pPr>
            <w:r>
              <w:rPr>
                <w:rFonts w:hint="eastAsia" w:ascii="楷体" w:hAnsi="楷体" w:eastAsia="楷体" w:cs="楷体"/>
                <w:szCs w:val="21"/>
              </w:rPr>
              <w:t>三公经费是否比年度下降：是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tc>
      </w:tr>
      <w:tr w14:paraId="049E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125" w:hRule="exact"/>
          <w:jc w:val="center"/>
        </w:trPr>
        <w:tc>
          <w:tcPr>
            <w:tcW w:w="533" w:type="dxa"/>
            <w:vMerge w:val="continue"/>
            <w:noWrap w:val="0"/>
            <w:vAlign w:val="center"/>
          </w:tcPr>
          <w:p w14:paraId="5EACFC48">
            <w:pPr>
              <w:widowControl/>
              <w:jc w:val="left"/>
              <w:rPr>
                <w:rFonts w:ascii="楷体" w:hAnsi="楷体" w:eastAsia="楷体" w:cs="楷体"/>
                <w:szCs w:val="21"/>
              </w:rPr>
            </w:pPr>
          </w:p>
        </w:tc>
        <w:tc>
          <w:tcPr>
            <w:tcW w:w="1168" w:type="dxa"/>
            <w:noWrap w:val="0"/>
            <w:vAlign w:val="center"/>
          </w:tcPr>
          <w:p w14:paraId="28025819">
            <w:pPr>
              <w:spacing w:line="240" w:lineRule="atLeast"/>
              <w:jc w:val="center"/>
              <w:rPr>
                <w:rFonts w:ascii="楷体" w:hAnsi="楷体" w:eastAsia="楷体" w:cs="楷体"/>
                <w:szCs w:val="21"/>
              </w:rPr>
            </w:pPr>
            <w:r>
              <w:rPr>
                <w:rFonts w:hint="eastAsia" w:ascii="楷体" w:hAnsi="楷体" w:eastAsia="楷体" w:cs="楷体"/>
                <w:szCs w:val="21"/>
              </w:rPr>
              <w:t>非税收入完成情况</w:t>
            </w:r>
          </w:p>
        </w:tc>
        <w:tc>
          <w:tcPr>
            <w:tcW w:w="7299" w:type="dxa"/>
            <w:gridSpan w:val="9"/>
            <w:noWrap w:val="0"/>
            <w:vAlign w:val="center"/>
          </w:tcPr>
          <w:p w14:paraId="4F49DEDB">
            <w:pPr>
              <w:rPr>
                <w:rFonts w:ascii="楷体" w:hAnsi="楷体" w:eastAsia="楷体" w:cs="楷体"/>
                <w:szCs w:val="21"/>
              </w:rPr>
            </w:pPr>
            <w:r>
              <w:rPr>
                <w:rFonts w:hint="eastAsia" w:ascii="楷体" w:hAnsi="楷体" w:eastAsia="楷体" w:cs="楷体"/>
                <w:szCs w:val="21"/>
              </w:rPr>
              <w:t>年度非税收入是否完成</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14:paraId="576D7371">
            <w:pPr>
              <w:rPr>
                <w:rFonts w:ascii="楷体" w:hAnsi="楷体" w:eastAsia="楷体" w:cs="楷体"/>
                <w:szCs w:val="21"/>
              </w:rPr>
            </w:pPr>
            <w:r>
              <w:rPr>
                <w:rFonts w:hint="eastAsia" w:ascii="楷体" w:hAnsi="楷体" w:eastAsia="楷体" w:cs="楷体"/>
                <w:szCs w:val="21"/>
              </w:rPr>
              <w:t>是否实行收支两条线管理：是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14:paraId="71DC2B92">
            <w:pPr>
              <w:rPr>
                <w:rFonts w:hint="eastAsia" w:ascii="楷体" w:hAnsi="楷体" w:eastAsia="楷体" w:cs="楷体"/>
                <w:szCs w:val="21"/>
                <w:lang w:eastAsia="zh-CN"/>
              </w:rPr>
            </w:pPr>
            <w:r>
              <w:rPr>
                <w:rFonts w:hint="eastAsia" w:ascii="楷体" w:hAnsi="楷体" w:eastAsia="楷体" w:cs="楷体"/>
                <w:szCs w:val="21"/>
              </w:rPr>
              <w:t>有无截留、坐支、转移等现象</w:t>
            </w:r>
            <w:r>
              <w:rPr>
                <w:rFonts w:ascii="楷体" w:hAnsi="楷体" w:eastAsia="楷体" w:cs="楷体"/>
                <w:szCs w:val="21"/>
              </w:rPr>
              <w:t>:</w:t>
            </w:r>
            <w:r>
              <w:rPr>
                <w:rFonts w:hint="eastAsia" w:ascii="楷体" w:hAnsi="楷体" w:eastAsia="楷体" w:cs="楷体"/>
                <w:szCs w:val="21"/>
              </w:rPr>
              <w:t>有□</w:t>
            </w:r>
            <w:r>
              <w:rPr>
                <w:rFonts w:ascii="楷体" w:hAnsi="楷体" w:eastAsia="楷体" w:cs="楷体"/>
                <w:szCs w:val="21"/>
              </w:rPr>
              <w:t xml:space="preserve">     </w:t>
            </w:r>
            <w:r>
              <w:rPr>
                <w:rFonts w:hint="eastAsia" w:ascii="楷体" w:hAnsi="楷体" w:eastAsia="楷体" w:cs="楷体"/>
                <w:szCs w:val="21"/>
              </w:rPr>
              <w:t>无</w:t>
            </w:r>
            <w:r>
              <w:rPr>
                <w:rFonts w:hint="eastAsia" w:ascii="楷体" w:hAnsi="楷体" w:eastAsia="楷体" w:cs="楷体"/>
                <w:szCs w:val="21"/>
                <w:lang w:eastAsia="zh-CN"/>
              </w:rPr>
              <w:t>☑</w:t>
            </w:r>
          </w:p>
        </w:tc>
      </w:tr>
      <w:tr w14:paraId="62E7B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814" w:hRule="exact"/>
          <w:jc w:val="center"/>
        </w:trPr>
        <w:tc>
          <w:tcPr>
            <w:tcW w:w="533" w:type="dxa"/>
            <w:vMerge w:val="continue"/>
            <w:noWrap w:val="0"/>
            <w:vAlign w:val="center"/>
          </w:tcPr>
          <w:p w14:paraId="38C747A8">
            <w:pPr>
              <w:widowControl/>
              <w:jc w:val="left"/>
              <w:rPr>
                <w:rFonts w:ascii="楷体" w:hAnsi="楷体" w:eastAsia="楷体" w:cs="楷体"/>
                <w:szCs w:val="21"/>
              </w:rPr>
            </w:pPr>
          </w:p>
        </w:tc>
        <w:tc>
          <w:tcPr>
            <w:tcW w:w="1168" w:type="dxa"/>
            <w:noWrap w:val="0"/>
            <w:vAlign w:val="center"/>
          </w:tcPr>
          <w:p w14:paraId="4D5CBE05">
            <w:pPr>
              <w:spacing w:line="360" w:lineRule="exact"/>
              <w:jc w:val="center"/>
              <w:rPr>
                <w:rFonts w:ascii="楷体" w:hAnsi="楷体" w:eastAsia="楷体" w:cs="楷体"/>
                <w:szCs w:val="21"/>
              </w:rPr>
            </w:pPr>
            <w:r>
              <w:rPr>
                <w:rFonts w:hint="eastAsia" w:ascii="楷体" w:hAnsi="楷体" w:eastAsia="楷体" w:cs="楷体"/>
                <w:szCs w:val="21"/>
              </w:rPr>
              <w:t>政府采购及金额</w:t>
            </w:r>
          </w:p>
        </w:tc>
        <w:tc>
          <w:tcPr>
            <w:tcW w:w="7299" w:type="dxa"/>
            <w:gridSpan w:val="9"/>
            <w:noWrap w:val="0"/>
            <w:vAlign w:val="center"/>
          </w:tcPr>
          <w:p w14:paraId="599A9B5F">
            <w:pPr>
              <w:spacing w:line="360" w:lineRule="exact"/>
              <w:rPr>
                <w:rFonts w:ascii="楷体" w:hAnsi="楷体" w:eastAsia="楷体" w:cs="楷体"/>
                <w:szCs w:val="21"/>
              </w:rPr>
            </w:pPr>
            <w:r>
              <w:rPr>
                <w:rFonts w:hint="eastAsia" w:ascii="楷体" w:hAnsi="楷体" w:eastAsia="楷体" w:cs="楷体"/>
                <w:szCs w:val="21"/>
              </w:rPr>
              <w:t>年度是否制定了政府采购计划：是</w:t>
            </w:r>
            <w:r>
              <w:rPr>
                <w:rFonts w:ascii="楷体" w:hAnsi="楷体" w:eastAsia="楷体" w:cs="楷体"/>
                <w:szCs w:val="21"/>
              </w:rPr>
              <w:t xml:space="preserve"> </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14:paraId="1AD3DE23">
            <w:pPr>
              <w:spacing w:line="360" w:lineRule="exact"/>
              <w:rPr>
                <w:rFonts w:ascii="楷体" w:hAnsi="楷体" w:eastAsia="楷体" w:cs="楷体"/>
                <w:szCs w:val="21"/>
              </w:rPr>
            </w:pPr>
          </w:p>
        </w:tc>
      </w:tr>
      <w:tr w14:paraId="2650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740" w:hRule="exact"/>
          <w:jc w:val="center"/>
        </w:trPr>
        <w:tc>
          <w:tcPr>
            <w:tcW w:w="533" w:type="dxa"/>
            <w:vMerge w:val="continue"/>
            <w:noWrap w:val="0"/>
            <w:vAlign w:val="center"/>
          </w:tcPr>
          <w:p w14:paraId="4ABD9F3A">
            <w:pPr>
              <w:widowControl/>
              <w:jc w:val="left"/>
              <w:rPr>
                <w:rFonts w:ascii="楷体" w:hAnsi="楷体" w:eastAsia="楷体" w:cs="楷体"/>
                <w:szCs w:val="21"/>
              </w:rPr>
            </w:pPr>
          </w:p>
        </w:tc>
        <w:tc>
          <w:tcPr>
            <w:tcW w:w="1168" w:type="dxa"/>
            <w:noWrap w:val="0"/>
            <w:vAlign w:val="center"/>
          </w:tcPr>
          <w:p w14:paraId="4817122C">
            <w:pPr>
              <w:spacing w:line="360" w:lineRule="exact"/>
              <w:jc w:val="center"/>
              <w:rPr>
                <w:rFonts w:ascii="楷体" w:hAnsi="楷体" w:eastAsia="楷体" w:cs="楷体"/>
                <w:szCs w:val="21"/>
              </w:rPr>
            </w:pPr>
            <w:r>
              <w:rPr>
                <w:rFonts w:hint="eastAsia" w:ascii="楷体" w:hAnsi="楷体" w:eastAsia="楷体" w:cs="楷体"/>
                <w:szCs w:val="21"/>
              </w:rPr>
              <w:t>预算执行</w:t>
            </w:r>
          </w:p>
        </w:tc>
        <w:tc>
          <w:tcPr>
            <w:tcW w:w="7299" w:type="dxa"/>
            <w:gridSpan w:val="9"/>
            <w:noWrap w:val="0"/>
            <w:vAlign w:val="center"/>
          </w:tcPr>
          <w:p w14:paraId="1EE3451A">
            <w:pPr>
              <w:rPr>
                <w:rFonts w:ascii="楷体" w:hAnsi="楷体" w:eastAsia="楷体" w:cs="楷体"/>
                <w:szCs w:val="21"/>
              </w:rPr>
            </w:pPr>
            <w:r>
              <w:rPr>
                <w:rFonts w:hint="eastAsia" w:ascii="楷体" w:hAnsi="楷体" w:eastAsia="楷体" w:cs="楷体"/>
                <w:szCs w:val="21"/>
              </w:rPr>
              <w:t>本年度是否追加了预算</w:t>
            </w:r>
            <w:r>
              <w:rPr>
                <w:rFonts w:ascii="楷体" w:hAnsi="楷体" w:eastAsia="楷体" w:cs="楷体"/>
                <w:szCs w:val="21"/>
              </w:rPr>
              <w:t>:</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追加金额</w:t>
            </w:r>
            <w:r>
              <w:rPr>
                <w:rFonts w:ascii="楷体" w:hAnsi="楷体" w:eastAsia="楷体" w:cs="楷体"/>
                <w:szCs w:val="21"/>
              </w:rPr>
              <w:t xml:space="preserve">    </w:t>
            </w:r>
            <w:r>
              <w:rPr>
                <w:rFonts w:hint="eastAsia" w:ascii="楷体" w:hAnsi="楷体" w:eastAsia="楷体" w:cs="楷体"/>
                <w:szCs w:val="21"/>
              </w:rPr>
              <w:t>万元</w:t>
            </w:r>
          </w:p>
          <w:p w14:paraId="303CFA2E">
            <w:pPr>
              <w:rPr>
                <w:rFonts w:ascii="楷体" w:hAnsi="楷体" w:eastAsia="楷体" w:cs="楷体"/>
                <w:szCs w:val="21"/>
              </w:rPr>
            </w:pPr>
            <w:r>
              <w:rPr>
                <w:rFonts w:hint="eastAsia" w:ascii="楷体" w:hAnsi="楷体" w:eastAsia="楷体" w:cs="楷体"/>
                <w:szCs w:val="21"/>
              </w:rPr>
              <w:t>本年度是否有结余</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r>
              <w:rPr>
                <w:rFonts w:ascii="楷体" w:hAnsi="楷体" w:eastAsia="楷体" w:cs="楷体"/>
                <w:szCs w:val="21"/>
              </w:rPr>
              <w:t>,</w:t>
            </w:r>
            <w:r>
              <w:rPr>
                <w:rFonts w:hint="eastAsia" w:ascii="楷体" w:hAnsi="楷体" w:eastAsia="楷体" w:cs="楷体"/>
                <w:szCs w:val="21"/>
              </w:rPr>
              <w:t>结余金额</w:t>
            </w:r>
            <w:r>
              <w:rPr>
                <w:rFonts w:ascii="楷体" w:hAnsi="楷体" w:eastAsia="楷体" w:cs="楷体"/>
                <w:szCs w:val="21"/>
              </w:rPr>
              <w:t xml:space="preserve">     </w:t>
            </w:r>
            <w:r>
              <w:rPr>
                <w:rFonts w:hint="eastAsia" w:ascii="楷体" w:hAnsi="楷体" w:eastAsia="楷体" w:cs="楷体"/>
                <w:szCs w:val="21"/>
              </w:rPr>
              <w:t>万元</w:t>
            </w:r>
          </w:p>
          <w:p w14:paraId="05F4014B">
            <w:pPr>
              <w:jc w:val="left"/>
              <w:rPr>
                <w:rFonts w:ascii="楷体" w:hAnsi="楷体" w:eastAsia="楷体" w:cs="楷体"/>
                <w:szCs w:val="21"/>
              </w:rPr>
            </w:pPr>
            <w:r>
              <w:rPr>
                <w:rFonts w:hint="eastAsia" w:ascii="楷体" w:hAnsi="楷体" w:eastAsia="楷体" w:cs="楷体"/>
                <w:szCs w:val="21"/>
              </w:rPr>
              <w:t>预决算信息是否公开</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14:paraId="76EA1205">
            <w:pPr>
              <w:jc w:val="left"/>
              <w:rPr>
                <w:rFonts w:ascii="楷体" w:hAnsi="楷体" w:eastAsia="楷体" w:cs="楷体"/>
                <w:szCs w:val="21"/>
              </w:rPr>
            </w:pPr>
            <w:r>
              <w:rPr>
                <w:rFonts w:hint="eastAsia" w:ascii="楷体" w:hAnsi="楷体" w:eastAsia="楷体" w:cs="楷体"/>
                <w:szCs w:val="21"/>
              </w:rPr>
              <w:t>公开时间</w:t>
            </w:r>
            <w:r>
              <w:rPr>
                <w:rFonts w:ascii="楷体" w:hAnsi="楷体" w:eastAsia="楷体" w:cs="楷体"/>
                <w:szCs w:val="21"/>
              </w:rPr>
              <w:t xml:space="preserve">:  </w:t>
            </w:r>
            <w:r>
              <w:rPr>
                <w:rFonts w:hint="eastAsia" w:ascii="楷体" w:hAnsi="楷体" w:eastAsia="楷体" w:cs="楷体"/>
                <w:szCs w:val="21"/>
                <w:lang w:val="en-US" w:eastAsia="zh-CN"/>
              </w:rPr>
              <w:t>2021</w:t>
            </w:r>
            <w:r>
              <w:rPr>
                <w:rFonts w:hint="eastAsia" w:ascii="楷体" w:hAnsi="楷体" w:eastAsia="楷体" w:cs="楷体"/>
                <w:szCs w:val="21"/>
              </w:rPr>
              <w:t>年</w:t>
            </w:r>
            <w:r>
              <w:rPr>
                <w:rFonts w:ascii="楷体" w:hAnsi="楷体" w:eastAsia="楷体" w:cs="楷体"/>
                <w:szCs w:val="21"/>
              </w:rPr>
              <w:t xml:space="preserve"> </w:t>
            </w:r>
            <w:r>
              <w:rPr>
                <w:rFonts w:hint="eastAsia" w:ascii="楷体" w:hAnsi="楷体" w:eastAsia="楷体" w:cs="楷体"/>
                <w:szCs w:val="21"/>
                <w:lang w:val="en-US" w:eastAsia="zh-CN"/>
              </w:rPr>
              <w:t>1</w:t>
            </w:r>
            <w:r>
              <w:rPr>
                <w:rFonts w:hint="eastAsia" w:ascii="楷体" w:hAnsi="楷体" w:eastAsia="楷体" w:cs="楷体"/>
                <w:szCs w:val="21"/>
              </w:rPr>
              <w:t>月</w:t>
            </w:r>
            <w:r>
              <w:rPr>
                <w:rFonts w:hint="eastAsia" w:ascii="楷体" w:hAnsi="楷体" w:eastAsia="楷体" w:cs="楷体"/>
                <w:szCs w:val="21"/>
                <w:lang w:val="en-US" w:eastAsia="zh-CN"/>
              </w:rPr>
              <w:t>25</w:t>
            </w:r>
            <w:r>
              <w:rPr>
                <w:rFonts w:hint="eastAsia" w:ascii="楷体" w:hAnsi="楷体" w:eastAsia="楷体" w:cs="楷体"/>
                <w:szCs w:val="21"/>
              </w:rPr>
              <w:t>日</w:t>
            </w:r>
          </w:p>
          <w:p w14:paraId="0B94B6F9">
            <w:pPr>
              <w:jc w:val="left"/>
              <w:rPr>
                <w:rFonts w:ascii="楷体" w:hAnsi="楷体" w:eastAsia="楷体" w:cs="楷体"/>
                <w:szCs w:val="21"/>
              </w:rPr>
            </w:pPr>
            <w:r>
              <w:rPr>
                <w:rFonts w:hint="eastAsia" w:ascii="楷体" w:hAnsi="楷体" w:eastAsia="楷体" w:cs="楷体"/>
                <w:szCs w:val="21"/>
              </w:rPr>
              <w:t>公开方式</w:t>
            </w:r>
            <w:r>
              <w:rPr>
                <w:rFonts w:ascii="楷体" w:hAnsi="楷体" w:eastAsia="楷体" w:cs="楷体"/>
                <w:szCs w:val="21"/>
              </w:rPr>
              <w:t>:</w:t>
            </w:r>
            <w:r>
              <w:rPr>
                <w:rFonts w:hint="eastAsia" w:ascii="楷体" w:hAnsi="楷体" w:eastAsia="楷体" w:cs="楷体"/>
                <w:szCs w:val="21"/>
              </w:rPr>
              <w:t>门户网站</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单位内部□</w:t>
            </w:r>
            <w:r>
              <w:rPr>
                <w:rFonts w:ascii="楷体" w:hAnsi="楷体" w:eastAsia="楷体" w:cs="楷体"/>
                <w:szCs w:val="21"/>
              </w:rPr>
              <w:t xml:space="preserve">      </w:t>
            </w:r>
            <w:r>
              <w:rPr>
                <w:rFonts w:hint="eastAsia" w:ascii="楷体" w:hAnsi="楷体" w:eastAsia="楷体" w:cs="楷体"/>
                <w:szCs w:val="21"/>
              </w:rPr>
              <w:t>其它□</w:t>
            </w:r>
          </w:p>
        </w:tc>
      </w:tr>
      <w:tr w14:paraId="0A8D1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997" w:hRule="exact"/>
          <w:jc w:val="center"/>
        </w:trPr>
        <w:tc>
          <w:tcPr>
            <w:tcW w:w="533" w:type="dxa"/>
            <w:vMerge w:val="continue"/>
            <w:noWrap w:val="0"/>
            <w:vAlign w:val="center"/>
          </w:tcPr>
          <w:p w14:paraId="25F322F2">
            <w:pPr>
              <w:widowControl/>
              <w:jc w:val="left"/>
              <w:rPr>
                <w:rFonts w:ascii="楷体" w:hAnsi="楷体" w:eastAsia="楷体" w:cs="楷体"/>
                <w:szCs w:val="21"/>
              </w:rPr>
            </w:pPr>
          </w:p>
        </w:tc>
        <w:tc>
          <w:tcPr>
            <w:tcW w:w="1168" w:type="dxa"/>
            <w:noWrap w:val="0"/>
            <w:vAlign w:val="center"/>
          </w:tcPr>
          <w:p w14:paraId="7CAF34A0">
            <w:pPr>
              <w:spacing w:line="240" w:lineRule="atLeast"/>
              <w:rPr>
                <w:rFonts w:ascii="楷体" w:hAnsi="楷体" w:eastAsia="楷体" w:cs="楷体"/>
                <w:szCs w:val="21"/>
              </w:rPr>
            </w:pPr>
            <w:r>
              <w:rPr>
                <w:rFonts w:hint="eastAsia" w:ascii="楷体" w:hAnsi="楷体" w:eastAsia="楷体" w:cs="楷体"/>
                <w:szCs w:val="21"/>
              </w:rPr>
              <w:t>财务管理</w:t>
            </w:r>
          </w:p>
        </w:tc>
        <w:tc>
          <w:tcPr>
            <w:tcW w:w="7299" w:type="dxa"/>
            <w:gridSpan w:val="9"/>
            <w:noWrap w:val="0"/>
            <w:vAlign w:val="center"/>
          </w:tcPr>
          <w:p w14:paraId="49C8EEAC">
            <w:pPr>
              <w:rPr>
                <w:rFonts w:ascii="楷体" w:hAnsi="楷体" w:eastAsia="楷体" w:cs="楷体"/>
                <w:szCs w:val="21"/>
              </w:rPr>
            </w:pPr>
            <w:r>
              <w:rPr>
                <w:rFonts w:hint="eastAsia" w:ascii="楷体" w:hAnsi="楷体" w:eastAsia="楷体" w:cs="楷体"/>
                <w:szCs w:val="21"/>
              </w:rPr>
              <w:t>是否制定财务管理、会计核算等制度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14:paraId="65F7767D">
            <w:pPr>
              <w:rPr>
                <w:rFonts w:ascii="楷体" w:hAnsi="楷体" w:eastAsia="楷体" w:cs="楷体"/>
                <w:szCs w:val="21"/>
              </w:rPr>
            </w:pPr>
            <w:r>
              <w:rPr>
                <w:rFonts w:hint="eastAsia" w:ascii="楷体" w:hAnsi="楷体" w:eastAsia="楷体" w:cs="楷体"/>
                <w:szCs w:val="21"/>
              </w:rPr>
              <w:t>会计机构是否按规定设置</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hint="eastAsia" w:ascii="楷体" w:hAnsi="楷体" w:eastAsia="楷体" w:cs="楷体"/>
                <w:szCs w:val="21"/>
              </w:rPr>
              <w:t>否□</w:t>
            </w:r>
          </w:p>
          <w:p w14:paraId="03F4DE9D">
            <w:pPr>
              <w:rPr>
                <w:rFonts w:ascii="楷体" w:hAnsi="楷体" w:eastAsia="楷体" w:cs="楷体"/>
                <w:szCs w:val="21"/>
              </w:rPr>
            </w:pPr>
            <w:r>
              <w:rPr>
                <w:rFonts w:hint="eastAsia" w:ascii="楷体" w:hAnsi="楷体" w:eastAsia="楷体" w:cs="楷体"/>
                <w:szCs w:val="21"/>
              </w:rPr>
              <w:t>会计人员是否持证上岗</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Arial" w:hAnsi="Arial" w:cs="Arial"/>
                <w:szCs w:val="21"/>
              </w:rPr>
              <w:t xml:space="preserve">  </w:t>
            </w:r>
            <w:r>
              <w:rPr>
                <w:rFonts w:hint="eastAsia" w:ascii="楷体" w:hAnsi="楷体" w:eastAsia="楷体" w:cs="楷体"/>
                <w:szCs w:val="21"/>
              </w:rPr>
              <w:t>否□</w:t>
            </w:r>
          </w:p>
        </w:tc>
      </w:tr>
      <w:tr w14:paraId="35C42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997" w:hRule="exact"/>
          <w:jc w:val="center"/>
        </w:trPr>
        <w:tc>
          <w:tcPr>
            <w:tcW w:w="533" w:type="dxa"/>
            <w:vMerge w:val="continue"/>
            <w:noWrap w:val="0"/>
            <w:vAlign w:val="center"/>
          </w:tcPr>
          <w:p w14:paraId="352B93BA">
            <w:pPr>
              <w:widowControl/>
              <w:jc w:val="left"/>
              <w:rPr>
                <w:rFonts w:ascii="楷体" w:hAnsi="楷体" w:eastAsia="楷体" w:cs="楷体"/>
                <w:szCs w:val="21"/>
              </w:rPr>
            </w:pPr>
          </w:p>
        </w:tc>
        <w:tc>
          <w:tcPr>
            <w:tcW w:w="1168" w:type="dxa"/>
            <w:noWrap w:val="0"/>
            <w:vAlign w:val="center"/>
          </w:tcPr>
          <w:p w14:paraId="0449BDB8">
            <w:pPr>
              <w:spacing w:line="400" w:lineRule="exact"/>
              <w:rPr>
                <w:rFonts w:ascii="楷体" w:hAnsi="楷体" w:eastAsia="楷体" w:cs="楷体"/>
                <w:szCs w:val="21"/>
              </w:rPr>
            </w:pPr>
            <w:r>
              <w:rPr>
                <w:rFonts w:hint="eastAsia" w:ascii="楷体" w:hAnsi="楷体" w:eastAsia="楷体" w:cs="楷体"/>
                <w:szCs w:val="21"/>
              </w:rPr>
              <w:t>资金管理</w:t>
            </w:r>
          </w:p>
        </w:tc>
        <w:tc>
          <w:tcPr>
            <w:tcW w:w="7299" w:type="dxa"/>
            <w:gridSpan w:val="9"/>
            <w:noWrap w:val="0"/>
            <w:vAlign w:val="center"/>
          </w:tcPr>
          <w:p w14:paraId="34E3F4BC">
            <w:pPr>
              <w:rPr>
                <w:rFonts w:ascii="楷体" w:hAnsi="楷体" w:eastAsia="楷体" w:cs="楷体"/>
                <w:szCs w:val="21"/>
              </w:rPr>
            </w:pPr>
            <w:r>
              <w:rPr>
                <w:rFonts w:hint="eastAsia" w:ascii="楷体" w:hAnsi="楷体" w:eastAsia="楷体" w:cs="楷体"/>
                <w:szCs w:val="21"/>
              </w:rPr>
              <w:t>是否制定资金管理办法</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14:paraId="60D895D7">
            <w:pPr>
              <w:rPr>
                <w:rFonts w:ascii="楷体" w:hAnsi="楷体" w:eastAsia="楷体" w:cs="楷体"/>
                <w:szCs w:val="21"/>
              </w:rPr>
            </w:pPr>
            <w:r>
              <w:rPr>
                <w:rFonts w:hint="eastAsia" w:ascii="楷体" w:hAnsi="楷体" w:eastAsia="楷体" w:cs="楷体"/>
                <w:szCs w:val="21"/>
              </w:rPr>
              <w:t>资金拨付有完整的审批程序</w:t>
            </w:r>
            <w:r>
              <w:rPr>
                <w:rFonts w:ascii="楷体" w:hAnsi="楷体" w:eastAsia="楷体" w:cs="楷体"/>
                <w:szCs w:val="21"/>
              </w:rPr>
              <w:t xml:space="preserve">: </w:t>
            </w:r>
            <w:r>
              <w:rPr>
                <w:rFonts w:hint="eastAsia" w:ascii="楷体" w:hAnsi="楷体" w:eastAsia="楷体" w:cs="楷体"/>
                <w:szCs w:val="21"/>
              </w:rPr>
              <w:t>有</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无□</w:t>
            </w:r>
          </w:p>
          <w:p w14:paraId="523F57BF">
            <w:pPr>
              <w:ind w:left="3885" w:hanging="3885" w:hangingChars="1850"/>
              <w:rPr>
                <w:rFonts w:hint="eastAsia" w:ascii="楷体" w:hAnsi="楷体" w:eastAsia="楷体" w:cs="楷体"/>
                <w:szCs w:val="21"/>
                <w:lang w:eastAsia="zh-CN"/>
              </w:rPr>
            </w:pPr>
            <w:r>
              <w:rPr>
                <w:rFonts w:hint="eastAsia" w:ascii="楷体" w:hAnsi="楷体" w:eastAsia="楷体" w:cs="楷体"/>
                <w:szCs w:val="21"/>
              </w:rPr>
              <w:t>资金使用是否存在违规使用资金、乱发津补贴奖金现象：是□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p>
        </w:tc>
      </w:tr>
      <w:tr w14:paraId="16F7B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280" w:hRule="exact"/>
          <w:jc w:val="center"/>
        </w:trPr>
        <w:tc>
          <w:tcPr>
            <w:tcW w:w="533" w:type="dxa"/>
            <w:vMerge w:val="continue"/>
            <w:noWrap w:val="0"/>
            <w:vAlign w:val="center"/>
          </w:tcPr>
          <w:p w14:paraId="28F3258E">
            <w:pPr>
              <w:widowControl/>
              <w:jc w:val="left"/>
              <w:rPr>
                <w:rFonts w:ascii="楷体" w:hAnsi="楷体" w:eastAsia="楷体" w:cs="楷体"/>
                <w:szCs w:val="21"/>
              </w:rPr>
            </w:pPr>
          </w:p>
        </w:tc>
        <w:tc>
          <w:tcPr>
            <w:tcW w:w="1168" w:type="dxa"/>
            <w:noWrap w:val="0"/>
            <w:vAlign w:val="center"/>
          </w:tcPr>
          <w:p w14:paraId="7E1660A5">
            <w:pPr>
              <w:spacing w:line="240" w:lineRule="atLeast"/>
              <w:jc w:val="center"/>
              <w:rPr>
                <w:rFonts w:ascii="楷体" w:hAnsi="楷体" w:eastAsia="楷体" w:cs="楷体"/>
                <w:szCs w:val="21"/>
              </w:rPr>
            </w:pPr>
            <w:r>
              <w:rPr>
                <w:rFonts w:hint="eastAsia" w:ascii="楷体" w:hAnsi="楷体" w:eastAsia="楷体" w:cs="楷体"/>
                <w:szCs w:val="21"/>
              </w:rPr>
              <w:t>资产管理</w:t>
            </w:r>
          </w:p>
        </w:tc>
        <w:tc>
          <w:tcPr>
            <w:tcW w:w="7299" w:type="dxa"/>
            <w:gridSpan w:val="9"/>
            <w:noWrap w:val="0"/>
            <w:vAlign w:val="center"/>
          </w:tcPr>
          <w:p w14:paraId="395CAF45">
            <w:pPr>
              <w:rPr>
                <w:rFonts w:ascii="楷体" w:hAnsi="楷体" w:eastAsia="楷体" w:cs="楷体"/>
                <w:szCs w:val="21"/>
              </w:rPr>
            </w:pPr>
            <w:r>
              <w:rPr>
                <w:rFonts w:hint="eastAsia" w:ascii="楷体" w:hAnsi="楷体" w:eastAsia="楷体" w:cs="楷体"/>
                <w:szCs w:val="21"/>
              </w:rPr>
              <w:t>是否制定资产管理制度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14:paraId="6B7B717C">
            <w:pPr>
              <w:rPr>
                <w:rFonts w:ascii="楷体" w:hAnsi="楷体" w:eastAsia="楷体" w:cs="楷体"/>
                <w:szCs w:val="21"/>
              </w:rPr>
            </w:pPr>
            <w:r>
              <w:rPr>
                <w:rFonts w:hint="eastAsia" w:ascii="楷体" w:hAnsi="楷体" w:eastAsia="楷体" w:cs="楷体"/>
                <w:szCs w:val="21"/>
              </w:rPr>
              <w:t>资产管理、保存、处置是否合理规范</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14:paraId="5D566033">
            <w:pPr>
              <w:rPr>
                <w:rFonts w:ascii="楷体" w:hAnsi="楷体" w:eastAsia="楷体" w:cs="楷体"/>
                <w:szCs w:val="21"/>
              </w:rPr>
            </w:pPr>
            <w:r>
              <w:rPr>
                <w:rFonts w:hint="eastAsia" w:ascii="楷体" w:hAnsi="楷体" w:eastAsia="楷体" w:cs="楷体"/>
                <w:szCs w:val="21"/>
              </w:rPr>
              <w:t>资产是否产权清晰、两证齐全：是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14:paraId="5BC20504">
            <w:pPr>
              <w:rPr>
                <w:rFonts w:ascii="楷体" w:hAnsi="楷体" w:eastAsia="楷体" w:cs="楷体"/>
                <w:szCs w:val="21"/>
              </w:rPr>
            </w:pPr>
            <w:r>
              <w:rPr>
                <w:rFonts w:hint="eastAsia" w:ascii="楷体" w:hAnsi="楷体" w:eastAsia="楷体" w:cs="楷体"/>
                <w:szCs w:val="21"/>
              </w:rPr>
              <w:t>账、表、实、卡是否相符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hint="eastAsia" w:ascii="楷体" w:hAnsi="楷体" w:eastAsia="楷体" w:cs="楷体"/>
                <w:szCs w:val="21"/>
              </w:rPr>
              <w:t>否□</w:t>
            </w:r>
          </w:p>
        </w:tc>
      </w:tr>
      <w:tr w14:paraId="0C9B4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61" w:hRule="exact"/>
          <w:jc w:val="center"/>
        </w:trPr>
        <w:tc>
          <w:tcPr>
            <w:tcW w:w="533" w:type="dxa"/>
            <w:vMerge w:val="continue"/>
            <w:noWrap w:val="0"/>
            <w:vAlign w:val="center"/>
          </w:tcPr>
          <w:p w14:paraId="3BA5C9E6">
            <w:pPr>
              <w:widowControl/>
              <w:jc w:val="left"/>
              <w:rPr>
                <w:rFonts w:ascii="楷体" w:hAnsi="楷体" w:eastAsia="楷体" w:cs="楷体"/>
                <w:szCs w:val="21"/>
              </w:rPr>
            </w:pPr>
          </w:p>
        </w:tc>
        <w:tc>
          <w:tcPr>
            <w:tcW w:w="1168" w:type="dxa"/>
            <w:noWrap w:val="0"/>
            <w:vAlign w:val="center"/>
          </w:tcPr>
          <w:p w14:paraId="1D3E6334">
            <w:pPr>
              <w:spacing w:line="360" w:lineRule="exact"/>
              <w:jc w:val="center"/>
              <w:rPr>
                <w:rFonts w:ascii="楷体" w:hAnsi="楷体" w:eastAsia="楷体" w:cs="楷体"/>
                <w:szCs w:val="21"/>
              </w:rPr>
            </w:pPr>
            <w:r>
              <w:rPr>
                <w:rFonts w:hint="eastAsia" w:ascii="楷体" w:hAnsi="楷体" w:eastAsia="楷体" w:cs="楷体"/>
                <w:szCs w:val="21"/>
              </w:rPr>
              <w:t>职责履行</w:t>
            </w:r>
          </w:p>
        </w:tc>
        <w:tc>
          <w:tcPr>
            <w:tcW w:w="7299" w:type="dxa"/>
            <w:gridSpan w:val="9"/>
            <w:noWrap w:val="0"/>
            <w:vAlign w:val="top"/>
          </w:tcPr>
          <w:p w14:paraId="2D6CD6F5">
            <w:pPr>
              <w:spacing w:line="560" w:lineRule="exact"/>
              <w:jc w:val="left"/>
              <w:rPr>
                <w:rFonts w:ascii="楷体" w:hAnsi="楷体" w:eastAsia="楷体" w:cs="楷体"/>
                <w:szCs w:val="21"/>
              </w:rPr>
            </w:pPr>
            <w:r>
              <w:rPr>
                <w:rFonts w:hint="eastAsia" w:ascii="楷体" w:hAnsi="楷体" w:eastAsia="楷体" w:cs="楷体"/>
                <w:szCs w:val="21"/>
              </w:rPr>
              <w:t>重点工作是否全部完成且质量达标</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14:paraId="1D15CB5D">
            <w:pPr>
              <w:spacing w:line="560" w:lineRule="exact"/>
              <w:jc w:val="left"/>
              <w:rPr>
                <w:rFonts w:ascii="楷体" w:hAnsi="楷体" w:eastAsia="楷体" w:cs="楷体"/>
                <w:szCs w:val="21"/>
              </w:rPr>
            </w:pPr>
          </w:p>
        </w:tc>
      </w:tr>
      <w:tr w14:paraId="7A05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541" w:hRule="atLeast"/>
          <w:jc w:val="center"/>
        </w:trPr>
        <w:tc>
          <w:tcPr>
            <w:tcW w:w="533" w:type="dxa"/>
            <w:noWrap w:val="0"/>
            <w:vAlign w:val="center"/>
          </w:tcPr>
          <w:p w14:paraId="38DA80BF">
            <w:pPr>
              <w:spacing w:line="320" w:lineRule="exact"/>
              <w:jc w:val="center"/>
              <w:rPr>
                <w:rFonts w:ascii="楷体" w:hAnsi="楷体" w:eastAsia="楷体" w:cs="楷体"/>
                <w:szCs w:val="21"/>
              </w:rPr>
            </w:pPr>
            <w:r>
              <w:rPr>
                <w:rFonts w:hint="eastAsia" w:ascii="楷体" w:hAnsi="楷体" w:eastAsia="楷体" w:cs="楷体"/>
                <w:szCs w:val="21"/>
              </w:rPr>
              <w:t>部门</w:t>
            </w:r>
          </w:p>
          <w:p w14:paraId="4227B280">
            <w:pPr>
              <w:spacing w:line="320" w:lineRule="exact"/>
              <w:jc w:val="center"/>
              <w:rPr>
                <w:rFonts w:ascii="楷体" w:hAnsi="楷体" w:eastAsia="楷体" w:cs="楷体"/>
                <w:szCs w:val="21"/>
              </w:rPr>
            </w:pPr>
            <w:r>
              <w:rPr>
                <w:rFonts w:hint="eastAsia" w:ascii="楷体" w:hAnsi="楷体" w:eastAsia="楷体" w:cs="楷体"/>
                <w:szCs w:val="21"/>
              </w:rPr>
              <w:t>主要绩效</w:t>
            </w:r>
          </w:p>
        </w:tc>
        <w:tc>
          <w:tcPr>
            <w:tcW w:w="8467" w:type="dxa"/>
            <w:gridSpan w:val="10"/>
            <w:noWrap w:val="0"/>
            <w:vAlign w:val="center"/>
          </w:tcPr>
          <w:p w14:paraId="305C96DA">
            <w:pPr>
              <w:ind w:firstLine="105" w:firstLineChars="50"/>
              <w:rPr>
                <w:rFonts w:ascii="楷体" w:hAnsi="楷体" w:eastAsia="楷体" w:cs="楷体"/>
                <w:szCs w:val="21"/>
              </w:rPr>
            </w:pPr>
            <w:r>
              <w:rPr>
                <w:rFonts w:ascii="楷体" w:hAnsi="楷体" w:eastAsia="楷体" w:cs="楷体"/>
                <w:szCs w:val="21"/>
              </w:rPr>
              <w:t>202</w:t>
            </w:r>
            <w:r>
              <w:rPr>
                <w:rFonts w:hint="eastAsia" w:ascii="楷体" w:hAnsi="楷体" w:eastAsia="楷体" w:cs="楷体"/>
                <w:szCs w:val="21"/>
                <w:lang w:val="en-US" w:eastAsia="zh-CN"/>
              </w:rPr>
              <w:t>3</w:t>
            </w:r>
            <w:r>
              <w:rPr>
                <w:rFonts w:hint="eastAsia" w:ascii="楷体" w:hAnsi="楷体" w:eastAsia="楷体" w:cs="楷体"/>
                <w:szCs w:val="21"/>
              </w:rPr>
              <w:t>年，我镇积极履职，强化管理，较好的完成了年度工作目标。通过加强预算收支管理，不断建立健全内部管理制度，梳理内部管理流程，整体支出管理水平得到提升。主要表现在：</w:t>
            </w:r>
            <w:r>
              <w:rPr>
                <w:rFonts w:ascii="楷体" w:hAnsi="楷体" w:eastAsia="楷体" w:cs="楷体"/>
                <w:szCs w:val="21"/>
              </w:rPr>
              <w:t>1</w:t>
            </w:r>
            <w:r>
              <w:rPr>
                <w:rFonts w:hint="eastAsia" w:ascii="楷体" w:hAnsi="楷体" w:eastAsia="楷体" w:cs="楷体"/>
                <w:szCs w:val="21"/>
              </w:rPr>
              <w:t>、全镇种植业生产效益增加。</w:t>
            </w:r>
            <w:r>
              <w:rPr>
                <w:rFonts w:ascii="楷体" w:hAnsi="楷体" w:eastAsia="楷体" w:cs="楷体"/>
                <w:szCs w:val="21"/>
              </w:rPr>
              <w:t>2</w:t>
            </w:r>
            <w:r>
              <w:rPr>
                <w:rFonts w:hint="eastAsia" w:ascii="楷体" w:hAnsi="楷体" w:eastAsia="楷体" w:cs="楷体"/>
                <w:szCs w:val="21"/>
              </w:rPr>
              <w:t>、打造全县粮食生产标兵乡镇。</w:t>
            </w:r>
            <w:r>
              <w:rPr>
                <w:rFonts w:ascii="楷体" w:hAnsi="楷体" w:eastAsia="楷体" w:cs="楷体"/>
                <w:szCs w:val="21"/>
              </w:rPr>
              <w:t>3</w:t>
            </w:r>
            <w:r>
              <w:rPr>
                <w:rFonts w:hint="eastAsia" w:ascii="楷体" w:hAnsi="楷体" w:eastAsia="楷体" w:cs="楷体"/>
                <w:szCs w:val="21"/>
              </w:rPr>
              <w:t>、我镇水利建设项目在各村反应良好；</w:t>
            </w:r>
            <w:r>
              <w:rPr>
                <w:rFonts w:ascii="楷体" w:hAnsi="楷体" w:eastAsia="楷体" w:cs="楷体"/>
                <w:szCs w:val="21"/>
              </w:rPr>
              <w:t>4</w:t>
            </w:r>
            <w:r>
              <w:rPr>
                <w:rFonts w:hint="eastAsia" w:ascii="楷体" w:hAnsi="楷体" w:eastAsia="楷体" w:cs="楷体"/>
                <w:szCs w:val="21"/>
              </w:rPr>
              <w:t>、为全镇劳动就业人口素质和不断提高产生长期影响，社会保障体系不断完善；</w:t>
            </w:r>
            <w:r>
              <w:rPr>
                <w:rFonts w:ascii="楷体" w:hAnsi="楷体" w:eastAsia="楷体" w:cs="楷体"/>
                <w:szCs w:val="21"/>
              </w:rPr>
              <w:t>5</w:t>
            </w:r>
            <w:r>
              <w:rPr>
                <w:rFonts w:hint="eastAsia" w:ascii="楷体" w:hAnsi="楷体" w:eastAsia="楷体" w:cs="楷体"/>
                <w:szCs w:val="21"/>
              </w:rPr>
              <w:t>、对全镇村、衬区规划、建设、生态环境持续改善长期影响。</w:t>
            </w:r>
            <w:r>
              <w:rPr>
                <w:rFonts w:ascii="楷体" w:hAnsi="楷体" w:eastAsia="楷体" w:cs="楷体"/>
                <w:szCs w:val="21"/>
              </w:rPr>
              <w:t>6</w:t>
            </w:r>
            <w:r>
              <w:rPr>
                <w:rFonts w:hint="eastAsia" w:ascii="楷体" w:hAnsi="楷体" w:eastAsia="楷体" w:cs="楷体"/>
                <w:szCs w:val="21"/>
              </w:rPr>
              <w:t>、通过相关服务，不断提高我镇劳动人口素质。</w:t>
            </w:r>
            <w:r>
              <w:rPr>
                <w:rFonts w:ascii="楷体" w:hAnsi="楷体" w:eastAsia="楷体" w:cs="楷体"/>
                <w:szCs w:val="21"/>
              </w:rPr>
              <w:t>7</w:t>
            </w:r>
            <w:r>
              <w:rPr>
                <w:rFonts w:hint="eastAsia" w:ascii="楷体" w:hAnsi="楷体" w:eastAsia="楷体" w:cs="楷体"/>
                <w:szCs w:val="21"/>
              </w:rPr>
              <w:t>、逐步提高群众满意度；提高群众优生优育意识。</w:t>
            </w:r>
          </w:p>
        </w:tc>
      </w:tr>
      <w:tr w14:paraId="4C52E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697" w:hRule="atLeast"/>
          <w:jc w:val="center"/>
        </w:trPr>
        <w:tc>
          <w:tcPr>
            <w:tcW w:w="533" w:type="dxa"/>
            <w:noWrap w:val="0"/>
            <w:vAlign w:val="center"/>
          </w:tcPr>
          <w:p w14:paraId="2D7A2F94">
            <w:pPr>
              <w:spacing w:line="320" w:lineRule="exact"/>
              <w:jc w:val="center"/>
              <w:rPr>
                <w:rFonts w:ascii="楷体" w:hAnsi="楷体" w:eastAsia="楷体" w:cs="楷体"/>
                <w:szCs w:val="21"/>
              </w:rPr>
            </w:pPr>
            <w:r>
              <w:rPr>
                <w:rFonts w:hint="eastAsia" w:ascii="楷体" w:hAnsi="楷体" w:eastAsia="楷体" w:cs="楷体"/>
                <w:szCs w:val="21"/>
              </w:rPr>
              <w:t>自评结论</w:t>
            </w:r>
          </w:p>
        </w:tc>
        <w:tc>
          <w:tcPr>
            <w:tcW w:w="8467" w:type="dxa"/>
            <w:gridSpan w:val="10"/>
            <w:noWrap w:val="0"/>
            <w:vAlign w:val="center"/>
          </w:tcPr>
          <w:p w14:paraId="37764265">
            <w:pPr>
              <w:jc w:val="center"/>
              <w:rPr>
                <w:rFonts w:hint="eastAsia" w:ascii="楷体" w:hAnsi="楷体" w:eastAsia="楷体" w:cs="楷体"/>
                <w:szCs w:val="21"/>
                <w:lang w:val="en-US" w:eastAsia="zh-CN"/>
              </w:rPr>
            </w:pPr>
            <w:r>
              <w:rPr>
                <w:rFonts w:hint="eastAsia" w:ascii="楷体" w:hAnsi="楷体" w:eastAsia="楷体" w:cs="楷体"/>
                <w:szCs w:val="21"/>
                <w:lang w:val="en-US" w:eastAsia="zh-CN"/>
              </w:rPr>
              <w:t>优</w:t>
            </w:r>
          </w:p>
        </w:tc>
      </w:tr>
      <w:tr w14:paraId="48D2F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534" w:hRule="atLeast"/>
          <w:jc w:val="center"/>
        </w:trPr>
        <w:tc>
          <w:tcPr>
            <w:tcW w:w="533" w:type="dxa"/>
            <w:noWrap w:val="0"/>
            <w:vAlign w:val="center"/>
          </w:tcPr>
          <w:p w14:paraId="7DB54216">
            <w:pPr>
              <w:spacing w:line="320" w:lineRule="exact"/>
              <w:jc w:val="center"/>
              <w:rPr>
                <w:rFonts w:ascii="楷体" w:hAnsi="楷体" w:eastAsia="楷体" w:cs="楷体"/>
                <w:szCs w:val="21"/>
              </w:rPr>
            </w:pPr>
            <w:r>
              <w:rPr>
                <w:rFonts w:hint="eastAsia" w:ascii="楷体" w:hAnsi="楷体" w:eastAsia="楷体" w:cs="楷体"/>
                <w:szCs w:val="21"/>
              </w:rPr>
              <w:t>问题与建议</w:t>
            </w:r>
          </w:p>
        </w:tc>
        <w:tc>
          <w:tcPr>
            <w:tcW w:w="8467" w:type="dxa"/>
            <w:gridSpan w:val="10"/>
            <w:noWrap w:val="0"/>
            <w:vAlign w:val="center"/>
          </w:tcPr>
          <w:p w14:paraId="3CB0EFB3">
            <w:pPr>
              <w:rPr>
                <w:rFonts w:ascii="楷体" w:hAnsi="楷体" w:eastAsia="楷体" w:cs="楷体"/>
                <w:szCs w:val="21"/>
              </w:rPr>
            </w:pPr>
            <w:r>
              <w:rPr>
                <w:rFonts w:ascii="楷体" w:hAnsi="楷体" w:eastAsia="楷体" w:cs="楷体"/>
                <w:szCs w:val="21"/>
              </w:rPr>
              <w:t>1</w:t>
            </w:r>
            <w:r>
              <w:rPr>
                <w:rFonts w:hint="eastAsia" w:ascii="楷体" w:hAnsi="楷体" w:eastAsia="楷体" w:cs="楷体"/>
                <w:szCs w:val="21"/>
              </w:rPr>
              <w:t>、预算编制有待细化。细化预算编制工作，认真做好预算的编制。</w:t>
            </w:r>
          </w:p>
          <w:p w14:paraId="2C1850D8">
            <w:pPr>
              <w:rPr>
                <w:rFonts w:ascii="楷体" w:hAnsi="楷体" w:eastAsia="楷体" w:cs="楷体"/>
                <w:szCs w:val="21"/>
              </w:rPr>
            </w:pPr>
            <w:r>
              <w:rPr>
                <w:rFonts w:ascii="楷体" w:hAnsi="楷体" w:eastAsia="楷体" w:cs="楷体"/>
                <w:szCs w:val="21"/>
              </w:rPr>
              <w:t>2</w:t>
            </w:r>
            <w:r>
              <w:rPr>
                <w:rFonts w:hint="eastAsia" w:ascii="楷体" w:hAnsi="楷体" w:eastAsia="楷体" w:cs="楷体"/>
                <w:szCs w:val="21"/>
              </w:rPr>
              <w:t>、财务管理有待创新。加强财务管理，严格财务审核。</w:t>
            </w:r>
          </w:p>
          <w:p w14:paraId="6959B16D">
            <w:pPr>
              <w:rPr>
                <w:rFonts w:ascii="楷体" w:hAnsi="楷体" w:eastAsia="楷体" w:cs="楷体"/>
                <w:szCs w:val="21"/>
              </w:rPr>
            </w:pPr>
            <w:r>
              <w:rPr>
                <w:rFonts w:ascii="楷体" w:hAnsi="楷体" w:eastAsia="楷体" w:cs="楷体"/>
                <w:szCs w:val="21"/>
              </w:rPr>
              <w:t>3</w:t>
            </w:r>
            <w:r>
              <w:rPr>
                <w:rFonts w:hint="eastAsia" w:ascii="楷体" w:hAnsi="楷体" w:eastAsia="楷体" w:cs="楷体"/>
                <w:szCs w:val="21"/>
              </w:rPr>
              <w:t>、资产管理有待加强。完善资产管理，抓好“三公”经费控制。</w:t>
            </w:r>
          </w:p>
          <w:p w14:paraId="7037B5C0">
            <w:pPr>
              <w:jc w:val="center"/>
              <w:rPr>
                <w:rFonts w:ascii="楷体" w:hAnsi="楷体" w:eastAsia="楷体" w:cs="楷体"/>
                <w:szCs w:val="21"/>
              </w:rPr>
            </w:pPr>
          </w:p>
        </w:tc>
      </w:tr>
      <w:tr w14:paraId="657D6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974" w:hRule="atLeast"/>
          <w:jc w:val="center"/>
        </w:trPr>
        <w:tc>
          <w:tcPr>
            <w:tcW w:w="533" w:type="dxa"/>
            <w:noWrap w:val="0"/>
            <w:vAlign w:val="top"/>
          </w:tcPr>
          <w:p w14:paraId="76E8C3A8">
            <w:pPr>
              <w:spacing w:line="320" w:lineRule="exact"/>
              <w:jc w:val="center"/>
              <w:rPr>
                <w:rFonts w:ascii="楷体" w:hAnsi="楷体" w:eastAsia="楷体" w:cs="楷体"/>
                <w:szCs w:val="21"/>
              </w:rPr>
            </w:pPr>
            <w:r>
              <w:rPr>
                <w:rFonts w:hint="eastAsia" w:ascii="楷体" w:hAnsi="楷体" w:eastAsia="楷体" w:cs="楷体"/>
                <w:szCs w:val="21"/>
              </w:rPr>
              <w:t>主管部门意见</w:t>
            </w:r>
          </w:p>
        </w:tc>
        <w:tc>
          <w:tcPr>
            <w:tcW w:w="8467" w:type="dxa"/>
            <w:gridSpan w:val="10"/>
            <w:noWrap w:val="0"/>
            <w:vAlign w:val="top"/>
          </w:tcPr>
          <w:p w14:paraId="4B56D49F">
            <w:pPr>
              <w:ind w:firstLine="3360" w:firstLineChars="1600"/>
              <w:rPr>
                <w:rFonts w:ascii="楷体" w:hAnsi="楷体" w:eastAsia="楷体" w:cs="楷体"/>
                <w:szCs w:val="21"/>
              </w:rPr>
            </w:pPr>
          </w:p>
          <w:p w14:paraId="05B0120F">
            <w:pPr>
              <w:ind w:firstLine="3360" w:firstLineChars="1600"/>
              <w:rPr>
                <w:rFonts w:ascii="楷体" w:hAnsi="楷体" w:eastAsia="楷体" w:cs="楷体"/>
                <w:szCs w:val="21"/>
              </w:rPr>
            </w:pPr>
          </w:p>
          <w:p w14:paraId="62CD5481">
            <w:pPr>
              <w:ind w:firstLine="3360" w:firstLineChars="1600"/>
              <w:rPr>
                <w:rFonts w:ascii="楷体" w:hAnsi="楷体" w:eastAsia="楷体" w:cs="楷体"/>
                <w:szCs w:val="21"/>
              </w:rPr>
            </w:pPr>
          </w:p>
          <w:p w14:paraId="25066B40">
            <w:pPr>
              <w:ind w:firstLine="3360" w:firstLineChars="1600"/>
              <w:rPr>
                <w:rFonts w:ascii="楷体" w:hAnsi="楷体" w:eastAsia="楷体" w:cs="楷体"/>
                <w:szCs w:val="21"/>
              </w:rPr>
            </w:pPr>
          </w:p>
          <w:p w14:paraId="543A1E27">
            <w:pPr>
              <w:ind w:firstLine="3360" w:firstLineChars="1600"/>
              <w:rPr>
                <w:rFonts w:ascii="楷体" w:hAnsi="楷体" w:eastAsia="楷体" w:cs="楷体"/>
                <w:szCs w:val="21"/>
              </w:rPr>
            </w:pPr>
            <w:r>
              <w:rPr>
                <w:rFonts w:hint="eastAsia" w:ascii="楷体" w:hAnsi="楷体" w:eastAsia="楷体" w:cs="楷体"/>
                <w:szCs w:val="21"/>
              </w:rPr>
              <w:t>主管部门（盖章）：</w:t>
            </w:r>
          </w:p>
        </w:tc>
      </w:tr>
    </w:tbl>
    <w:p w14:paraId="6932A189">
      <w:pPr>
        <w:rPr>
          <w:rFonts w:ascii="宋体"/>
          <w:szCs w:val="21"/>
        </w:rPr>
      </w:pPr>
    </w:p>
    <w:p w14:paraId="55E92E97">
      <w:pPr>
        <w:ind w:firstLine="420" w:firstLineChars="200"/>
        <w:rPr>
          <w:szCs w:val="21"/>
        </w:rPr>
      </w:pPr>
      <w:r>
        <w:rPr>
          <w:rFonts w:hint="eastAsia" w:ascii="宋体" w:hAnsi="宋体"/>
          <w:szCs w:val="21"/>
        </w:rPr>
        <w:t>填报人：</w:t>
      </w:r>
      <w:r>
        <w:rPr>
          <w:rFonts w:hint="eastAsia" w:ascii="宋体" w:hAnsi="宋体"/>
          <w:szCs w:val="21"/>
          <w:lang w:val="en-US" w:eastAsia="zh-CN"/>
        </w:rPr>
        <w:t>王智勇</w:t>
      </w:r>
      <w:r>
        <w:rPr>
          <w:rFonts w:ascii="宋体" w:hAnsi="宋体"/>
          <w:szCs w:val="21"/>
        </w:rPr>
        <w:t xml:space="preserve">               </w:t>
      </w:r>
      <w:r>
        <w:rPr>
          <w:rFonts w:hint="eastAsia" w:ascii="宋体" w:hAnsi="宋体"/>
          <w:szCs w:val="21"/>
        </w:rPr>
        <w:t>联系电话：</w:t>
      </w:r>
      <w:r>
        <w:rPr>
          <w:rFonts w:hint="eastAsia" w:ascii="宋体" w:hAnsi="宋体"/>
          <w:szCs w:val="21"/>
          <w:lang w:val="en-US" w:eastAsia="zh-CN"/>
        </w:rPr>
        <w:t>18390786525</w:t>
      </w:r>
      <w:r>
        <w:rPr>
          <w:rFonts w:ascii="宋体" w:hAnsi="宋体"/>
          <w:szCs w:val="21"/>
        </w:rPr>
        <w:t xml:space="preserve">   </w:t>
      </w:r>
      <w:r>
        <w:rPr>
          <w:rFonts w:hint="eastAsia" w:ascii="宋体" w:hAnsi="宋体"/>
          <w:szCs w:val="21"/>
        </w:rPr>
        <w:t>时间：</w:t>
      </w:r>
      <w:r>
        <w:rPr>
          <w:rFonts w:ascii="宋体" w:hAnsi="宋体"/>
          <w:szCs w:val="21"/>
        </w:rPr>
        <w:t xml:space="preserve"> </w:t>
      </w:r>
      <w:r>
        <w:rPr>
          <w:rFonts w:hint="eastAsia" w:ascii="宋体" w:hAnsi="宋体"/>
          <w:szCs w:val="21"/>
          <w:lang w:val="en-US" w:eastAsia="zh-CN"/>
        </w:rPr>
        <w:t>2024</w:t>
      </w:r>
      <w:r>
        <w:rPr>
          <w:rFonts w:hint="eastAsia" w:ascii="宋体" w:hAnsi="宋体"/>
          <w:szCs w:val="21"/>
        </w:rPr>
        <w:t>年</w:t>
      </w:r>
      <w:r>
        <w:rPr>
          <w:rFonts w:ascii="宋体" w:hAnsi="宋体"/>
          <w:szCs w:val="21"/>
        </w:rPr>
        <w:t xml:space="preserve"> </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2</w:t>
      </w:r>
      <w:r>
        <w:rPr>
          <w:rFonts w:hint="eastAsia" w:ascii="宋体" w:hAnsi="宋体"/>
          <w:szCs w:val="21"/>
        </w:rPr>
        <w:t>日</w:t>
      </w:r>
    </w:p>
    <w:p w14:paraId="5105514C">
      <w:pPr>
        <w:spacing w:line="560" w:lineRule="exact"/>
        <w:rPr>
          <w:rFonts w:eastAsia="黑体"/>
          <w:kern w:val="0"/>
        </w:rPr>
      </w:pPr>
      <w:r>
        <w:rPr>
          <w:rFonts w:hint="eastAsia" w:eastAsia="黑体"/>
          <w:kern w:val="0"/>
        </w:rPr>
        <w:t>注：自评结论填“优、良、中、差”。</w:t>
      </w:r>
    </w:p>
    <w:p w14:paraId="4DB884FE">
      <w:pPr>
        <w:spacing w:line="560" w:lineRule="exact"/>
        <w:rPr>
          <w:rFonts w:eastAsia="黑体"/>
          <w:kern w:val="0"/>
        </w:rPr>
      </w:pPr>
    </w:p>
    <w:p w14:paraId="4D12D165">
      <w:pPr>
        <w:spacing w:line="560" w:lineRule="exact"/>
        <w:rPr>
          <w:rFonts w:ascii="黑体" w:hAnsi="宋体" w:eastAsia="黑体" w:cs="宋体"/>
          <w:kern w:val="0"/>
          <w:sz w:val="32"/>
          <w:szCs w:val="32"/>
        </w:rPr>
      </w:pPr>
      <w:bookmarkStart w:id="0" w:name="_GoBack"/>
      <w:bookmarkEnd w:id="0"/>
    </w:p>
    <w:p w14:paraId="5698F159">
      <w:pPr>
        <w:spacing w:line="600" w:lineRule="exact"/>
        <w:jc w:val="center"/>
        <w:rPr>
          <w:rFonts w:hint="eastAsia" w:ascii="黑体" w:hAnsi="黑体" w:eastAsia="黑体" w:cs="黑体"/>
          <w:b/>
          <w:bCs w:val="0"/>
          <w:kern w:val="0"/>
          <w:sz w:val="36"/>
          <w:szCs w:val="36"/>
          <w:lang w:val="en-US" w:eastAsia="zh-CN"/>
        </w:rPr>
      </w:pPr>
      <w:r>
        <w:rPr>
          <w:rFonts w:hint="eastAsia" w:ascii="黑体" w:hAnsi="黑体" w:eastAsia="黑体" w:cs="黑体"/>
          <w:b/>
          <w:bCs w:val="0"/>
          <w:kern w:val="0"/>
          <w:sz w:val="36"/>
          <w:szCs w:val="36"/>
          <w:lang w:val="en-US" w:eastAsia="zh-CN"/>
        </w:rPr>
        <w:t>隆回县金石桥镇人民政府</w:t>
      </w:r>
    </w:p>
    <w:p w14:paraId="2A44DC44">
      <w:pPr>
        <w:spacing w:line="600" w:lineRule="exact"/>
        <w:jc w:val="center"/>
        <w:rPr>
          <w:rFonts w:hint="eastAsia" w:ascii="黑体" w:hAnsi="黑体" w:eastAsia="黑体" w:cs="黑体"/>
          <w:b/>
          <w:bCs w:val="0"/>
          <w:kern w:val="0"/>
          <w:sz w:val="36"/>
          <w:szCs w:val="36"/>
        </w:rPr>
      </w:pPr>
      <w:r>
        <w:rPr>
          <w:rFonts w:hint="eastAsia" w:ascii="黑体" w:hAnsi="黑体" w:eastAsia="黑体" w:cs="黑体"/>
          <w:b/>
          <w:bCs w:val="0"/>
          <w:kern w:val="0"/>
          <w:sz w:val="36"/>
          <w:szCs w:val="36"/>
          <w:lang w:val="en-US" w:eastAsia="zh-CN"/>
        </w:rPr>
        <w:t>2023年度</w:t>
      </w:r>
      <w:r>
        <w:rPr>
          <w:rFonts w:hint="eastAsia" w:ascii="黑体" w:hAnsi="黑体" w:eastAsia="黑体" w:cs="黑体"/>
          <w:b/>
          <w:bCs w:val="0"/>
          <w:kern w:val="0"/>
          <w:sz w:val="36"/>
          <w:szCs w:val="36"/>
        </w:rPr>
        <w:t>部门整体支出绩效自评报告</w:t>
      </w:r>
    </w:p>
    <w:p w14:paraId="1B9F5DFE">
      <w:pPr>
        <w:ind w:firstLine="420" w:firstLineChars="200"/>
      </w:pPr>
    </w:p>
    <w:p w14:paraId="4DE2FAD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rPr>
        <w:t>一、部门概况</w:t>
      </w:r>
    </w:p>
    <w:p w14:paraId="3D6937D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（一）部门基本情况</w:t>
      </w:r>
    </w:p>
    <w:p w14:paraId="39EA4ABD">
      <w:pPr>
        <w:spacing w:after="120" w:line="360" w:lineRule="auto"/>
        <w:ind w:left="420" w:firstLine="640" w:firstLineChars="200"/>
      </w:pPr>
      <w:r>
        <w:rPr>
          <w:rFonts w:hint="eastAsia" w:ascii="楷体_GB2312" w:hAnsi="仿宋" w:eastAsia="楷体_GB2312"/>
          <w:sz w:val="32"/>
        </w:rPr>
        <w:t>金石桥镇人民政府编制人数</w:t>
      </w:r>
      <w:r>
        <w:rPr>
          <w:rFonts w:hint="eastAsia" w:ascii="楷体_GB2312" w:hAnsi="仿宋" w:eastAsia="楷体_GB2312"/>
          <w:sz w:val="32"/>
          <w:lang w:val="en-US" w:eastAsia="zh-CN"/>
        </w:rPr>
        <w:t>136</w:t>
      </w:r>
      <w:r>
        <w:rPr>
          <w:rFonts w:hint="eastAsia" w:ascii="楷体_GB2312" w:hAnsi="仿宋" w:eastAsia="楷体_GB2312"/>
          <w:sz w:val="32"/>
        </w:rPr>
        <w:t>人，实际人数</w:t>
      </w:r>
      <w:r>
        <w:rPr>
          <w:rFonts w:hint="eastAsia" w:ascii="楷体_GB2312" w:hAnsi="仿宋" w:eastAsia="楷体_GB2312"/>
          <w:sz w:val="32"/>
          <w:szCs w:val="32"/>
          <w:lang w:val="en-US" w:eastAsia="zh-CN"/>
        </w:rPr>
        <w:t>126</w:t>
      </w:r>
      <w:r>
        <w:rPr>
          <w:rFonts w:hint="eastAsia" w:ascii="楷体_GB2312" w:hAnsi="仿宋" w:eastAsia="楷体_GB2312"/>
          <w:sz w:val="32"/>
        </w:rPr>
        <w:t>人</w:t>
      </w:r>
      <w:r>
        <w:rPr>
          <w:rFonts w:hint="eastAsia" w:ascii="楷体_GB2312" w:hAnsi="仿宋" w:eastAsia="楷体_GB2312"/>
        </w:rPr>
        <w:t>，</w:t>
      </w:r>
      <w:r>
        <w:rPr>
          <w:rFonts w:hint="eastAsia" w:ascii="楷体_GB2312" w:hAnsi="仿宋" w:eastAsia="楷体_GB2312"/>
          <w:sz w:val="32"/>
        </w:rPr>
        <w:t>离退休</w:t>
      </w:r>
      <w:r>
        <w:rPr>
          <w:rFonts w:hint="eastAsia" w:ascii="楷体_GB2312" w:hAnsi="仿宋" w:eastAsia="楷体_GB2312"/>
          <w:sz w:val="32"/>
          <w:lang w:val="en-US" w:eastAsia="zh-CN"/>
        </w:rPr>
        <w:t>72</w:t>
      </w:r>
      <w:r>
        <w:rPr>
          <w:rFonts w:hint="eastAsia" w:ascii="楷体_GB2312" w:hAnsi="仿宋" w:eastAsia="楷体_GB2312"/>
          <w:sz w:val="32"/>
        </w:rPr>
        <w:t>人，遗属补助人数</w:t>
      </w:r>
      <w:r>
        <w:rPr>
          <w:rFonts w:hint="eastAsia" w:ascii="楷体_GB2312" w:hAnsi="仿宋" w:eastAsia="楷体_GB2312"/>
          <w:sz w:val="32"/>
          <w:lang w:val="en-US" w:eastAsia="zh-CN"/>
        </w:rPr>
        <w:t>27</w:t>
      </w:r>
      <w:r>
        <w:rPr>
          <w:rFonts w:hint="eastAsia" w:ascii="楷体_GB2312" w:hAnsi="仿宋" w:eastAsia="楷体_GB2312"/>
          <w:sz w:val="32"/>
        </w:rPr>
        <w:t>人，小车编制数</w:t>
      </w:r>
      <w:r>
        <w:rPr>
          <w:rFonts w:ascii="楷体_GB2312" w:hAnsi="仿宋" w:eastAsia="楷体_GB2312"/>
          <w:sz w:val="32"/>
        </w:rPr>
        <w:t>1</w:t>
      </w:r>
      <w:r>
        <w:rPr>
          <w:rFonts w:hint="eastAsia" w:ascii="楷体_GB2312" w:hAnsi="仿宋" w:eastAsia="楷体_GB2312"/>
          <w:sz w:val="32"/>
        </w:rPr>
        <w:t>台，实际</w:t>
      </w:r>
      <w:r>
        <w:rPr>
          <w:rFonts w:ascii="楷体_GB2312" w:hAnsi="仿宋" w:eastAsia="楷体_GB2312"/>
          <w:sz w:val="32"/>
        </w:rPr>
        <w:t>1</w:t>
      </w:r>
      <w:r>
        <w:rPr>
          <w:rFonts w:hint="eastAsia" w:ascii="楷体_GB2312" w:hAnsi="仿宋" w:eastAsia="楷体_GB2312"/>
          <w:sz w:val="32"/>
        </w:rPr>
        <w:t>台，房屋面积</w:t>
      </w:r>
      <w:r>
        <w:rPr>
          <w:rFonts w:ascii="楷体_GB2312" w:hAnsi="仿宋" w:eastAsia="楷体_GB2312"/>
          <w:sz w:val="32"/>
        </w:rPr>
        <w:t>32497</w:t>
      </w:r>
      <w:r>
        <w:rPr>
          <w:rFonts w:hint="eastAsia" w:ascii="楷体_GB2312" w:hAnsi="仿宋" w:eastAsia="楷体_GB2312"/>
          <w:sz w:val="32"/>
        </w:rPr>
        <w:t>平方米。</w:t>
      </w:r>
    </w:p>
    <w:p w14:paraId="0AC81A34">
      <w:pPr>
        <w:spacing w:after="120" w:line="360" w:lineRule="auto"/>
        <w:ind w:firstLine="640" w:firstLineChars="200"/>
        <w:rPr>
          <w:rFonts w:hint="eastAsia" w:eastAsia="仿宋_GB2312"/>
          <w:sz w:val="32"/>
          <w:szCs w:val="32"/>
        </w:rPr>
      </w:pPr>
      <w:r>
        <w:rPr>
          <w:rFonts w:hint="eastAsia" w:eastAsia="仿宋_GB2312"/>
          <w:sz w:val="32"/>
          <w:szCs w:val="32"/>
        </w:rPr>
        <w:t>（二）</w:t>
      </w:r>
      <w:r>
        <w:rPr>
          <w:rFonts w:hint="eastAsia" w:eastAsia="仿宋_GB2312"/>
          <w:sz w:val="32"/>
          <w:szCs w:val="32"/>
          <w:lang w:eastAsia="zh-CN"/>
        </w:rPr>
        <w:t>202</w:t>
      </w:r>
      <w:r>
        <w:rPr>
          <w:rFonts w:hint="eastAsia" w:eastAsia="仿宋_GB2312"/>
          <w:sz w:val="32"/>
          <w:szCs w:val="32"/>
          <w:lang w:val="en-US" w:eastAsia="zh-CN"/>
        </w:rPr>
        <w:t>3</w:t>
      </w:r>
      <w:r>
        <w:rPr>
          <w:rFonts w:hint="eastAsia" w:eastAsia="仿宋_GB2312"/>
          <w:sz w:val="32"/>
          <w:szCs w:val="32"/>
        </w:rPr>
        <w:t>年的重点工作</w:t>
      </w:r>
    </w:p>
    <w:p w14:paraId="6111D2B7">
      <w:pPr>
        <w:spacing w:after="120" w:line="360" w:lineRule="auto"/>
        <w:ind w:left="420" w:firstLine="640" w:firstLineChars="200"/>
        <w:rPr>
          <w:rFonts w:eastAsia="仿宋_GB2312"/>
          <w:sz w:val="32"/>
          <w:szCs w:val="32"/>
        </w:rPr>
      </w:pPr>
      <w:r>
        <w:rPr>
          <w:rFonts w:ascii="楷体_GB2312" w:eastAsia="楷体_GB2312"/>
          <w:color w:val="000000"/>
          <w:sz w:val="32"/>
          <w:szCs w:val="32"/>
        </w:rPr>
        <w:t>1</w:t>
      </w:r>
      <w:r>
        <w:rPr>
          <w:rFonts w:hint="eastAsia" w:ascii="楷体_GB2312" w:eastAsia="楷体_GB2312"/>
          <w:color w:val="000000"/>
          <w:sz w:val="32"/>
          <w:szCs w:val="32"/>
        </w:rPr>
        <w:t>、宣传和贯彻执行党的路线方针政策和法律法规；制定地方经济社会发展规划和年度计划并组织实施；坚持依法行政，推进民主政治，加强基层政权建设；做好农业、农村、农民和社区工作。</w:t>
      </w:r>
      <w:r>
        <w:rPr>
          <w:rFonts w:ascii="楷体_GB2312" w:eastAsia="楷体_GB2312"/>
          <w:color w:val="000000"/>
          <w:sz w:val="32"/>
          <w:szCs w:val="32"/>
        </w:rPr>
        <w:t>2</w:t>
      </w:r>
      <w:r>
        <w:rPr>
          <w:rFonts w:hint="eastAsia" w:ascii="楷体_GB2312" w:eastAsia="楷体_GB2312"/>
          <w:color w:val="000000"/>
          <w:sz w:val="32"/>
          <w:szCs w:val="32"/>
        </w:rPr>
        <w:t>、落实基层管党治党工作责任制，加强党员队伍的思想建设、组织建设、作风建设、制度建设和党风廉政建设；做好党员管理、发展工作，改善党员队伍结构，提高党员素质；加强党对意识形态和统一战线工作的领导；指导工会、共青团、妇联等群团工作。</w:t>
      </w:r>
      <w:r>
        <w:rPr>
          <w:rFonts w:ascii="楷体_GB2312" w:eastAsia="楷体_GB2312"/>
          <w:color w:val="000000"/>
          <w:sz w:val="32"/>
          <w:szCs w:val="32"/>
        </w:rPr>
        <w:t>3</w:t>
      </w:r>
      <w:r>
        <w:rPr>
          <w:rFonts w:hint="eastAsia" w:ascii="楷体_GB2312" w:eastAsia="楷体_GB2312"/>
          <w:color w:val="000000"/>
          <w:sz w:val="32"/>
          <w:szCs w:val="32"/>
        </w:rPr>
        <w:t>、规范经济管理，组织指导经济发展和经济结构调整；加强综合生产能力建设；健全社会化服务体系，完善产业支持保护体系，推进产业现代化；着力提升经济发展的质量和水平，发展壮大村级集体经济，增加村（居）民收入，不断提高人民生活水平。</w:t>
      </w:r>
      <w:r>
        <w:rPr>
          <w:rFonts w:ascii="楷体_GB2312" w:eastAsia="楷体_GB2312"/>
          <w:color w:val="000000"/>
          <w:sz w:val="32"/>
          <w:szCs w:val="32"/>
        </w:rPr>
        <w:t>4</w:t>
      </w:r>
      <w:r>
        <w:rPr>
          <w:rFonts w:hint="eastAsia" w:ascii="楷体_GB2312" w:eastAsia="楷体_GB2312"/>
          <w:color w:val="000000"/>
          <w:sz w:val="32"/>
          <w:szCs w:val="32"/>
        </w:rPr>
        <w:t>、加强社会管理和基础设施建设，创造良好环境。推进政务、村（居）务公开；抓好卫生健康、人口计划生育工作，保障妇女儿童合法权益；加强自然资源管理、生态环境保护和修复等工作；加强人民武装、民族宗教等工作；强化安全生产和公共安全，组织抢险救灾、优抚救助，及时上报和处置重大社情、疫情、险情等，保护人民群众的生命财产安全。</w:t>
      </w:r>
      <w:r>
        <w:rPr>
          <w:rFonts w:ascii="楷体_GB2312" w:eastAsia="楷体_GB2312"/>
          <w:color w:val="000000"/>
          <w:sz w:val="32"/>
          <w:szCs w:val="32"/>
        </w:rPr>
        <w:t>5</w:t>
      </w:r>
      <w:r>
        <w:rPr>
          <w:rFonts w:hint="eastAsia" w:ascii="楷体_GB2312" w:eastAsia="楷体_GB2312"/>
          <w:color w:val="000000"/>
          <w:sz w:val="32"/>
          <w:szCs w:val="32"/>
        </w:rPr>
        <w:t>、发展公益事业，强化公共服务。搞好公共设施建设，开展社会保障服务，着力解决群众生产生活中的问题；发展科教文卫事业，促进精神文明建设；制订公共服务事项目录清单，加强公共服务体系建设。</w:t>
      </w:r>
      <w:r>
        <w:rPr>
          <w:rFonts w:ascii="楷体_GB2312" w:eastAsia="楷体_GB2312"/>
          <w:color w:val="000000"/>
          <w:sz w:val="32"/>
          <w:szCs w:val="32"/>
        </w:rPr>
        <w:t>6</w:t>
      </w:r>
      <w:r>
        <w:rPr>
          <w:rFonts w:hint="eastAsia" w:ascii="楷体_GB2312" w:eastAsia="楷体_GB2312"/>
          <w:color w:val="000000"/>
          <w:sz w:val="32"/>
          <w:szCs w:val="32"/>
        </w:rPr>
        <w:t>、加强综合治理，维护社会稳定。调解民事纠纷、化解社会矛盾，接待上访群众，处理群体性突发事件，保证社会公正，维护社会秩序和社会稳定。指导村民自治，推动农村社会建设，促进社会组织健康发展，增强社会自治功能。</w:t>
      </w:r>
      <w:r>
        <w:rPr>
          <w:rFonts w:ascii="楷体_GB2312" w:eastAsia="楷体_GB2312"/>
          <w:color w:val="000000"/>
          <w:sz w:val="32"/>
          <w:szCs w:val="32"/>
        </w:rPr>
        <w:t>7</w:t>
      </w:r>
      <w:r>
        <w:rPr>
          <w:rFonts w:hint="eastAsia" w:ascii="楷体_GB2312" w:eastAsia="楷体_GB2312"/>
          <w:color w:val="000000"/>
          <w:sz w:val="32"/>
          <w:szCs w:val="32"/>
        </w:rPr>
        <w:t>、按照管理权限，负责机关和事业单位工作人员的教育、培养、选拔和监督工作。协助管理好派驻单位人员。</w:t>
      </w:r>
      <w:r>
        <w:rPr>
          <w:rFonts w:ascii="楷体_GB2312" w:eastAsia="楷体_GB2312"/>
          <w:color w:val="000000"/>
          <w:sz w:val="32"/>
          <w:szCs w:val="32"/>
        </w:rPr>
        <w:t>8</w:t>
      </w:r>
      <w:r>
        <w:rPr>
          <w:rFonts w:hint="eastAsia" w:ascii="楷体_GB2312" w:eastAsia="楷体_GB2312"/>
          <w:color w:val="000000"/>
          <w:sz w:val="32"/>
          <w:szCs w:val="32"/>
        </w:rPr>
        <w:t>、依法依规承担下放的经济社会管理权限和行政执法事项。</w:t>
      </w:r>
      <w:r>
        <w:rPr>
          <w:rFonts w:ascii="楷体_GB2312" w:eastAsia="楷体_GB2312"/>
          <w:color w:val="000000"/>
          <w:sz w:val="32"/>
          <w:szCs w:val="32"/>
        </w:rPr>
        <w:t>9</w:t>
      </w:r>
      <w:r>
        <w:rPr>
          <w:rFonts w:hint="eastAsia" w:ascii="楷体_GB2312" w:eastAsia="楷体_GB2312"/>
          <w:color w:val="000000"/>
          <w:sz w:val="32"/>
          <w:szCs w:val="32"/>
        </w:rPr>
        <w:t>、行使《中华人民共和国地方各级人民代表大会和地方各级人民政府组织法》等法律法规赋予的职权。</w:t>
      </w:r>
      <w:r>
        <w:rPr>
          <w:rFonts w:ascii="楷体_GB2312" w:eastAsia="楷体_GB2312"/>
          <w:color w:val="000000"/>
          <w:sz w:val="32"/>
          <w:szCs w:val="32"/>
        </w:rPr>
        <w:t>10</w:t>
      </w:r>
      <w:r>
        <w:rPr>
          <w:rFonts w:hint="eastAsia" w:ascii="楷体_GB2312" w:eastAsia="楷体_GB2312"/>
          <w:color w:val="000000"/>
          <w:sz w:val="32"/>
          <w:szCs w:val="32"/>
        </w:rPr>
        <w:t>、完成县委、县政府交办的其它事项。</w:t>
      </w:r>
    </w:p>
    <w:p w14:paraId="5452A751">
      <w:pPr>
        <w:pStyle w:val="2"/>
        <w:spacing w:line="360" w:lineRule="auto"/>
        <w:ind w:firstLine="640"/>
        <w:rPr>
          <w:rFonts w:hint="eastAsia" w:eastAsia="仿宋_GB2312"/>
          <w:sz w:val="32"/>
          <w:szCs w:val="32"/>
        </w:rPr>
      </w:pPr>
      <w:r>
        <w:rPr>
          <w:rFonts w:hint="eastAsia" w:eastAsia="仿宋_GB2312"/>
          <w:sz w:val="32"/>
          <w:szCs w:val="32"/>
        </w:rPr>
        <w:t>（三）部门整体支出情况</w:t>
      </w:r>
    </w:p>
    <w:p w14:paraId="42FEFEDA">
      <w:pPr>
        <w:pStyle w:val="12"/>
        <w:keepNext w:val="0"/>
        <w:keepLines w:val="0"/>
        <w:pageBreakBefore w:val="0"/>
        <w:widowControl w:val="0"/>
        <w:kinsoku/>
        <w:wordWrap/>
        <w:overflowPunct/>
        <w:topLinePunct w:val="0"/>
        <w:bidi w:val="0"/>
        <w:snapToGrid/>
        <w:spacing w:line="600" w:lineRule="exact"/>
        <w:ind w:firstLine="480" w:firstLineChars="200"/>
        <w:textAlignment w:val="auto"/>
        <w:rPr>
          <w:rFonts w:ascii="Times New Roman" w:hAnsi="Times New Roman" w:eastAsia="仿宋_GB2312"/>
          <w:sz w:val="32"/>
          <w:szCs w:val="32"/>
        </w:rPr>
      </w:pPr>
      <w:r>
        <w:rPr>
          <w:rFonts w:ascii="楷体_GB2312" w:eastAsia="楷体_GB2312"/>
        </w:rPr>
        <w:t>202</w:t>
      </w:r>
      <w:r>
        <w:rPr>
          <w:rFonts w:hint="eastAsia" w:ascii="楷体_GB2312" w:eastAsia="楷体_GB2312"/>
          <w:lang w:val="en-US" w:eastAsia="zh-CN"/>
        </w:rPr>
        <w:t>3</w:t>
      </w:r>
      <w:r>
        <w:rPr>
          <w:rFonts w:hint="eastAsia" w:ascii="楷体_GB2312" w:eastAsia="楷体_GB2312"/>
        </w:rPr>
        <w:t>年度决算支出为</w:t>
      </w:r>
      <w:r>
        <w:rPr>
          <w:rFonts w:hint="eastAsia" w:ascii="Times New Roman" w:hAnsi="Times New Roman" w:eastAsia="仿宋_GB2312"/>
          <w:sz w:val="32"/>
          <w:szCs w:val="32"/>
          <w:lang w:val="en-US" w:eastAsia="zh-CN"/>
        </w:rPr>
        <w:t>7047.53</w:t>
      </w:r>
      <w:r>
        <w:rPr>
          <w:rFonts w:hint="eastAsia" w:ascii="楷体_GB2312" w:eastAsia="楷体_GB2312"/>
        </w:rPr>
        <w:t>万元</w:t>
      </w:r>
      <w:r>
        <w:rPr>
          <w:rFonts w:ascii="楷体_GB2312" w:eastAsia="楷体_GB2312"/>
        </w:rPr>
        <w:t>,</w:t>
      </w:r>
      <w:r>
        <w:rPr>
          <w:rFonts w:hint="eastAsia" w:ascii="Times New Roman" w:hAnsi="Times New Roman" w:eastAsia="仿宋_GB2312"/>
          <w:sz w:val="32"/>
          <w:szCs w:val="32"/>
        </w:rPr>
        <w:t>其中：基本支出</w:t>
      </w:r>
      <w:r>
        <w:rPr>
          <w:rFonts w:hint="eastAsia" w:ascii="Times New Roman" w:hAnsi="Times New Roman" w:eastAsia="仿宋_GB2312"/>
          <w:sz w:val="32"/>
          <w:szCs w:val="32"/>
          <w:lang w:val="en-US" w:eastAsia="zh-CN"/>
        </w:rPr>
        <w:t>3519.87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49.94</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3527.66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50.06</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514669F9">
      <w:pPr>
        <w:pStyle w:val="2"/>
        <w:spacing w:line="360" w:lineRule="auto"/>
        <w:ind w:firstLine="640"/>
        <w:rPr>
          <w:rFonts w:eastAsia="仿宋_GB2312"/>
          <w:sz w:val="32"/>
          <w:szCs w:val="32"/>
        </w:rPr>
      </w:pPr>
    </w:p>
    <w:p w14:paraId="7451D2C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rPr>
        <w:t>二、部门整体支出管理及使用情况</w:t>
      </w:r>
    </w:p>
    <w:p w14:paraId="7AE0AB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（一）基本支出情况</w:t>
      </w:r>
    </w:p>
    <w:p w14:paraId="2CBECFD7">
      <w:pPr>
        <w:pStyle w:val="2"/>
      </w:pPr>
      <w:r>
        <w:rPr>
          <w:rFonts w:ascii="楷体_GB2312" w:hAnsi="仿宋" w:eastAsia="楷体_GB2312"/>
          <w:sz w:val="32"/>
          <w:szCs w:val="32"/>
        </w:rPr>
        <w:t>202</w:t>
      </w:r>
      <w:r>
        <w:rPr>
          <w:rFonts w:hint="eastAsia" w:ascii="楷体_GB2312" w:hAnsi="仿宋" w:eastAsia="楷体_GB2312"/>
          <w:sz w:val="32"/>
          <w:szCs w:val="32"/>
          <w:lang w:val="en-US" w:eastAsia="zh-CN"/>
        </w:rPr>
        <w:t>3</w:t>
      </w:r>
      <w:r>
        <w:rPr>
          <w:rFonts w:hint="eastAsia" w:ascii="楷体_GB2312" w:hAnsi="仿宋" w:eastAsia="楷体_GB2312"/>
          <w:sz w:val="32"/>
          <w:szCs w:val="32"/>
        </w:rPr>
        <w:t>年度决算</w:t>
      </w:r>
      <w:r>
        <w:rPr>
          <w:rFonts w:hint="eastAsia" w:ascii="楷体_GB2312" w:hAnsi="仿宋" w:eastAsia="楷体_GB2312"/>
          <w:color w:val="000000"/>
          <w:sz w:val="32"/>
          <w:szCs w:val="32"/>
        </w:rPr>
        <w:t>数为</w:t>
      </w:r>
      <w:r>
        <w:rPr>
          <w:rFonts w:hint="eastAsia" w:ascii="楷体_GB2312" w:hAnsi="仿宋" w:eastAsia="楷体_GB2312"/>
          <w:color w:val="000000"/>
          <w:sz w:val="32"/>
          <w:szCs w:val="32"/>
          <w:lang w:val="en-US" w:eastAsia="zh-CN"/>
        </w:rPr>
        <w:t>3519.87</w:t>
      </w:r>
      <w:r>
        <w:rPr>
          <w:rFonts w:hint="eastAsia" w:ascii="楷体_GB2312" w:hAnsi="仿宋" w:eastAsia="楷体_GB2312"/>
          <w:color w:val="000000"/>
          <w:sz w:val="32"/>
          <w:szCs w:val="32"/>
        </w:rPr>
        <w:t>万</w:t>
      </w:r>
      <w:r>
        <w:rPr>
          <w:rFonts w:hint="eastAsia" w:ascii="楷体_GB2312" w:hAnsi="仿宋" w:eastAsia="楷体_GB2312"/>
          <w:sz w:val="32"/>
          <w:szCs w:val="32"/>
        </w:rPr>
        <w:t>元，其中：人员经</w:t>
      </w:r>
      <w:r>
        <w:rPr>
          <w:rFonts w:hint="eastAsia" w:ascii="楷体_GB2312" w:hAnsi="仿宋" w:eastAsia="楷体_GB2312"/>
          <w:color w:val="000000"/>
          <w:sz w:val="32"/>
          <w:szCs w:val="32"/>
        </w:rPr>
        <w:t>费</w:t>
      </w:r>
      <w:r>
        <w:rPr>
          <w:rFonts w:hint="eastAsia" w:ascii="Times New Roman" w:hAnsi="Times New Roman" w:eastAsia="仿宋_GB2312"/>
          <w:sz w:val="32"/>
          <w:szCs w:val="32"/>
          <w:lang w:val="en-US" w:eastAsia="zh-CN"/>
        </w:rPr>
        <w:t>2861.25</w:t>
      </w:r>
      <w:r>
        <w:rPr>
          <w:rFonts w:hint="eastAsia" w:ascii="楷体_GB2312" w:hAnsi="仿宋" w:eastAsia="楷体_GB2312"/>
          <w:color w:val="000000"/>
          <w:sz w:val="32"/>
          <w:szCs w:val="32"/>
        </w:rPr>
        <w:t>万</w:t>
      </w:r>
      <w:r>
        <w:rPr>
          <w:rFonts w:hint="eastAsia" w:ascii="楷体_GB2312" w:hAnsi="仿宋" w:eastAsia="楷体_GB2312"/>
          <w:sz w:val="32"/>
          <w:szCs w:val="32"/>
        </w:rPr>
        <w:t>元，日常公用经费</w:t>
      </w:r>
      <w:r>
        <w:rPr>
          <w:rFonts w:hint="eastAsia" w:ascii="Times New Roman" w:hAnsi="Times New Roman" w:eastAsia="仿宋_GB2312"/>
          <w:sz w:val="32"/>
          <w:szCs w:val="32"/>
          <w:lang w:val="en-US" w:eastAsia="zh-CN"/>
        </w:rPr>
        <w:t>148.03</w:t>
      </w:r>
      <w:r>
        <w:rPr>
          <w:rFonts w:hint="eastAsia" w:ascii="楷体_GB2312" w:hAnsi="仿宋" w:eastAsia="楷体_GB2312"/>
          <w:sz w:val="32"/>
          <w:szCs w:val="32"/>
        </w:rPr>
        <w:t>万元。是指为保障单位机构</w:t>
      </w:r>
      <w:r>
        <w:rPr>
          <w:rFonts w:hint="eastAsia" w:ascii="楷体_GB2312" w:hAnsi="仿宋" w:eastAsia="楷体_GB2312"/>
          <w:sz w:val="32"/>
          <w:szCs w:val="32"/>
          <w:lang w:val="en-US" w:eastAsia="zh-CN"/>
        </w:rPr>
        <w:t>和村级组织</w:t>
      </w:r>
      <w:r>
        <w:rPr>
          <w:rFonts w:hint="eastAsia" w:ascii="楷体_GB2312" w:hAnsi="仿宋" w:eastAsia="楷体_GB2312"/>
          <w:sz w:val="32"/>
          <w:szCs w:val="32"/>
        </w:rPr>
        <w:t>正常运转、完成日常工作任务而发生的各项支出，包括用于基本工资、津贴补贴</w:t>
      </w:r>
      <w:r>
        <w:rPr>
          <w:rFonts w:hint="eastAsia" w:ascii="楷体_GB2312" w:hAnsi="仿宋" w:eastAsia="楷体_GB2312"/>
          <w:sz w:val="32"/>
          <w:szCs w:val="32"/>
          <w:lang w:eastAsia="zh-CN"/>
        </w:rPr>
        <w:t>、</w:t>
      </w:r>
      <w:r>
        <w:rPr>
          <w:rFonts w:hint="eastAsia" w:ascii="楷体_GB2312" w:hAnsi="仿宋" w:eastAsia="楷体_GB2312"/>
          <w:sz w:val="32"/>
          <w:szCs w:val="32"/>
          <w:lang w:val="en-US" w:eastAsia="zh-CN"/>
        </w:rPr>
        <w:t>村干部工资</w:t>
      </w:r>
      <w:r>
        <w:rPr>
          <w:rFonts w:hint="eastAsia" w:ascii="楷体_GB2312" w:hAnsi="仿宋" w:eastAsia="楷体_GB2312"/>
          <w:sz w:val="32"/>
          <w:szCs w:val="32"/>
        </w:rPr>
        <w:t>等人员经费</w:t>
      </w:r>
      <w:r>
        <w:rPr>
          <w:rFonts w:hint="eastAsia" w:ascii="楷体_GB2312" w:hAnsi="仿宋" w:eastAsia="楷体_GB2312"/>
          <w:sz w:val="32"/>
          <w:szCs w:val="32"/>
          <w:lang w:val="en-US" w:eastAsia="zh-CN"/>
        </w:rPr>
        <w:t>和</w:t>
      </w:r>
      <w:r>
        <w:rPr>
          <w:rFonts w:hint="eastAsia" w:ascii="楷体_GB2312" w:hAnsi="仿宋" w:eastAsia="楷体_GB2312"/>
          <w:sz w:val="32"/>
          <w:szCs w:val="32"/>
        </w:rPr>
        <w:t>办公费、印刷费、水电费及办公设备购置等日常公用经费</w:t>
      </w:r>
      <w:r>
        <w:rPr>
          <w:rFonts w:hint="eastAsia" w:ascii="楷体_GB2312" w:hAnsi="仿宋" w:eastAsia="楷体_GB2312"/>
          <w:sz w:val="32"/>
          <w:szCs w:val="32"/>
          <w:lang w:val="en-US" w:eastAsia="zh-CN"/>
        </w:rPr>
        <w:t>以及村级运转经费</w:t>
      </w:r>
      <w:r>
        <w:rPr>
          <w:rFonts w:hint="eastAsia" w:ascii="楷体_GB2312" w:hAnsi="仿宋" w:eastAsia="楷体_GB2312"/>
          <w:sz w:val="32"/>
          <w:szCs w:val="32"/>
        </w:rPr>
        <w:t>。</w:t>
      </w:r>
    </w:p>
    <w:p w14:paraId="67936EC9">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项目支出情况</w:t>
      </w:r>
    </w:p>
    <w:p w14:paraId="053F88FE">
      <w:pPr>
        <w:pStyle w:val="2"/>
        <w:numPr>
          <w:ilvl w:val="0"/>
          <w:numId w:val="0"/>
        </w:numPr>
        <w:ind w:firstLine="640" w:firstLineChars="200"/>
      </w:pPr>
      <w:r>
        <w:rPr>
          <w:rFonts w:ascii="楷体_GB2312" w:hAnsi="仿宋" w:eastAsia="楷体_GB2312"/>
          <w:sz w:val="32"/>
          <w:szCs w:val="32"/>
        </w:rPr>
        <w:t>202</w:t>
      </w:r>
      <w:r>
        <w:rPr>
          <w:rFonts w:hint="eastAsia" w:ascii="楷体_GB2312" w:hAnsi="仿宋" w:eastAsia="楷体_GB2312"/>
          <w:sz w:val="32"/>
          <w:szCs w:val="32"/>
          <w:lang w:val="en-US" w:eastAsia="zh-CN"/>
        </w:rPr>
        <w:t>3</w:t>
      </w:r>
      <w:r>
        <w:rPr>
          <w:rFonts w:hint="eastAsia" w:ascii="楷体_GB2312" w:hAnsi="仿宋" w:eastAsia="楷体_GB2312"/>
          <w:sz w:val="32"/>
          <w:szCs w:val="32"/>
        </w:rPr>
        <w:t>年年度决算数为</w:t>
      </w:r>
      <w:r>
        <w:rPr>
          <w:rFonts w:hint="eastAsia" w:ascii="楷体_GB2312" w:hAnsi="仿宋" w:eastAsia="楷体_GB2312"/>
          <w:color w:val="000000"/>
          <w:sz w:val="32"/>
          <w:szCs w:val="32"/>
          <w:lang w:val="en-US" w:eastAsia="zh-CN"/>
        </w:rPr>
        <w:t>3527.66</w:t>
      </w:r>
      <w:r>
        <w:rPr>
          <w:rFonts w:hint="eastAsia" w:ascii="楷体_GB2312" w:hAnsi="仿宋" w:eastAsia="楷体_GB2312"/>
          <w:sz w:val="32"/>
          <w:szCs w:val="32"/>
        </w:rPr>
        <w:t>万元，是指单位为完成选定行政工作或事业发展目标而发生的支出，</w:t>
      </w:r>
      <w:r>
        <w:rPr>
          <w:rFonts w:hint="eastAsia" w:ascii="楷体_GB2312" w:hAnsi="仿宋" w:eastAsia="楷体_GB2312"/>
          <w:sz w:val="32"/>
          <w:szCs w:val="32"/>
          <w:lang w:val="en-US" w:eastAsia="zh-CN"/>
        </w:rPr>
        <w:t>主要是金江公路、迎宾大道</w:t>
      </w:r>
      <w:r>
        <w:rPr>
          <w:rFonts w:hint="eastAsia" w:ascii="楷体_GB2312" w:hAnsi="仿宋" w:eastAsia="楷体_GB2312"/>
          <w:sz w:val="32"/>
          <w:szCs w:val="32"/>
        </w:rPr>
        <w:t>及其他城镇基础设施建设等。</w:t>
      </w:r>
    </w:p>
    <w:p w14:paraId="45F9D9FA">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eastAsia="仿宋_GB2312"/>
          <w:sz w:val="32"/>
          <w:szCs w:val="32"/>
        </w:rPr>
      </w:pP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经费情况</w:t>
      </w:r>
    </w:p>
    <w:p w14:paraId="00B1D2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eastAsia="仿宋_GB2312"/>
          <w:sz w:val="32"/>
          <w:szCs w:val="32"/>
        </w:rPr>
        <w:t>1</w:t>
      </w:r>
      <w:r>
        <w:rPr>
          <w:rFonts w:hint="eastAsia" w:eastAsia="仿宋_GB2312"/>
          <w:sz w:val="32"/>
          <w:szCs w:val="32"/>
        </w:rPr>
        <w:t>．因公出国（境）费用</w:t>
      </w:r>
      <w:r>
        <w:rPr>
          <w:rFonts w:hint="eastAsia" w:eastAsia="仿宋_GB2312"/>
          <w:sz w:val="32"/>
          <w:szCs w:val="32"/>
          <w:lang w:val="en-US" w:eastAsia="zh-CN"/>
        </w:rPr>
        <w:t>0万元</w:t>
      </w:r>
      <w:r>
        <w:rPr>
          <w:rFonts w:hint="eastAsia" w:eastAsia="仿宋_GB2312"/>
          <w:sz w:val="32"/>
          <w:szCs w:val="32"/>
        </w:rPr>
        <w:t>；</w:t>
      </w:r>
    </w:p>
    <w:p w14:paraId="432C89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eastAsia="仿宋_GB2312"/>
          <w:sz w:val="32"/>
          <w:szCs w:val="32"/>
        </w:rPr>
        <w:t>2</w:t>
      </w:r>
      <w:r>
        <w:rPr>
          <w:rFonts w:hint="eastAsia" w:eastAsia="仿宋_GB2312"/>
          <w:sz w:val="32"/>
          <w:szCs w:val="32"/>
        </w:rPr>
        <w:t>．公务接待费</w:t>
      </w:r>
      <w:r>
        <w:rPr>
          <w:rFonts w:hint="eastAsia" w:eastAsia="仿宋_GB2312"/>
          <w:sz w:val="32"/>
          <w:szCs w:val="32"/>
          <w:lang w:val="en-US" w:eastAsia="zh-CN"/>
        </w:rPr>
        <w:t>10万元</w:t>
      </w:r>
      <w:r>
        <w:rPr>
          <w:rFonts w:hint="eastAsia" w:eastAsia="仿宋_GB2312"/>
          <w:sz w:val="32"/>
          <w:szCs w:val="32"/>
        </w:rPr>
        <w:t>；</w:t>
      </w:r>
    </w:p>
    <w:p w14:paraId="530544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eastAsia="仿宋_GB2312"/>
          <w:sz w:val="32"/>
          <w:szCs w:val="32"/>
        </w:rPr>
        <w:t>3</w:t>
      </w:r>
      <w:r>
        <w:rPr>
          <w:rFonts w:hint="eastAsia" w:eastAsia="仿宋_GB2312"/>
          <w:sz w:val="32"/>
          <w:szCs w:val="32"/>
        </w:rPr>
        <w:t>．公务用车购置及运行费</w:t>
      </w:r>
      <w:r>
        <w:rPr>
          <w:rFonts w:hint="eastAsia" w:eastAsia="仿宋_GB2312"/>
          <w:sz w:val="32"/>
          <w:szCs w:val="32"/>
          <w:lang w:val="en-US" w:eastAsia="zh-CN"/>
        </w:rPr>
        <w:t>6万元</w:t>
      </w:r>
      <w:r>
        <w:rPr>
          <w:rFonts w:hint="eastAsia" w:eastAsia="仿宋_GB2312"/>
          <w:sz w:val="32"/>
          <w:szCs w:val="32"/>
        </w:rPr>
        <w:t>。</w:t>
      </w:r>
    </w:p>
    <w:p w14:paraId="460F543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b/>
          <w:bCs/>
          <w:sz w:val="32"/>
          <w:szCs w:val="32"/>
        </w:rPr>
      </w:pPr>
      <w:r>
        <w:rPr>
          <w:rFonts w:hint="eastAsia" w:ascii="黑体" w:hAnsi="黑体" w:eastAsia="黑体"/>
          <w:b/>
          <w:bCs/>
          <w:sz w:val="32"/>
          <w:szCs w:val="32"/>
        </w:rPr>
        <w:t>三、部门整体支出绩效情况</w:t>
      </w:r>
    </w:p>
    <w:p w14:paraId="451D082A">
      <w:pPr>
        <w:keepNext w:val="0"/>
        <w:keepLines w:val="0"/>
        <w:pageBreakBefore w:val="0"/>
        <w:widowControl w:val="0"/>
        <w:kinsoku/>
        <w:wordWrap/>
        <w:overflowPunct w:val="0"/>
        <w:topLinePunct w:val="0"/>
        <w:autoSpaceDE/>
        <w:autoSpaceDN/>
        <w:bidi w:val="0"/>
        <w:adjustRightInd/>
        <w:snapToGrid/>
        <w:spacing w:line="540" w:lineRule="exact"/>
        <w:ind w:leftChars="0" w:firstLine="640" w:firstLineChars="200"/>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一、工作开展情况</w:t>
      </w:r>
    </w:p>
    <w:p w14:paraId="727655F5">
      <w:pPr>
        <w:keepNext w:val="0"/>
        <w:keepLines w:val="0"/>
        <w:pageBreakBefore w:val="0"/>
        <w:widowControl w:val="0"/>
        <w:kinsoku/>
        <w:wordWrap/>
        <w:overflowPunct w:val="0"/>
        <w:topLinePunct w:val="0"/>
        <w:autoSpaceDE/>
        <w:autoSpaceDN/>
        <w:bidi w:val="0"/>
        <w:adjustRightInd/>
        <w:snapToGrid/>
        <w:spacing w:line="540" w:lineRule="exact"/>
        <w:ind w:leftChars="0" w:firstLine="643" w:firstLineChars="200"/>
        <w:jc w:val="both"/>
        <w:textAlignment w:val="auto"/>
        <w:rPr>
          <w:rFonts w:hint="default" w:ascii="仿宋" w:hAnsi="仿宋" w:eastAsia="仿宋" w:cs="仿宋"/>
          <w:color w:val="auto"/>
          <w:sz w:val="32"/>
          <w:szCs w:val="32"/>
          <w:u w:val="none"/>
          <w:lang w:val="en-US" w:eastAsia="zh-CN"/>
        </w:rPr>
      </w:pPr>
      <w:r>
        <w:rPr>
          <w:rFonts w:hint="eastAsia" w:ascii="仿宋" w:hAnsi="仿宋" w:eastAsia="仿宋" w:cs="仿宋"/>
          <w:b/>
          <w:bCs/>
          <w:color w:val="auto"/>
          <w:sz w:val="32"/>
          <w:szCs w:val="32"/>
          <w:u w:val="none"/>
          <w:lang w:val="en-US" w:eastAsia="zh-CN"/>
        </w:rPr>
        <w:t>（一）聚焦“三宜三融三区”发展定位，加快推进县域副中心建设。</w:t>
      </w:r>
      <w:r>
        <w:rPr>
          <w:rFonts w:hint="eastAsia" w:ascii="仿宋" w:hAnsi="仿宋" w:eastAsia="仿宋" w:cs="仿宋"/>
          <w:color w:val="auto"/>
          <w:sz w:val="32"/>
          <w:szCs w:val="32"/>
          <w:u w:val="none"/>
          <w:lang w:val="en-US" w:eastAsia="zh-CN"/>
        </w:rPr>
        <w:t>经多次征求意见并报县政府常务会议和深改委会议审核通过，《隆回县域副中心发展规划》和县委县政府《关于支持加快县域副中心建设的意见》正式出台，为金石桥发展明确了思路和方向。一是主要经济指标稳中有进。本年度固定资产投资项目13个，其中五千万以上项目1个，计划总投资9.05亿元，完成投资8.13亿元，社会消费品零售总额85241.27千元，同比增长21.36%。现有规模工业3家，工业生产总值2.6745亿元。市场主体倍增工程企业注册超额完成任务。</w:t>
      </w:r>
      <w:r>
        <w:rPr>
          <w:rFonts w:hint="eastAsia" w:ascii="仿宋" w:hAnsi="仿宋" w:eastAsia="仿宋" w:cs="仿宋"/>
          <w:b/>
          <w:bCs/>
          <w:color w:val="auto"/>
          <w:sz w:val="32"/>
          <w:szCs w:val="32"/>
          <w:u w:val="none"/>
          <w:lang w:val="en-US" w:eastAsia="zh-CN"/>
        </w:rPr>
        <w:t>二是项目建设成效显著。</w:t>
      </w:r>
      <w:r>
        <w:rPr>
          <w:rFonts w:hint="eastAsia" w:ascii="仿宋" w:hAnsi="仿宋" w:eastAsia="仿宋" w:cs="仿宋"/>
          <w:color w:val="auto"/>
          <w:sz w:val="32"/>
          <w:szCs w:val="32"/>
          <w:u w:val="none"/>
          <w:lang w:val="en-US" w:eastAsia="zh-CN"/>
        </w:rPr>
        <w:t>投资4.5亿元的商贸物流中心已经完成国有土地出让，正式开工建设。投资4000余万元的隆回县人民医院第二院区工程项目建设已完成主体建设。投资4000余万元的迎宾大道致富路正式开工建设。投资700万元的红二军团鸭田战斗指挥所修缮工作已完成，游客接待中心已于5月正式投入运营。投资360万元对黄金井街道进行整治，彻底消除马路市场。投资500万元的金江公路改扩建如期完成。泉山公路已开工建设。公立幼儿园已完成征地、拆迁、土地报批，隆回六中扩建已完成征地。养老院征地工作已完成。</w:t>
      </w:r>
      <w:r>
        <w:rPr>
          <w:rFonts w:hint="eastAsia" w:ascii="仿宋" w:hAnsi="仿宋" w:eastAsia="仿宋" w:cs="仿宋"/>
          <w:b/>
          <w:bCs/>
          <w:color w:val="auto"/>
          <w:sz w:val="32"/>
          <w:szCs w:val="32"/>
          <w:u w:val="none"/>
          <w:lang w:val="en-US" w:eastAsia="zh-CN"/>
        </w:rPr>
        <w:t>三是招商引资持续发力。</w:t>
      </w:r>
      <w:r>
        <w:rPr>
          <w:rFonts w:hint="eastAsia" w:ascii="仿宋" w:hAnsi="仿宋" w:eastAsia="仿宋" w:cs="仿宋"/>
          <w:color w:val="auto"/>
          <w:sz w:val="32"/>
          <w:szCs w:val="32"/>
          <w:u w:val="none"/>
          <w:lang w:val="en-US" w:eastAsia="zh-CN"/>
        </w:rPr>
        <w:t>金石桥粮站已完成三通一平工作，拟引进投资2亿元的猫人集团《顺美大厦暨武汉猫人电商产业园项目合同》已报县政府常务会审议通过。</w:t>
      </w:r>
      <w:r>
        <w:rPr>
          <w:rFonts w:hint="eastAsia" w:ascii="仿宋" w:hAnsi="仿宋" w:eastAsia="仿宋" w:cs="仿宋"/>
          <w:color w:val="auto"/>
          <w:sz w:val="32"/>
          <w:szCs w:val="32"/>
          <w:lang w:val="en-US" w:eastAsia="zh-CN"/>
        </w:rPr>
        <w:t>高洲温泉已达成初步招商协议</w:t>
      </w:r>
      <w:r>
        <w:rPr>
          <w:rFonts w:hint="eastAsia" w:ascii="仿宋" w:hAnsi="仿宋" w:eastAsia="仿宋" w:cs="仿宋"/>
          <w:color w:val="auto"/>
          <w:sz w:val="32"/>
          <w:szCs w:val="32"/>
          <w:u w:val="none"/>
          <w:lang w:val="en-US" w:eastAsia="zh-CN"/>
        </w:rPr>
        <w:t>。</w:t>
      </w:r>
    </w:p>
    <w:p w14:paraId="10E91BA4">
      <w:pPr>
        <w:keepNext w:val="0"/>
        <w:keepLines w:val="0"/>
        <w:pageBreakBefore w:val="0"/>
        <w:widowControl w:val="0"/>
        <w:kinsoku/>
        <w:wordWrap/>
        <w:overflowPunct w:val="0"/>
        <w:topLinePunct w:val="0"/>
        <w:autoSpaceDE/>
        <w:autoSpaceDN/>
        <w:bidi w:val="0"/>
        <w:adjustRightInd/>
        <w:snapToGrid/>
        <w:spacing w:line="540" w:lineRule="exact"/>
        <w:ind w:leftChars="0" w:firstLine="643" w:firstLineChars="200"/>
        <w:textAlignment w:val="auto"/>
        <w:rPr>
          <w:rFonts w:hint="eastAsia" w:ascii="仿宋" w:hAnsi="仿宋" w:eastAsia="仿宋" w:cs="仿宋"/>
          <w:color w:val="auto"/>
          <w:sz w:val="32"/>
          <w:szCs w:val="32"/>
          <w:u w:val="none"/>
          <w:lang w:val="en-US" w:eastAsia="zh-CN"/>
        </w:rPr>
      </w:pPr>
      <w:r>
        <w:rPr>
          <w:rFonts w:hint="eastAsia" w:ascii="楷体" w:hAnsi="楷体" w:eastAsia="楷体" w:cs="楷体"/>
          <w:b/>
          <w:bCs/>
          <w:color w:val="auto"/>
          <w:sz w:val="32"/>
          <w:szCs w:val="32"/>
          <w:u w:val="none"/>
          <w:lang w:val="en-US" w:eastAsia="zh-CN"/>
        </w:rPr>
        <w:t>（二）坚持农业农村优先发展，全面推进乡村振兴。</w:t>
      </w:r>
      <w:r>
        <w:rPr>
          <w:rFonts w:hint="eastAsia" w:ascii="仿宋" w:hAnsi="仿宋" w:eastAsia="仿宋" w:cs="仿宋"/>
          <w:color w:val="auto"/>
          <w:sz w:val="32"/>
          <w:szCs w:val="32"/>
          <w:u w:val="none"/>
          <w:lang w:val="en-US" w:eastAsia="zh-CN"/>
        </w:rPr>
        <w:t>加快农业农村现代化建设步伐，牢牢守住粮食安全底线，推进农业产业化，推动农村一二三产业融合发展，全面推进乡村振兴。</w:t>
      </w:r>
      <w:r>
        <w:rPr>
          <w:rFonts w:hint="eastAsia" w:ascii="仿宋" w:hAnsi="仿宋" w:eastAsia="仿宋" w:cs="仿宋"/>
          <w:b/>
          <w:bCs/>
          <w:color w:val="auto"/>
          <w:sz w:val="32"/>
          <w:szCs w:val="32"/>
          <w:u w:val="none"/>
          <w:lang w:val="en-US" w:eastAsia="zh-CN"/>
        </w:rPr>
        <w:t>一是推进农业产业化发展。</w:t>
      </w:r>
      <w:r>
        <w:rPr>
          <w:rFonts w:hint="eastAsia" w:ascii="仿宋" w:hAnsi="仿宋" w:eastAsia="仿宋" w:cs="仿宋"/>
          <w:color w:val="auto"/>
          <w:sz w:val="32"/>
          <w:szCs w:val="32"/>
          <w:u w:val="none"/>
          <w:lang w:val="en-US" w:eastAsia="zh-CN"/>
        </w:rPr>
        <w:t>黄珒井鸡蛋厂</w:t>
      </w:r>
      <w:r>
        <w:rPr>
          <w:rFonts w:hint="eastAsia" w:ascii="仿宋" w:hAnsi="仿宋" w:eastAsia="仿宋" w:cs="仿宋"/>
          <w:b w:val="0"/>
          <w:bCs w:val="0"/>
          <w:color w:val="auto"/>
          <w:sz w:val="32"/>
          <w:szCs w:val="32"/>
          <w:u w:val="none"/>
          <w:lang w:val="en-US" w:eastAsia="zh-CN"/>
        </w:rPr>
        <w:t>成功申报省级农业龙头企业，</w:t>
      </w:r>
      <w:r>
        <w:rPr>
          <w:rFonts w:hint="eastAsia" w:ascii="仿宋" w:hAnsi="仿宋" w:eastAsia="仿宋" w:cs="仿宋"/>
          <w:color w:val="auto"/>
          <w:sz w:val="32"/>
          <w:szCs w:val="32"/>
          <w:u w:val="none"/>
          <w:lang w:val="en-US" w:eastAsia="zh-CN"/>
        </w:rPr>
        <w:t>成功创建一家省级示范家庭农场，3家农业生产主体纳入联农带农产业帮扶项目实施主体。大力发展</w:t>
      </w:r>
      <w:r>
        <w:rPr>
          <w:rFonts w:hint="eastAsia" w:ascii="仿宋" w:hAnsi="仿宋" w:eastAsia="仿宋" w:cs="仿宋"/>
          <w:b w:val="0"/>
          <w:bCs w:val="0"/>
          <w:color w:val="auto"/>
          <w:sz w:val="32"/>
          <w:szCs w:val="32"/>
          <w:u w:val="none"/>
          <w:lang w:val="en-US" w:eastAsia="zh-CN"/>
        </w:rPr>
        <w:t>以猕猴桃、蛋鸡、茶叶、中药材、魔芋为基础的产业格局</w:t>
      </w:r>
      <w:r>
        <w:rPr>
          <w:rFonts w:hint="eastAsia" w:ascii="仿宋" w:hAnsi="仿宋" w:eastAsia="仿宋" w:cs="仿宋"/>
          <w:color w:val="auto"/>
          <w:kern w:val="2"/>
          <w:sz w:val="32"/>
          <w:szCs w:val="32"/>
          <w:u w:val="none"/>
          <w:lang w:val="en-US" w:eastAsia="zh-CN" w:bidi="ar-SA"/>
        </w:rPr>
        <w:t>，</w:t>
      </w:r>
      <w:r>
        <w:rPr>
          <w:rFonts w:hint="eastAsia" w:ascii="仿宋" w:hAnsi="仿宋" w:eastAsia="仿宋" w:cs="仿宋"/>
          <w:color w:val="auto"/>
          <w:sz w:val="32"/>
          <w:szCs w:val="32"/>
          <w:u w:val="none"/>
          <w:lang w:val="en-US" w:eastAsia="zh-CN"/>
        </w:rPr>
        <w:t>新增种植500余亩龙牙百合，落实金银花、茶叶、五味子、天麻等特色种植基地200余亩。8月初成功举办第四届特色农产品展销会。落实粮播面积6.09万亩，发展优质稻种植面积3.5万亩。落实政策性农业保险农作物（水稻、玉米、金银花）投保面积7.1万亩。生猪存栏量3.58万头，禽类存栏数为44.35万羽，牛存栏数0.35万头。高标准农田建设项目已于4月建设完工。</w:t>
      </w:r>
      <w:r>
        <w:rPr>
          <w:rFonts w:hint="eastAsia" w:ascii="仿宋" w:hAnsi="仿宋" w:eastAsia="仿宋" w:cs="仿宋"/>
          <w:b/>
          <w:bCs/>
          <w:color w:val="auto"/>
          <w:sz w:val="32"/>
          <w:szCs w:val="32"/>
          <w:u w:val="none"/>
          <w:lang w:val="en-US" w:eastAsia="zh-CN"/>
        </w:rPr>
        <w:t>二是坚决守住不发生规模性返贫底线。</w:t>
      </w:r>
      <w:r>
        <w:rPr>
          <w:rFonts w:hint="eastAsia" w:ascii="仿宋" w:hAnsi="仿宋" w:eastAsia="仿宋" w:cs="仿宋"/>
          <w:b w:val="0"/>
          <w:bCs w:val="0"/>
          <w:color w:val="auto"/>
          <w:sz w:val="32"/>
          <w:szCs w:val="32"/>
          <w:u w:val="none"/>
          <w:lang w:val="en-US" w:eastAsia="zh-CN"/>
        </w:rPr>
        <w:t>全年常态化识别监测户4户18人，风险消除4户11人，精准落实教育、医疗、住房保障、就业和安全饮水等行业帮扶政策。全力做好易地搬迁“后半篇文章”，</w:t>
      </w:r>
      <w:r>
        <w:rPr>
          <w:rFonts w:hint="eastAsia" w:ascii="仿宋" w:hAnsi="仿宋" w:eastAsia="仿宋" w:cs="仿宋"/>
          <w:color w:val="auto"/>
          <w:sz w:val="32"/>
          <w:szCs w:val="32"/>
          <w:highlight w:val="none"/>
          <w:lang w:val="en-US" w:eastAsia="zh-CN"/>
        </w:rPr>
        <w:t>投入12万元对安置点所有住房进行安全鉴定，并</w:t>
      </w:r>
      <w:r>
        <w:rPr>
          <w:rFonts w:hint="eastAsia" w:ascii="仿宋" w:hAnsi="仿宋" w:eastAsia="仿宋" w:cs="仿宋"/>
          <w:b w:val="0"/>
          <w:bCs w:val="0"/>
          <w:color w:val="auto"/>
          <w:sz w:val="32"/>
          <w:szCs w:val="32"/>
          <w:u w:val="none"/>
          <w:lang w:val="en-US" w:eastAsia="zh-CN"/>
        </w:rPr>
        <w:t>发放产业奖补贴资金3.92万元，确保群众稳得住、能致富。凝聚社会帮扶合力，</w:t>
      </w:r>
      <w:r>
        <w:rPr>
          <w:rFonts w:hint="eastAsia" w:ascii="仿宋" w:hAnsi="仿宋" w:eastAsia="仿宋" w:cs="仿宋"/>
          <w:color w:val="auto"/>
          <w:kern w:val="2"/>
          <w:sz w:val="32"/>
          <w:szCs w:val="32"/>
          <w:u w:val="none"/>
          <w:lang w:val="en-US" w:eastAsia="zh-CN" w:bidi="ar-SA"/>
        </w:rPr>
        <w:t>金石芙蓉教育促进会共发放30余万元、本土乡贤主动向外对接爱心企业捐款11万元用于奖教奖学和助学</w:t>
      </w:r>
      <w:r>
        <w:rPr>
          <w:rFonts w:hint="eastAsia" w:ascii="仿宋" w:hAnsi="仿宋" w:eastAsia="仿宋" w:cs="仿宋"/>
          <w:b/>
          <w:bCs/>
          <w:color w:val="auto"/>
          <w:kern w:val="2"/>
          <w:sz w:val="32"/>
          <w:szCs w:val="32"/>
          <w:u w:val="none"/>
          <w:lang w:val="en-US" w:eastAsia="zh-CN" w:bidi="ar-SA"/>
        </w:rPr>
        <w:t>。三是大力推进乡村建设。</w:t>
      </w:r>
      <w:r>
        <w:rPr>
          <w:rFonts w:hint="eastAsia" w:ascii="仿宋" w:hAnsi="仿宋" w:eastAsia="仿宋" w:cs="仿宋"/>
          <w:color w:val="auto"/>
          <w:kern w:val="2"/>
          <w:sz w:val="32"/>
          <w:szCs w:val="32"/>
          <w:u w:val="none"/>
          <w:lang w:val="en-US" w:eastAsia="zh-CN" w:bidi="ar-SA"/>
        </w:rPr>
        <w:t>严格落实县委村集体经济“一二三四”法，全镇农村集体经济收入955.48万元，100万元以上村3个、其中200万元以上村1个</w:t>
      </w:r>
      <w:r>
        <w:rPr>
          <w:rFonts w:hint="eastAsia" w:ascii="仿宋" w:hAnsi="仿宋" w:eastAsia="仿宋" w:cs="仿宋"/>
          <w:b w:val="0"/>
          <w:bCs w:val="0"/>
          <w:color w:val="auto"/>
          <w:sz w:val="32"/>
          <w:szCs w:val="32"/>
          <w:u w:val="none"/>
          <w:lang w:val="en-US" w:eastAsia="zh-CN"/>
        </w:rPr>
        <w:t>。探寻乡村振兴善治之策，成功申报湖南省数字乡村信息基础设施类特色试点镇，以数字化信息化建设赋能乡村治理、政务服务、远程医疗。积极争创国家卫生镇。全面落实县“农村人居环境整治攻坚年”活动要求，进一步推进厕所革命，全年累计拆除空心房120座，拆除旱厕20座，</w:t>
      </w:r>
      <w:r>
        <w:rPr>
          <w:rFonts w:hint="eastAsia" w:ascii="仿宋" w:hAnsi="仿宋" w:eastAsia="仿宋" w:cs="仿宋"/>
          <w:color w:val="auto"/>
          <w:sz w:val="32"/>
          <w:szCs w:val="32"/>
          <w:u w:val="none"/>
          <w:lang w:val="en-US" w:eastAsia="zh-CN"/>
        </w:rPr>
        <w:t>完成农村改厕252座，同时在清洁乡村小程序自查自纠问题16918处。</w:t>
      </w:r>
    </w:p>
    <w:p w14:paraId="031EDA4A">
      <w:pPr>
        <w:keepNext w:val="0"/>
        <w:keepLines w:val="0"/>
        <w:pageBreakBefore w:val="0"/>
        <w:widowControl w:val="0"/>
        <w:kinsoku/>
        <w:wordWrap/>
        <w:overflowPunct w:val="0"/>
        <w:topLinePunct w:val="0"/>
        <w:autoSpaceDE/>
        <w:autoSpaceDN/>
        <w:bidi w:val="0"/>
        <w:adjustRightInd/>
        <w:snapToGrid/>
        <w:spacing w:line="540" w:lineRule="exact"/>
        <w:ind w:leftChars="0" w:firstLine="643" w:firstLineChars="200"/>
        <w:textAlignment w:val="auto"/>
        <w:rPr>
          <w:rFonts w:hint="default" w:ascii="仿宋" w:hAnsi="仿宋" w:eastAsia="仿宋" w:cs="仿宋"/>
          <w:b w:val="0"/>
          <w:bCs w:val="0"/>
          <w:color w:val="auto"/>
          <w:sz w:val="32"/>
          <w:szCs w:val="32"/>
          <w:u w:val="none"/>
          <w:lang w:val="en-US" w:eastAsia="zh-CN"/>
        </w:rPr>
      </w:pPr>
      <w:r>
        <w:rPr>
          <w:rFonts w:hint="eastAsia" w:ascii="楷体" w:hAnsi="楷体" w:eastAsia="楷体" w:cs="楷体"/>
          <w:b/>
          <w:bCs/>
          <w:color w:val="auto"/>
          <w:sz w:val="32"/>
          <w:szCs w:val="32"/>
          <w:u w:val="none"/>
          <w:lang w:val="en-US" w:eastAsia="zh-CN"/>
        </w:rPr>
        <w:t>（三）统筹发展和安全，全面提升治理能力和水平。</w:t>
      </w:r>
      <w:r>
        <w:rPr>
          <w:rStyle w:val="13"/>
          <w:rFonts w:hint="eastAsia" w:ascii="仿宋" w:hAnsi="仿宋" w:eastAsia="仿宋" w:cs="仿宋"/>
          <w:b/>
          <w:bCs/>
          <w:i w:val="0"/>
          <w:caps w:val="0"/>
          <w:color w:val="auto"/>
          <w:spacing w:val="0"/>
          <w:w w:val="100"/>
          <w:kern w:val="2"/>
          <w:sz w:val="32"/>
          <w:szCs w:val="32"/>
          <w:u w:val="none"/>
          <w:lang w:val="en-US" w:eastAsia="zh-CN" w:bidi="ar-SA"/>
        </w:rPr>
        <w:t>一是全面排查安全风险隐患。</w:t>
      </w:r>
      <w:r>
        <w:rPr>
          <w:rFonts w:hint="eastAsia" w:ascii="仿宋" w:hAnsi="仿宋" w:eastAsia="仿宋" w:cs="仿宋"/>
          <w:b w:val="0"/>
          <w:bCs w:val="0"/>
          <w:color w:val="auto"/>
          <w:sz w:val="32"/>
          <w:szCs w:val="32"/>
          <w:u w:val="none"/>
        </w:rPr>
        <w:t>严格按照“三管三必须”落实安全生产责任</w:t>
      </w:r>
      <w:r>
        <w:rPr>
          <w:rFonts w:hint="eastAsia" w:ascii="仿宋" w:hAnsi="仿宋" w:eastAsia="仿宋" w:cs="仿宋"/>
          <w:b w:val="0"/>
          <w:bCs w:val="0"/>
          <w:color w:val="auto"/>
          <w:sz w:val="32"/>
          <w:szCs w:val="32"/>
          <w:u w:val="none"/>
          <w:lang w:eastAsia="zh-CN"/>
        </w:rPr>
        <w:t>，</w:t>
      </w:r>
      <w:r>
        <w:rPr>
          <w:rFonts w:hint="eastAsia" w:ascii="仿宋" w:hAnsi="仿宋" w:eastAsia="仿宋" w:cs="仿宋"/>
          <w:b w:val="0"/>
          <w:bCs w:val="0"/>
          <w:color w:val="auto"/>
          <w:sz w:val="32"/>
          <w:szCs w:val="32"/>
          <w:u w:val="none"/>
        </w:rPr>
        <w:t>持续推进安全风险分级管控和隐患排查治理双重预防机制</w:t>
      </w:r>
      <w:r>
        <w:rPr>
          <w:rFonts w:hint="eastAsia" w:ascii="仿宋" w:hAnsi="仿宋" w:eastAsia="仿宋" w:cs="仿宋"/>
          <w:b w:val="0"/>
          <w:bCs w:val="0"/>
          <w:color w:val="auto"/>
          <w:sz w:val="32"/>
          <w:szCs w:val="32"/>
          <w:u w:val="none"/>
          <w:lang w:eastAsia="zh-CN"/>
        </w:rPr>
        <w:t>，</w:t>
      </w:r>
      <w:r>
        <w:rPr>
          <w:rFonts w:hint="eastAsia" w:ascii="仿宋" w:hAnsi="仿宋" w:eastAsia="仿宋" w:cs="仿宋"/>
          <w:b w:val="0"/>
          <w:bCs w:val="0"/>
          <w:color w:val="auto"/>
          <w:sz w:val="32"/>
          <w:szCs w:val="32"/>
          <w:u w:val="none"/>
          <w:lang w:val="en-US" w:eastAsia="zh-CN"/>
        </w:rPr>
        <w:t>重点突出</w:t>
      </w:r>
      <w:r>
        <w:rPr>
          <w:rFonts w:hint="eastAsia" w:ascii="仿宋" w:hAnsi="仿宋" w:eastAsia="仿宋" w:cs="仿宋"/>
          <w:b w:val="0"/>
          <w:bCs w:val="0"/>
          <w:color w:val="auto"/>
          <w:kern w:val="0"/>
          <w:sz w:val="32"/>
          <w:szCs w:val="32"/>
          <w:u w:val="none"/>
          <w:lang w:val="en-US" w:eastAsia="zh-CN"/>
        </w:rPr>
        <w:t>安全生产整治，</w:t>
      </w:r>
      <w:r>
        <w:rPr>
          <w:rFonts w:hint="eastAsia" w:ascii="仿宋" w:hAnsi="仿宋" w:eastAsia="仿宋" w:cs="仿宋"/>
          <w:i w:val="0"/>
          <w:iCs w:val="0"/>
          <w:caps w:val="0"/>
          <w:color w:val="auto"/>
          <w:spacing w:val="0"/>
          <w:kern w:val="2"/>
          <w:sz w:val="32"/>
          <w:szCs w:val="32"/>
          <w:u w:val="none"/>
          <w:shd w:val="clear" w:color="auto" w:fill="FFFFFF"/>
          <w:lang w:val="en-US" w:eastAsia="zh-CN" w:bidi="ar-SA"/>
        </w:rPr>
        <w:t>突出消防、道路交通和烟花爆竹、危险化学品、建筑施工、城镇燃气、特种设备、农村自建房等重点行业领域专项整治。截至目前</w:t>
      </w:r>
      <w:r>
        <w:rPr>
          <w:rFonts w:hint="eastAsia" w:ascii="仿宋" w:hAnsi="仿宋" w:eastAsia="仿宋" w:cs="仿宋"/>
          <w:b w:val="0"/>
          <w:bCs w:val="0"/>
          <w:color w:val="auto"/>
          <w:sz w:val="32"/>
          <w:szCs w:val="32"/>
          <w:u w:val="none"/>
          <w:lang w:val="en-US" w:eastAsia="zh-CN"/>
        </w:rPr>
        <w:t>，共</w:t>
      </w:r>
      <w:r>
        <w:rPr>
          <w:rFonts w:hint="eastAsia" w:ascii="仿宋" w:hAnsi="仿宋" w:eastAsia="仿宋" w:cs="仿宋"/>
          <w:color w:val="auto"/>
          <w:sz w:val="32"/>
          <w:szCs w:val="32"/>
          <w:u w:val="none"/>
        </w:rPr>
        <w:t>排查重大安全隐患32个，一般安全隐患283个，已全部整改</w:t>
      </w:r>
      <w:r>
        <w:rPr>
          <w:rFonts w:hint="eastAsia" w:ascii="仿宋" w:hAnsi="仿宋" w:eastAsia="仿宋" w:cs="仿宋"/>
          <w:color w:val="auto"/>
          <w:sz w:val="32"/>
          <w:szCs w:val="32"/>
          <w:u w:val="none"/>
          <w:lang w:eastAsia="zh-CN"/>
        </w:rPr>
        <w:t>。</w:t>
      </w:r>
      <w:r>
        <w:rPr>
          <w:rFonts w:hint="eastAsia" w:ascii="仿宋" w:hAnsi="仿宋" w:eastAsia="仿宋" w:cs="仿宋"/>
          <w:b w:val="0"/>
          <w:bCs w:val="0"/>
          <w:color w:val="auto"/>
          <w:sz w:val="32"/>
          <w:szCs w:val="32"/>
          <w:u w:val="none"/>
          <w:lang w:val="en-US" w:eastAsia="zh-CN"/>
        </w:rPr>
        <w:t>全年</w:t>
      </w:r>
      <w:r>
        <w:rPr>
          <w:rFonts w:hint="eastAsia" w:ascii="仿宋" w:hAnsi="仿宋" w:eastAsia="仿宋" w:cs="仿宋"/>
          <w:b w:val="0"/>
          <w:bCs w:val="0"/>
          <w:color w:val="auto"/>
          <w:sz w:val="32"/>
          <w:szCs w:val="32"/>
          <w:u w:val="none"/>
        </w:rPr>
        <w:t>共</w:t>
      </w:r>
      <w:r>
        <w:rPr>
          <w:rFonts w:hint="eastAsia" w:ascii="仿宋" w:hAnsi="仿宋" w:eastAsia="仿宋" w:cs="仿宋"/>
          <w:b w:val="0"/>
          <w:bCs w:val="0"/>
          <w:color w:val="auto"/>
          <w:sz w:val="32"/>
          <w:szCs w:val="32"/>
          <w:u w:val="none"/>
          <w:lang w:val="en-US" w:eastAsia="zh-CN"/>
        </w:rPr>
        <w:t>开展联合执法13次</w:t>
      </w:r>
      <w:r>
        <w:rPr>
          <w:rFonts w:hint="eastAsia" w:ascii="仿宋" w:hAnsi="仿宋" w:eastAsia="仿宋" w:cs="仿宋"/>
          <w:b w:val="0"/>
          <w:bCs w:val="0"/>
          <w:color w:val="auto"/>
          <w:sz w:val="32"/>
          <w:szCs w:val="32"/>
          <w:u w:val="none"/>
          <w:lang w:eastAsia="zh-CN"/>
        </w:rPr>
        <w:t>，</w:t>
      </w:r>
      <w:r>
        <w:rPr>
          <w:rFonts w:hint="eastAsia" w:ascii="仿宋" w:hAnsi="仿宋" w:eastAsia="仿宋" w:cs="仿宋"/>
          <w:b w:val="0"/>
          <w:bCs w:val="0"/>
          <w:color w:val="auto"/>
          <w:sz w:val="32"/>
          <w:szCs w:val="32"/>
          <w:u w:val="none"/>
        </w:rPr>
        <w:t>检查企业</w:t>
      </w:r>
      <w:r>
        <w:rPr>
          <w:rFonts w:hint="eastAsia" w:ascii="仿宋" w:hAnsi="仿宋" w:eastAsia="仿宋" w:cs="仿宋"/>
          <w:b w:val="0"/>
          <w:bCs w:val="0"/>
          <w:color w:val="auto"/>
          <w:sz w:val="32"/>
          <w:szCs w:val="32"/>
          <w:u w:val="none"/>
          <w:lang w:eastAsia="zh-CN"/>
        </w:rPr>
        <w:t>（</w:t>
      </w:r>
      <w:r>
        <w:rPr>
          <w:rFonts w:hint="eastAsia" w:ascii="仿宋" w:hAnsi="仿宋" w:eastAsia="仿宋" w:cs="仿宋"/>
          <w:b w:val="0"/>
          <w:bCs w:val="0"/>
          <w:color w:val="auto"/>
          <w:sz w:val="32"/>
          <w:szCs w:val="32"/>
          <w:u w:val="none"/>
        </w:rPr>
        <w:t>单位</w:t>
      </w:r>
      <w:r>
        <w:rPr>
          <w:rFonts w:hint="eastAsia" w:ascii="仿宋" w:hAnsi="仿宋" w:eastAsia="仿宋" w:cs="仿宋"/>
          <w:b w:val="0"/>
          <w:bCs w:val="0"/>
          <w:color w:val="auto"/>
          <w:sz w:val="32"/>
          <w:szCs w:val="32"/>
          <w:u w:val="none"/>
          <w:lang w:eastAsia="zh-CN"/>
        </w:rPr>
        <w:t>）</w:t>
      </w:r>
      <w:r>
        <w:rPr>
          <w:rFonts w:hint="eastAsia" w:ascii="仿宋" w:hAnsi="仿宋" w:eastAsia="仿宋" w:cs="仿宋"/>
          <w:b w:val="0"/>
          <w:bCs w:val="0"/>
          <w:color w:val="auto"/>
          <w:sz w:val="32"/>
          <w:szCs w:val="32"/>
          <w:u w:val="none"/>
          <w:lang w:val="en-US" w:eastAsia="zh-CN"/>
        </w:rPr>
        <w:t>396</w:t>
      </w:r>
      <w:r>
        <w:rPr>
          <w:rFonts w:hint="eastAsia" w:ascii="仿宋" w:hAnsi="仿宋" w:eastAsia="仿宋" w:cs="仿宋"/>
          <w:b w:val="0"/>
          <w:bCs w:val="0"/>
          <w:color w:val="auto"/>
          <w:sz w:val="32"/>
          <w:szCs w:val="32"/>
          <w:u w:val="none"/>
          <w:lang w:eastAsia="zh-CN"/>
        </w:rPr>
        <w:t>家</w:t>
      </w:r>
      <w:r>
        <w:rPr>
          <w:rFonts w:hint="eastAsia" w:ascii="仿宋" w:hAnsi="仿宋" w:eastAsia="仿宋" w:cs="仿宋"/>
          <w:b w:val="0"/>
          <w:bCs w:val="0"/>
          <w:color w:val="auto"/>
          <w:sz w:val="32"/>
          <w:szCs w:val="32"/>
          <w:u w:val="none"/>
        </w:rPr>
        <w:t>，立案查处</w:t>
      </w:r>
      <w:r>
        <w:rPr>
          <w:rFonts w:hint="eastAsia" w:ascii="仿宋" w:hAnsi="仿宋" w:eastAsia="仿宋" w:cs="仿宋"/>
          <w:b w:val="0"/>
          <w:bCs w:val="0"/>
          <w:color w:val="auto"/>
          <w:sz w:val="32"/>
          <w:szCs w:val="32"/>
          <w:u w:val="none"/>
          <w:lang w:val="en-US" w:eastAsia="zh-CN"/>
        </w:rPr>
        <w:t>19</w:t>
      </w:r>
      <w:r>
        <w:rPr>
          <w:rFonts w:hint="eastAsia" w:ascii="仿宋" w:hAnsi="仿宋" w:eastAsia="仿宋" w:cs="仿宋"/>
          <w:b w:val="0"/>
          <w:bCs w:val="0"/>
          <w:color w:val="auto"/>
          <w:sz w:val="32"/>
          <w:szCs w:val="32"/>
          <w:u w:val="none"/>
        </w:rPr>
        <w:t>起</w:t>
      </w:r>
      <w:r>
        <w:rPr>
          <w:rFonts w:hint="eastAsia" w:ascii="仿宋" w:hAnsi="仿宋" w:eastAsia="仿宋" w:cs="仿宋"/>
          <w:b w:val="0"/>
          <w:bCs w:val="0"/>
          <w:color w:val="auto"/>
          <w:sz w:val="32"/>
          <w:szCs w:val="32"/>
          <w:u w:val="none"/>
          <w:lang w:eastAsia="zh-CN"/>
        </w:rPr>
        <w:t>。</w:t>
      </w:r>
      <w:r>
        <w:rPr>
          <w:rFonts w:hint="eastAsia" w:ascii="仿宋" w:hAnsi="仿宋" w:eastAsia="仿宋" w:cs="仿宋"/>
          <w:color w:val="auto"/>
          <w:sz w:val="32"/>
          <w:szCs w:val="32"/>
          <w:u w:val="none"/>
          <w:lang w:eastAsia="zh-CN"/>
        </w:rPr>
        <w:t>全年</w:t>
      </w:r>
      <w:r>
        <w:rPr>
          <w:rFonts w:hint="eastAsia" w:ascii="仿宋" w:hAnsi="仿宋" w:eastAsia="仿宋" w:cs="仿宋"/>
          <w:color w:val="auto"/>
          <w:sz w:val="32"/>
          <w:szCs w:val="32"/>
          <w:u w:val="none"/>
        </w:rPr>
        <w:t>未发生较大及以上生产安全事故。</w:t>
      </w:r>
      <w:r>
        <w:rPr>
          <w:rStyle w:val="13"/>
          <w:rFonts w:hint="eastAsia" w:ascii="仿宋" w:hAnsi="仿宋" w:eastAsia="仿宋" w:cs="仿宋"/>
          <w:b/>
          <w:bCs/>
          <w:i w:val="0"/>
          <w:caps w:val="0"/>
          <w:color w:val="auto"/>
          <w:spacing w:val="0"/>
          <w:w w:val="100"/>
          <w:kern w:val="2"/>
          <w:sz w:val="32"/>
          <w:szCs w:val="32"/>
          <w:u w:val="none"/>
          <w:lang w:val="en-US" w:eastAsia="zh-CN" w:bidi="ar-SA"/>
        </w:rPr>
        <w:t>二是深入开展社会治理重点工作。</w:t>
      </w:r>
      <w:r>
        <w:rPr>
          <w:rFonts w:hint="eastAsia" w:ascii="仿宋" w:hAnsi="仿宋" w:eastAsia="仿宋" w:cs="仿宋"/>
          <w:color w:val="auto"/>
          <w:sz w:val="32"/>
          <w:szCs w:val="32"/>
          <w:u w:val="none"/>
          <w:lang w:val="en-US" w:eastAsia="zh-CN"/>
        </w:rPr>
        <w:t>扎实开展平安建设百日攻坚行动。深入开展信访矛盾纠纷排查化解，</w:t>
      </w:r>
      <w:r>
        <w:rPr>
          <w:rFonts w:hint="eastAsia" w:ascii="仿宋" w:hAnsi="仿宋" w:eastAsia="仿宋" w:cs="仿宋"/>
          <w:color w:val="auto"/>
          <w:sz w:val="32"/>
          <w:szCs w:val="32"/>
          <w:u w:val="none"/>
          <w:lang w:eastAsia="zh-CN"/>
        </w:rPr>
        <w:t>全年无重大社会矛盾发生。</w:t>
      </w:r>
      <w:r>
        <w:rPr>
          <w:rFonts w:hint="eastAsia" w:ascii="仿宋" w:hAnsi="仿宋" w:eastAsia="仿宋" w:cs="仿宋"/>
          <w:color w:val="auto"/>
          <w:sz w:val="32"/>
          <w:szCs w:val="32"/>
          <w:u w:val="none"/>
          <w:lang w:val="en-US" w:eastAsia="zh-CN"/>
        </w:rPr>
        <w:t>持续推进禁毒人民战争，全年未发生外流吸毒贩毒案件，中高风险吸毒人员毛发检测完成率100%，社会面吸毒人员毛发检测完成率74%。投入20万余元，打造全镇综治中心指挥系统，完善群防群治体系，破获各类刑事案件29起，治安处罚139起，全年盗窃发率连续三年下降，群众的安全感和满意度得到了大幅提升。</w:t>
      </w:r>
      <w:r>
        <w:rPr>
          <w:rFonts w:hint="eastAsia" w:ascii="仿宋" w:hAnsi="仿宋" w:eastAsia="仿宋" w:cs="仿宋"/>
          <w:b w:val="0"/>
          <w:bCs/>
          <w:color w:val="auto"/>
          <w:sz w:val="32"/>
          <w:szCs w:val="32"/>
          <w:u w:val="none"/>
          <w:lang w:val="en-US" w:eastAsia="zh-CN"/>
        </w:rPr>
        <w:t>深入开展反电诈工作，涉缅窝点人</w:t>
      </w:r>
      <w:r>
        <w:rPr>
          <w:rFonts w:hint="eastAsia" w:ascii="仿宋" w:hAnsi="仿宋" w:eastAsia="仿宋" w:cs="仿宋"/>
          <w:color w:val="auto"/>
          <w:sz w:val="32"/>
          <w:szCs w:val="32"/>
          <w:u w:val="none"/>
          <w:lang w:val="en-US" w:eastAsia="zh-CN"/>
        </w:rPr>
        <w:t>员21人已经全部劝返或核减，总核减率100%。</w:t>
      </w:r>
      <w:r>
        <w:rPr>
          <w:rFonts w:hint="eastAsia" w:ascii="仿宋" w:hAnsi="仿宋" w:eastAsia="仿宋" w:cs="仿宋"/>
          <w:b w:val="0"/>
          <w:bCs/>
          <w:color w:val="auto"/>
          <w:sz w:val="32"/>
          <w:szCs w:val="32"/>
          <w:u w:val="none"/>
          <w:lang w:val="en-US" w:eastAsia="zh-CN"/>
        </w:rPr>
        <w:t>持续推进</w:t>
      </w:r>
      <w:r>
        <w:rPr>
          <w:rFonts w:hint="eastAsia" w:ascii="仿宋" w:hAnsi="仿宋" w:eastAsia="仿宋" w:cs="仿宋"/>
          <w:color w:val="auto"/>
          <w:sz w:val="32"/>
          <w:szCs w:val="32"/>
          <w:u w:val="none"/>
          <w:lang w:val="en-US" w:eastAsia="zh-CN"/>
        </w:rPr>
        <w:t>利剑护蕾，全年无性侵未成年人案件发生。</w:t>
      </w:r>
      <w:r>
        <w:rPr>
          <w:rFonts w:hint="eastAsia" w:ascii="仿宋" w:hAnsi="仿宋" w:eastAsia="仿宋" w:cs="仿宋"/>
          <w:b/>
          <w:bCs/>
          <w:color w:val="auto"/>
          <w:sz w:val="32"/>
          <w:szCs w:val="32"/>
          <w:u w:val="none"/>
          <w:lang w:val="en-US" w:eastAsia="zh-CN"/>
        </w:rPr>
        <w:t>三是推进</w:t>
      </w:r>
      <w:r>
        <w:rPr>
          <w:rFonts w:hint="eastAsia" w:ascii="仿宋" w:hAnsi="仿宋" w:eastAsia="仿宋" w:cs="仿宋"/>
          <w:b/>
          <w:bCs/>
          <w:color w:val="auto"/>
          <w:sz w:val="32"/>
          <w:szCs w:val="32"/>
          <w:u w:val="none"/>
          <w:lang w:eastAsia="zh-CN"/>
        </w:rPr>
        <w:t>绿色</w:t>
      </w:r>
      <w:r>
        <w:rPr>
          <w:rFonts w:hint="eastAsia" w:ascii="仿宋" w:hAnsi="仿宋" w:eastAsia="仿宋" w:cs="仿宋"/>
          <w:b/>
          <w:bCs/>
          <w:color w:val="auto"/>
          <w:sz w:val="32"/>
          <w:szCs w:val="32"/>
          <w:u w:val="none"/>
          <w:lang w:val="en-US" w:eastAsia="zh-CN"/>
        </w:rPr>
        <w:t>协调</w:t>
      </w:r>
      <w:r>
        <w:rPr>
          <w:rFonts w:hint="eastAsia" w:ascii="仿宋" w:hAnsi="仿宋" w:eastAsia="仿宋" w:cs="仿宋"/>
          <w:b/>
          <w:bCs/>
          <w:color w:val="auto"/>
          <w:sz w:val="32"/>
          <w:szCs w:val="32"/>
          <w:u w:val="none"/>
          <w:lang w:eastAsia="zh-CN"/>
        </w:rPr>
        <w:t>发展。</w:t>
      </w:r>
      <w:r>
        <w:rPr>
          <w:rFonts w:hint="eastAsia" w:ascii="仿宋" w:hAnsi="仿宋" w:eastAsia="仿宋" w:cs="仿宋"/>
          <w:color w:val="auto"/>
          <w:sz w:val="32"/>
          <w:szCs w:val="32"/>
          <w:u w:val="none"/>
          <w:lang w:val="en-US" w:eastAsia="zh-CN"/>
        </w:rPr>
        <w:t>始终坚持保护生态就是发展生产力这一基本理念，投入40余万元，开展林业工作站标准化建设，全年完成植树造林1200亩，完成省道绿化美化8.3千米。坚决守牢耕地保护红线，完成耕地复垦496.22亩，预计可以完成全年目标。黄金井村成功创建省级“和美乡村”。</w:t>
      </w:r>
    </w:p>
    <w:p w14:paraId="129F69BC">
      <w:pPr>
        <w:pStyle w:val="4"/>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leftChars="0" w:firstLine="643" w:firstLineChars="200"/>
        <w:textAlignment w:val="auto"/>
        <w:rPr>
          <w:rFonts w:hint="default" w:ascii="仿宋" w:hAnsi="仿宋" w:eastAsia="仿宋" w:cs="仿宋"/>
          <w:b/>
          <w:bCs/>
          <w:color w:val="auto"/>
          <w:sz w:val="32"/>
          <w:szCs w:val="32"/>
          <w:highlight w:val="none"/>
          <w:u w:val="none"/>
          <w:lang w:val="en-US" w:eastAsia="zh-CN"/>
        </w:rPr>
      </w:pPr>
      <w:r>
        <w:rPr>
          <w:rFonts w:hint="eastAsia" w:ascii="楷体" w:hAnsi="楷体" w:eastAsia="楷体" w:cs="楷体"/>
          <w:b/>
          <w:bCs/>
          <w:color w:val="auto"/>
          <w:sz w:val="32"/>
          <w:szCs w:val="32"/>
          <w:highlight w:val="none"/>
          <w:u w:val="none"/>
          <w:lang w:val="en-US" w:eastAsia="zh-CN"/>
        </w:rPr>
        <w:t>（四）坚持以人民为中心，全面改善民生福祉。</w:t>
      </w:r>
      <w:r>
        <w:rPr>
          <w:rFonts w:hint="eastAsia" w:ascii="仿宋" w:hAnsi="仿宋" w:eastAsia="仿宋" w:cs="仿宋"/>
          <w:b/>
          <w:bCs/>
          <w:color w:val="auto"/>
          <w:sz w:val="32"/>
          <w:szCs w:val="32"/>
          <w:u w:val="none"/>
          <w:lang w:val="en-US" w:eastAsia="zh-CN"/>
        </w:rPr>
        <w:t>一是加</w:t>
      </w:r>
      <w:r>
        <w:rPr>
          <w:rFonts w:hint="eastAsia" w:ascii="仿宋" w:hAnsi="仿宋" w:cs="仿宋"/>
          <w:b/>
          <w:bCs/>
          <w:color w:val="auto"/>
          <w:sz w:val="32"/>
          <w:szCs w:val="32"/>
          <w:u w:val="none"/>
          <w:lang w:val="en-US" w:eastAsia="zh-CN"/>
        </w:rPr>
        <w:t>强</w:t>
      </w:r>
      <w:r>
        <w:rPr>
          <w:rFonts w:hint="eastAsia" w:ascii="仿宋" w:hAnsi="仿宋" w:eastAsia="仿宋" w:cs="仿宋"/>
          <w:b/>
          <w:bCs/>
          <w:color w:val="auto"/>
          <w:sz w:val="32"/>
          <w:szCs w:val="32"/>
          <w:u w:val="none"/>
          <w:lang w:val="en-US" w:eastAsia="zh-CN"/>
        </w:rPr>
        <w:t>社会保障</w:t>
      </w:r>
      <w:r>
        <w:rPr>
          <w:rFonts w:hint="eastAsia" w:ascii="仿宋" w:hAnsi="仿宋" w:cs="仿宋"/>
          <w:b/>
          <w:bCs/>
          <w:color w:val="auto"/>
          <w:sz w:val="32"/>
          <w:szCs w:val="32"/>
          <w:u w:val="none"/>
          <w:lang w:val="en-US" w:eastAsia="zh-CN"/>
        </w:rPr>
        <w:t>能力</w:t>
      </w:r>
      <w:r>
        <w:rPr>
          <w:rFonts w:hint="eastAsia" w:ascii="仿宋" w:hAnsi="仿宋" w:eastAsia="仿宋" w:cs="仿宋"/>
          <w:b/>
          <w:bCs/>
          <w:color w:val="auto"/>
          <w:sz w:val="32"/>
          <w:szCs w:val="32"/>
          <w:u w:val="none"/>
          <w:lang w:val="en-US" w:eastAsia="zh-CN"/>
        </w:rPr>
        <w:t>。</w:t>
      </w:r>
      <w:r>
        <w:rPr>
          <w:rFonts w:hint="eastAsia" w:ascii="仿宋" w:hAnsi="仿宋" w:cs="仿宋"/>
          <w:b w:val="0"/>
          <w:bCs w:val="0"/>
          <w:color w:val="auto"/>
          <w:sz w:val="32"/>
          <w:szCs w:val="32"/>
          <w:u w:val="none"/>
          <w:lang w:val="en-US" w:eastAsia="zh-CN"/>
        </w:rPr>
        <w:t>城乡</w:t>
      </w:r>
      <w:r>
        <w:rPr>
          <w:rFonts w:hint="eastAsia" w:ascii="仿宋" w:hAnsi="仿宋" w:eastAsia="仿宋" w:cs="仿宋"/>
          <w:b w:val="0"/>
          <w:bCs w:val="0"/>
          <w:color w:val="auto"/>
          <w:sz w:val="32"/>
          <w:szCs w:val="32"/>
          <w:u w:val="none"/>
          <w:lang w:val="en-US" w:eastAsia="zh-CN"/>
        </w:rPr>
        <w:t>居民养老保险</w:t>
      </w:r>
      <w:r>
        <w:rPr>
          <w:rFonts w:hint="eastAsia" w:ascii="仿宋" w:hAnsi="仿宋" w:cs="仿宋"/>
          <w:b w:val="0"/>
          <w:bCs w:val="0"/>
          <w:color w:val="auto"/>
          <w:sz w:val="32"/>
          <w:szCs w:val="32"/>
          <w:u w:val="none"/>
          <w:lang w:val="en-US" w:eastAsia="zh-CN"/>
        </w:rPr>
        <w:t>参保率达到99.59%</w:t>
      </w:r>
      <w:r>
        <w:rPr>
          <w:rFonts w:hint="eastAsia" w:ascii="仿宋" w:hAnsi="仿宋" w:eastAsia="仿宋" w:cs="仿宋"/>
          <w:b w:val="0"/>
          <w:bCs w:val="0"/>
          <w:color w:val="auto"/>
          <w:sz w:val="32"/>
          <w:szCs w:val="32"/>
          <w:u w:val="none"/>
          <w:lang w:val="en-US" w:eastAsia="zh-CN"/>
        </w:rPr>
        <w:t>，</w:t>
      </w:r>
      <w:r>
        <w:rPr>
          <w:rFonts w:hint="eastAsia" w:ascii="仿宋" w:hAnsi="仿宋" w:cs="仿宋"/>
          <w:b w:val="0"/>
          <w:bCs w:val="0"/>
          <w:color w:val="auto"/>
          <w:sz w:val="32"/>
          <w:szCs w:val="32"/>
          <w:u w:val="none"/>
          <w:lang w:val="en-US" w:eastAsia="zh-CN"/>
        </w:rPr>
        <w:t>缴费</w:t>
      </w:r>
      <w:r>
        <w:rPr>
          <w:rFonts w:hint="eastAsia" w:ascii="仿宋" w:hAnsi="仿宋" w:eastAsia="仿宋" w:cs="仿宋"/>
          <w:b w:val="0"/>
          <w:bCs w:val="0"/>
          <w:color w:val="auto"/>
          <w:sz w:val="32"/>
          <w:szCs w:val="32"/>
          <w:u w:val="none"/>
          <w:lang w:val="en-US" w:eastAsia="zh-CN"/>
        </w:rPr>
        <w:t>金额完成县下达任务的10</w:t>
      </w:r>
      <w:r>
        <w:rPr>
          <w:rFonts w:hint="eastAsia" w:ascii="仿宋" w:hAnsi="仿宋" w:cs="仿宋"/>
          <w:b w:val="0"/>
          <w:bCs w:val="0"/>
          <w:color w:val="auto"/>
          <w:sz w:val="32"/>
          <w:szCs w:val="32"/>
          <w:u w:val="none"/>
          <w:lang w:val="en-US" w:eastAsia="zh-CN"/>
        </w:rPr>
        <w:t>9</w:t>
      </w:r>
      <w:r>
        <w:rPr>
          <w:rFonts w:hint="eastAsia" w:ascii="仿宋" w:hAnsi="仿宋" w:eastAsia="仿宋" w:cs="仿宋"/>
          <w:b w:val="0"/>
          <w:bCs w:val="0"/>
          <w:color w:val="auto"/>
          <w:sz w:val="32"/>
          <w:szCs w:val="32"/>
          <w:u w:val="none"/>
          <w:lang w:val="en-US" w:eastAsia="zh-CN"/>
        </w:rPr>
        <w:t>.</w:t>
      </w:r>
      <w:r>
        <w:rPr>
          <w:rFonts w:hint="eastAsia" w:ascii="仿宋" w:hAnsi="仿宋" w:cs="仿宋"/>
          <w:b w:val="0"/>
          <w:bCs w:val="0"/>
          <w:color w:val="auto"/>
          <w:sz w:val="32"/>
          <w:szCs w:val="32"/>
          <w:u w:val="none"/>
          <w:lang w:val="en-US" w:eastAsia="zh-CN"/>
        </w:rPr>
        <w:t>22</w:t>
      </w:r>
      <w:r>
        <w:rPr>
          <w:rFonts w:hint="eastAsia" w:ascii="仿宋" w:hAnsi="仿宋" w:eastAsia="仿宋" w:cs="仿宋"/>
          <w:b w:val="0"/>
          <w:bCs w:val="0"/>
          <w:color w:val="auto"/>
          <w:sz w:val="32"/>
          <w:szCs w:val="32"/>
          <w:u w:val="none"/>
          <w:lang w:val="en-US" w:eastAsia="zh-CN"/>
        </w:rPr>
        <w:t>%</w:t>
      </w:r>
      <w:r>
        <w:rPr>
          <w:rFonts w:hint="eastAsia" w:ascii="仿宋" w:hAnsi="仿宋" w:cs="仿宋"/>
          <w:b w:val="0"/>
          <w:bCs w:val="0"/>
          <w:color w:val="auto"/>
          <w:sz w:val="32"/>
          <w:szCs w:val="32"/>
          <w:u w:val="none"/>
          <w:lang w:val="en-US" w:eastAsia="zh-CN"/>
        </w:rPr>
        <w:t>，城乡</w:t>
      </w:r>
      <w:r>
        <w:rPr>
          <w:rFonts w:hint="eastAsia" w:ascii="仿宋" w:hAnsi="仿宋" w:eastAsia="仿宋" w:cs="仿宋"/>
          <w:b w:val="0"/>
          <w:bCs w:val="0"/>
          <w:color w:val="auto"/>
          <w:sz w:val="32"/>
          <w:szCs w:val="32"/>
          <w:u w:val="none"/>
          <w:lang w:val="en-US" w:eastAsia="zh-CN"/>
        </w:rPr>
        <w:t>居民</w:t>
      </w:r>
      <w:r>
        <w:rPr>
          <w:rFonts w:hint="eastAsia" w:ascii="仿宋" w:hAnsi="仿宋" w:cs="仿宋"/>
          <w:b w:val="0"/>
          <w:bCs w:val="0"/>
          <w:color w:val="auto"/>
          <w:sz w:val="32"/>
          <w:szCs w:val="32"/>
          <w:u w:val="none"/>
          <w:lang w:val="en-US" w:eastAsia="zh-CN"/>
        </w:rPr>
        <w:t>医疗保险</w:t>
      </w:r>
      <w:r>
        <w:rPr>
          <w:rFonts w:hint="eastAsia" w:ascii="仿宋" w:hAnsi="仿宋" w:eastAsia="仿宋" w:cs="仿宋"/>
          <w:b w:val="0"/>
          <w:bCs w:val="0"/>
          <w:color w:val="auto"/>
          <w:sz w:val="32"/>
          <w:szCs w:val="32"/>
          <w:u w:val="none"/>
          <w:lang w:val="en-US" w:eastAsia="zh-CN"/>
        </w:rPr>
        <w:t>参保率</w:t>
      </w:r>
      <w:r>
        <w:rPr>
          <w:rFonts w:hint="eastAsia" w:ascii="仿宋" w:hAnsi="仿宋" w:cs="仿宋"/>
          <w:b w:val="0"/>
          <w:bCs w:val="0"/>
          <w:color w:val="auto"/>
          <w:sz w:val="32"/>
          <w:szCs w:val="32"/>
          <w:u w:val="none"/>
          <w:lang w:val="en-US" w:eastAsia="zh-CN"/>
        </w:rPr>
        <w:t>78.20</w:t>
      </w:r>
      <w:r>
        <w:rPr>
          <w:rFonts w:hint="eastAsia" w:ascii="仿宋" w:hAnsi="仿宋" w:eastAsia="仿宋" w:cs="仿宋"/>
          <w:b w:val="0"/>
          <w:bCs w:val="0"/>
          <w:color w:val="auto"/>
          <w:sz w:val="32"/>
          <w:szCs w:val="32"/>
          <w:u w:val="none"/>
          <w:lang w:val="en-US" w:eastAsia="zh-CN"/>
        </w:rPr>
        <w:t>%。农村低保816户1624人，低边家庭571户1839人次，发放低保资金457余万元</w:t>
      </w:r>
      <w:r>
        <w:rPr>
          <w:rFonts w:hint="eastAsia" w:ascii="仿宋" w:hAnsi="仿宋" w:cs="仿宋"/>
          <w:b w:val="0"/>
          <w:bCs w:val="0"/>
          <w:color w:val="auto"/>
          <w:sz w:val="32"/>
          <w:szCs w:val="32"/>
          <w:u w:val="none"/>
          <w:lang w:val="en-US" w:eastAsia="zh-CN"/>
        </w:rPr>
        <w:t>。</w:t>
      </w:r>
      <w:r>
        <w:rPr>
          <w:rFonts w:hint="eastAsia" w:ascii="仿宋" w:hAnsi="仿宋" w:eastAsia="仿宋" w:cs="仿宋"/>
          <w:b w:val="0"/>
          <w:bCs w:val="0"/>
          <w:color w:val="auto"/>
          <w:sz w:val="32"/>
          <w:szCs w:val="32"/>
          <w:u w:val="none"/>
          <w:lang w:val="en-US" w:eastAsia="zh-CN"/>
        </w:rPr>
        <w:t>全年救助310人次，发放资金321900元。高水平完成低保扩围增效工作。落实老龄工作，成功创建隆回县银龄安康工程示范乡镇和邵阳市银龄安康工程优胜乡镇。投入资金70余万元，实施危房改造4座，安全饮水项目9个。高质量完成农村低收入群体房屋动态监测工作。</w:t>
      </w:r>
      <w:r>
        <w:rPr>
          <w:rFonts w:hint="eastAsia" w:ascii="仿宋" w:hAnsi="仿宋" w:eastAsia="仿宋" w:cs="仿宋"/>
          <w:b/>
          <w:bCs/>
          <w:color w:val="auto"/>
          <w:sz w:val="32"/>
          <w:szCs w:val="32"/>
          <w:u w:val="none"/>
          <w:lang w:val="en-US" w:eastAsia="zh-CN"/>
        </w:rPr>
        <w:t>二是完善基础设施建设。</w:t>
      </w:r>
      <w:r>
        <w:rPr>
          <w:rFonts w:hint="eastAsia" w:ascii="仿宋" w:hAnsi="仿宋" w:cs="仿宋"/>
          <w:b w:val="0"/>
          <w:bCs w:val="0"/>
          <w:color w:val="auto"/>
          <w:sz w:val="32"/>
          <w:szCs w:val="32"/>
          <w:u w:val="none"/>
          <w:lang w:val="en-US" w:eastAsia="zh-CN"/>
        </w:rPr>
        <w:t>3月30日，</w:t>
      </w:r>
      <w:r>
        <w:rPr>
          <w:rFonts w:hint="eastAsia" w:ascii="仿宋" w:hAnsi="仿宋" w:eastAsia="仿宋" w:cs="仿宋"/>
          <w:color w:val="auto"/>
          <w:sz w:val="32"/>
          <w:szCs w:val="32"/>
          <w:u w:val="none"/>
          <w:lang w:val="en-US" w:eastAsia="zh-CN"/>
        </w:rPr>
        <w:t>县政务服务中心金石桥分中心正式运营</w:t>
      </w:r>
      <w:r>
        <w:rPr>
          <w:rFonts w:hint="eastAsia" w:ascii="仿宋" w:hAnsi="仿宋" w:cs="仿宋"/>
          <w:color w:val="auto"/>
          <w:sz w:val="32"/>
          <w:szCs w:val="32"/>
          <w:u w:val="none"/>
          <w:lang w:val="en-US" w:eastAsia="zh-CN"/>
        </w:rPr>
        <w:t>，极大便利了北面群众办事</w:t>
      </w:r>
      <w:r>
        <w:rPr>
          <w:rFonts w:hint="eastAsia" w:ascii="仿宋" w:hAnsi="仿宋" w:eastAsia="仿宋" w:cs="仿宋"/>
          <w:color w:val="auto"/>
          <w:sz w:val="32"/>
          <w:szCs w:val="32"/>
          <w:u w:val="none"/>
          <w:lang w:val="en-US" w:eastAsia="zh-CN"/>
        </w:rPr>
        <w:t>。投资100万元，“土桥夜市”“土桥剧场”打造完成</w:t>
      </w:r>
      <w:r>
        <w:rPr>
          <w:rFonts w:hint="eastAsia" w:ascii="仿宋" w:hAnsi="仿宋" w:cs="仿宋"/>
          <w:color w:val="auto"/>
          <w:sz w:val="32"/>
          <w:szCs w:val="32"/>
          <w:u w:val="none"/>
          <w:lang w:val="en-US" w:eastAsia="zh-CN"/>
        </w:rPr>
        <w:t>。</w:t>
      </w:r>
      <w:r>
        <w:rPr>
          <w:rFonts w:hint="eastAsia" w:ascii="仿宋" w:hAnsi="仿宋" w:eastAsia="仿宋" w:cs="仿宋"/>
          <w:color w:val="auto"/>
          <w:sz w:val="32"/>
          <w:szCs w:val="32"/>
          <w:u w:val="none"/>
          <w:lang w:val="en-US" w:eastAsia="zh-CN"/>
        </w:rPr>
        <w:t>投资80余万元，在城区重点打造“两点两线”（鸭田岔路口点、熬头岔路口点、杨梅树河</w:t>
      </w:r>
      <w:r>
        <w:rPr>
          <w:rFonts w:hint="eastAsia" w:ascii="仿宋" w:hAnsi="仿宋" w:eastAsia="仿宋" w:cs="仿宋"/>
          <w:color w:val="auto"/>
          <w:sz w:val="32"/>
          <w:szCs w:val="32"/>
          <w:u w:val="none"/>
          <w:lang w:val="en-US" w:eastAsia="zh-Hans"/>
        </w:rPr>
        <w:t>夜市</w:t>
      </w:r>
      <w:r>
        <w:rPr>
          <w:rFonts w:hint="eastAsia" w:ascii="仿宋" w:hAnsi="仿宋" w:eastAsia="仿宋" w:cs="仿宋"/>
          <w:color w:val="auto"/>
          <w:sz w:val="32"/>
          <w:szCs w:val="32"/>
          <w:u w:val="none"/>
          <w:lang w:val="en-US" w:eastAsia="zh-CN"/>
        </w:rPr>
        <w:t>街、芙蓉学校沿线）市容提质改造工程</w:t>
      </w:r>
      <w:r>
        <w:rPr>
          <w:rFonts w:hint="eastAsia" w:ascii="仿宋" w:hAnsi="仿宋" w:eastAsia="仿宋" w:cs="仿宋"/>
          <w:b w:val="0"/>
          <w:bCs w:val="0"/>
          <w:color w:val="auto"/>
          <w:sz w:val="32"/>
          <w:szCs w:val="32"/>
          <w:u w:val="none"/>
          <w:lang w:val="en-US" w:eastAsia="zh-CN"/>
        </w:rPr>
        <w:t>。</w:t>
      </w:r>
      <w:r>
        <w:rPr>
          <w:rFonts w:hint="eastAsia" w:ascii="仿宋" w:hAnsi="仿宋" w:cs="仿宋"/>
          <w:b/>
          <w:bCs/>
          <w:color w:val="auto"/>
          <w:sz w:val="32"/>
          <w:szCs w:val="32"/>
          <w:u w:val="none"/>
          <w:lang w:val="en-US" w:eastAsia="zh-CN"/>
        </w:rPr>
        <w:t>三</w:t>
      </w:r>
      <w:r>
        <w:rPr>
          <w:rFonts w:hint="eastAsia" w:ascii="仿宋" w:hAnsi="仿宋" w:eastAsia="仿宋" w:cs="仿宋"/>
          <w:b/>
          <w:bCs/>
          <w:color w:val="auto"/>
          <w:sz w:val="32"/>
          <w:szCs w:val="32"/>
          <w:u w:val="none"/>
          <w:lang w:val="en-US" w:eastAsia="zh-CN"/>
        </w:rPr>
        <w:t>是丰富群众文化生活。</w:t>
      </w:r>
      <w:r>
        <w:rPr>
          <w:rFonts w:hint="eastAsia" w:ascii="仿宋" w:hAnsi="仿宋" w:eastAsia="仿宋" w:cs="仿宋"/>
          <w:b w:val="0"/>
          <w:bCs w:val="0"/>
          <w:color w:val="auto"/>
          <w:sz w:val="32"/>
          <w:szCs w:val="32"/>
          <w:u w:val="none"/>
          <w:lang w:val="en-US" w:eastAsia="zh-CN"/>
        </w:rPr>
        <w:t>充分挖掘传统文化，以“康养福寿镇、活力金石桥”为主题，陆续开展了“寨山油龙”庆新春、</w:t>
      </w:r>
      <w:r>
        <w:rPr>
          <w:rFonts w:hint="eastAsia" w:ascii="仿宋" w:hAnsi="仿宋" w:cs="仿宋"/>
          <w:b w:val="0"/>
          <w:bCs w:val="0"/>
          <w:color w:val="auto"/>
          <w:sz w:val="32"/>
          <w:szCs w:val="32"/>
          <w:u w:val="none"/>
          <w:lang w:val="en-US" w:eastAsia="zh-CN"/>
        </w:rPr>
        <w:t>“猜灯谜，闹元宵”活动、邵阳市新兴文艺群体赴黄金井</w:t>
      </w:r>
      <w:r>
        <w:rPr>
          <w:rFonts w:hint="eastAsia" w:ascii="仿宋" w:hAnsi="仿宋" w:eastAsia="仿宋" w:cs="仿宋"/>
          <w:b w:val="0"/>
          <w:bCs w:val="0"/>
          <w:color w:val="auto"/>
          <w:sz w:val="32"/>
          <w:szCs w:val="32"/>
          <w:u w:val="none"/>
          <w:lang w:val="en-US" w:eastAsia="zh-CN"/>
        </w:rPr>
        <w:t>“为人民放歌”公益演出、乡镇篮球赛、八音锣鼓大赛、“梅山跤王”争霸赛、“我爱我的小山村”演唱会等活动，增强了民众自信心和自豪感。“土桥夜市”开市和“土桥剧场”每周一演出，释放消费新活力，打造了“土桥”新名片。</w:t>
      </w:r>
      <w:r>
        <w:rPr>
          <w:rFonts w:hint="eastAsia" w:ascii="仿宋" w:hAnsi="仿宋" w:cs="仿宋"/>
          <w:b w:val="0"/>
          <w:bCs w:val="0"/>
          <w:color w:val="auto"/>
          <w:sz w:val="32"/>
          <w:szCs w:val="32"/>
          <w:u w:val="none"/>
          <w:lang w:val="en-US" w:eastAsia="zh-CN"/>
        </w:rPr>
        <w:t>镇文联筹备工作已基本完成。</w:t>
      </w:r>
    </w:p>
    <w:p w14:paraId="2BDF6D4D">
      <w:pPr>
        <w:pStyle w:val="4"/>
        <w:keepNext w:val="0"/>
        <w:keepLines w:val="0"/>
        <w:pageBreakBefore w:val="0"/>
        <w:widowControl w:val="0"/>
        <w:kinsoku/>
        <w:wordWrap/>
        <w:overflowPunct w:val="0"/>
        <w:topLinePunct w:val="0"/>
        <w:autoSpaceDE/>
        <w:autoSpaceDN/>
        <w:bidi w:val="0"/>
        <w:adjustRightInd/>
        <w:snapToGrid/>
        <w:spacing w:line="540" w:lineRule="exact"/>
        <w:ind w:leftChars="0"/>
        <w:textAlignment w:val="auto"/>
        <w:rPr>
          <w:rFonts w:hint="eastAsia" w:ascii="仿宋" w:hAnsi="仿宋" w:eastAsia="仿宋" w:cs="仿宋"/>
          <w:color w:val="auto"/>
          <w:sz w:val="32"/>
          <w:szCs w:val="32"/>
          <w:u w:val="none"/>
          <w:lang w:val="en-US" w:eastAsia="zh-CN"/>
        </w:rPr>
      </w:pPr>
      <w:r>
        <w:rPr>
          <w:rFonts w:hint="eastAsia" w:ascii="楷体" w:hAnsi="楷体" w:eastAsia="楷体" w:cs="楷体"/>
          <w:b/>
          <w:bCs/>
          <w:color w:val="auto"/>
          <w:sz w:val="32"/>
          <w:szCs w:val="32"/>
          <w:highlight w:val="none"/>
          <w:u w:val="none"/>
          <w:lang w:val="en-US" w:eastAsia="zh-CN"/>
        </w:rPr>
        <w:t>（五）坚持全面从严治党，建强干部队伍。</w:t>
      </w:r>
      <w:r>
        <w:rPr>
          <w:rFonts w:hint="eastAsia" w:ascii="仿宋" w:hAnsi="仿宋" w:eastAsia="仿宋" w:cs="仿宋"/>
          <w:b/>
          <w:bCs/>
          <w:color w:val="auto"/>
          <w:sz w:val="32"/>
          <w:szCs w:val="32"/>
          <w:u w:val="none"/>
          <w:lang w:val="en-US" w:eastAsia="zh-CN"/>
        </w:rPr>
        <w:t>一是抓实理论学习。</w:t>
      </w:r>
      <w:r>
        <w:rPr>
          <w:rFonts w:hint="eastAsia" w:ascii="仿宋" w:hAnsi="仿宋" w:eastAsia="仿宋" w:cs="仿宋"/>
          <w:color w:val="auto"/>
          <w:sz w:val="32"/>
          <w:szCs w:val="32"/>
          <w:u w:val="none"/>
          <w:lang w:val="en-US" w:eastAsia="zh-CN"/>
        </w:rPr>
        <w:t>坚持将党的理论方针</w:t>
      </w:r>
      <w:r>
        <w:rPr>
          <w:rFonts w:hint="eastAsia" w:ascii="仿宋" w:hAnsi="仿宋" w:cs="仿宋"/>
          <w:color w:val="auto"/>
          <w:sz w:val="32"/>
          <w:szCs w:val="32"/>
          <w:u w:val="none"/>
          <w:lang w:val="en-US" w:eastAsia="zh-CN"/>
        </w:rPr>
        <w:t>政策</w:t>
      </w:r>
      <w:r>
        <w:rPr>
          <w:rFonts w:hint="eastAsia" w:ascii="仿宋" w:hAnsi="仿宋" w:eastAsia="仿宋" w:cs="仿宋"/>
          <w:color w:val="auto"/>
          <w:sz w:val="32"/>
          <w:szCs w:val="32"/>
          <w:u w:val="none"/>
          <w:lang w:val="en-US" w:eastAsia="zh-CN"/>
        </w:rPr>
        <w:t>纳入党委理论学习中心组学习，全年理论学习12次。开展主题教育集中学习180余场次，党员讲微党课980余次，讲主题教育专题党课100余次，发放学习资料近400余册，开展“送学上门”200余人次。</w:t>
      </w:r>
      <w:r>
        <w:rPr>
          <w:rFonts w:hint="eastAsia" w:ascii="仿宋" w:hAnsi="仿宋" w:eastAsia="仿宋" w:cs="仿宋"/>
          <w:b/>
          <w:bCs/>
          <w:color w:val="auto"/>
          <w:sz w:val="32"/>
          <w:szCs w:val="32"/>
          <w:u w:val="none"/>
          <w:lang w:val="en-US" w:eastAsia="zh-CN"/>
        </w:rPr>
        <w:t>二是选优配强村“两委”班子。</w:t>
      </w:r>
      <w:r>
        <w:rPr>
          <w:rFonts w:hint="eastAsia" w:ascii="仿宋" w:hAnsi="仿宋" w:eastAsia="仿宋" w:cs="仿宋"/>
          <w:color w:val="auto"/>
          <w:sz w:val="32"/>
          <w:szCs w:val="32"/>
          <w:u w:val="none"/>
          <w:lang w:val="en-US" w:eastAsia="zh-CN"/>
        </w:rPr>
        <w:t>新调整村“两委”干部13名，其中村党支部书记</w:t>
      </w:r>
      <w:r>
        <w:rPr>
          <w:rFonts w:hint="eastAsia" w:ascii="仿宋" w:hAnsi="仿宋" w:cs="仿宋"/>
          <w:color w:val="auto"/>
          <w:sz w:val="32"/>
          <w:szCs w:val="32"/>
          <w:u w:val="none"/>
          <w:lang w:val="en-US" w:eastAsia="zh-CN"/>
        </w:rPr>
        <w:t>一</w:t>
      </w:r>
      <w:r>
        <w:rPr>
          <w:rFonts w:hint="eastAsia" w:ascii="仿宋" w:hAnsi="仿宋" w:eastAsia="仿宋" w:cs="仿宋"/>
          <w:color w:val="auto"/>
          <w:sz w:val="32"/>
          <w:szCs w:val="32"/>
          <w:u w:val="none"/>
          <w:lang w:val="en-US" w:eastAsia="zh-CN"/>
        </w:rPr>
        <w:t>名，通过党员冬春训、村后备干部培训等对新任职村干部集体培训，增强廉洁自律意识、提升履职能力。</w:t>
      </w:r>
      <w:r>
        <w:rPr>
          <w:rFonts w:hint="eastAsia" w:ascii="仿宋" w:hAnsi="仿宋" w:eastAsia="仿宋" w:cs="仿宋"/>
          <w:b/>
          <w:bCs/>
          <w:color w:val="auto"/>
          <w:sz w:val="32"/>
          <w:szCs w:val="32"/>
          <w:u w:val="none"/>
          <w:lang w:val="en-US" w:eastAsia="zh-CN"/>
        </w:rPr>
        <w:t>三是培养发展党员强基行动。</w:t>
      </w:r>
      <w:r>
        <w:rPr>
          <w:rFonts w:hint="eastAsia" w:ascii="仿宋" w:hAnsi="仿宋" w:eastAsia="仿宋" w:cs="仿宋"/>
          <w:color w:val="auto"/>
          <w:sz w:val="32"/>
          <w:szCs w:val="32"/>
          <w:u w:val="none"/>
          <w:lang w:val="en-US" w:eastAsia="zh-CN"/>
        </w:rPr>
        <w:t>培养入党积极分子63人，预备党员27人，转正党员25名。组织党员干部参加“党的二十大精神轮训班”“入党积极分子和发展对象培训班”“党务工作者培训会”等，夯实党员干部思想根基。</w:t>
      </w:r>
      <w:r>
        <w:rPr>
          <w:rFonts w:hint="eastAsia" w:ascii="仿宋" w:hAnsi="仿宋" w:cs="仿宋"/>
          <w:b/>
          <w:bCs/>
          <w:color w:val="auto"/>
          <w:sz w:val="32"/>
          <w:szCs w:val="32"/>
          <w:u w:val="none"/>
          <w:lang w:val="en-US" w:eastAsia="zh-CN"/>
        </w:rPr>
        <w:t>四是扎实开展主题教育实践。</w:t>
      </w:r>
      <w:r>
        <w:rPr>
          <w:rFonts w:hint="eastAsia" w:ascii="仿宋" w:hAnsi="仿宋" w:eastAsia="仿宋" w:cs="仿宋"/>
          <w:color w:val="auto"/>
          <w:sz w:val="32"/>
          <w:szCs w:val="32"/>
          <w:u w:val="none"/>
          <w:lang w:val="en-US" w:eastAsia="zh-CN"/>
        </w:rPr>
        <w:t>将主题教育融入惠民生之中，多举措推进为民解忧办实事，全镇45个支部通过检视分析，共查找问题56个，制定整改措施56条，截至目前已完成整改49个。结合“一月一课一片一实践”和村民代表联系服务群众工作，</w:t>
      </w:r>
      <w:r>
        <w:rPr>
          <w:rFonts w:hint="eastAsia" w:ascii="仿宋" w:hAnsi="仿宋" w:cs="仿宋"/>
          <w:color w:val="auto"/>
          <w:sz w:val="32"/>
          <w:szCs w:val="32"/>
          <w:u w:val="none"/>
          <w:lang w:val="en-US" w:eastAsia="zh-CN"/>
        </w:rPr>
        <w:t>对</w:t>
      </w:r>
      <w:r>
        <w:rPr>
          <w:rFonts w:hint="eastAsia" w:ascii="仿宋" w:hAnsi="仿宋" w:eastAsia="仿宋" w:cs="仿宋"/>
          <w:color w:val="auto"/>
          <w:sz w:val="32"/>
          <w:szCs w:val="32"/>
          <w:u w:val="none"/>
          <w:lang w:val="en-US" w:eastAsia="zh-CN"/>
        </w:rPr>
        <w:t>全镇2万余户科学划分，由1683名村（居）民代表进行联系，成立党员志愿者服务队30余个，通过党员承诺践诺，为群众解决急难愁盼问题400件，村（居）民代表通过走访联系累计收集反馈问题线索490余条，处理矛盾纠纷200余件。</w:t>
      </w:r>
      <w:r>
        <w:rPr>
          <w:rFonts w:hint="eastAsia" w:ascii="仿宋" w:hAnsi="仿宋" w:cs="仿宋"/>
          <w:b/>
          <w:bCs/>
          <w:color w:val="auto"/>
          <w:sz w:val="32"/>
          <w:szCs w:val="32"/>
          <w:u w:val="none"/>
          <w:lang w:val="en-US" w:eastAsia="zh-CN"/>
        </w:rPr>
        <w:t>五</w:t>
      </w:r>
      <w:r>
        <w:rPr>
          <w:rFonts w:hint="eastAsia" w:ascii="仿宋" w:hAnsi="仿宋" w:eastAsia="仿宋" w:cs="仿宋"/>
          <w:b/>
          <w:bCs/>
          <w:color w:val="auto"/>
          <w:sz w:val="32"/>
          <w:szCs w:val="32"/>
          <w:u w:val="none"/>
          <w:lang w:val="en-US" w:eastAsia="zh-CN"/>
        </w:rPr>
        <w:t>是抓好作风建设，转变工作作风。</w:t>
      </w:r>
      <w:r>
        <w:rPr>
          <w:rFonts w:hint="eastAsia" w:ascii="仿宋" w:hAnsi="仿宋" w:eastAsia="仿宋" w:cs="仿宋"/>
          <w:color w:val="auto"/>
          <w:sz w:val="32"/>
          <w:szCs w:val="32"/>
          <w:u w:val="none"/>
          <w:lang w:val="en-US" w:eastAsia="zh-CN"/>
        </w:rPr>
        <w:t>召开了金石桥镇“明方向、立规矩、正风气、强免疫”干部队伍作风建设动员会，坚持刀刃向内，紧盯六个方面，扎实开展自查自纠，严格落实谈心谈话，帮助党员干部及时纠正偏差，精准履职担责。</w:t>
      </w:r>
      <w:r>
        <w:rPr>
          <w:rFonts w:hint="eastAsia" w:ascii="仿宋" w:hAnsi="仿宋" w:eastAsia="仿宋" w:cs="仿宋"/>
          <w:b/>
          <w:bCs/>
          <w:color w:val="auto"/>
          <w:sz w:val="32"/>
          <w:szCs w:val="32"/>
          <w:u w:val="none"/>
          <w:lang w:val="en-US" w:eastAsia="zh-CN"/>
        </w:rPr>
        <w:t>五是扎实做好巡察整改工作。</w:t>
      </w:r>
      <w:r>
        <w:rPr>
          <w:rFonts w:hint="eastAsia" w:ascii="仿宋" w:hAnsi="仿宋" w:eastAsia="仿宋" w:cs="仿宋"/>
          <w:color w:val="auto"/>
          <w:sz w:val="32"/>
          <w:szCs w:val="32"/>
          <w:u w:val="none"/>
          <w:lang w:val="en-US" w:eastAsia="zh-CN"/>
        </w:rPr>
        <w:t>顺利完成县委巡察第三组巡察工作，不断增强巡察整改的政治自觉、思想自觉和行动自觉。对照问题清单，逐项分解任务清单，在规定期限内完成了整改。</w:t>
      </w:r>
    </w:p>
    <w:p w14:paraId="2E910393">
      <w:pPr>
        <w:pStyle w:val="4"/>
        <w:keepNext w:val="0"/>
        <w:keepLines w:val="0"/>
        <w:pageBreakBefore w:val="0"/>
        <w:widowControl w:val="0"/>
        <w:kinsoku/>
        <w:wordWrap/>
        <w:overflowPunct w:val="0"/>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二、存在的不足</w:t>
      </w:r>
    </w:p>
    <w:p w14:paraId="45E93DE5">
      <w:pPr>
        <w:pStyle w:val="4"/>
        <w:keepNext w:val="0"/>
        <w:keepLines w:val="0"/>
        <w:pageBreakBefore w:val="0"/>
        <w:widowControl w:val="0"/>
        <w:kinsoku/>
        <w:wordWrap/>
        <w:overflowPunct w:val="0"/>
        <w:topLinePunct w:val="0"/>
        <w:autoSpaceDE/>
        <w:autoSpaceDN/>
        <w:bidi w:val="0"/>
        <w:adjustRightInd/>
        <w:snapToGrid/>
        <w:spacing w:line="540" w:lineRule="exact"/>
        <w:ind w:leftChars="0"/>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b/>
          <w:bCs/>
          <w:color w:val="auto"/>
          <w:sz w:val="32"/>
          <w:szCs w:val="32"/>
          <w:highlight w:val="none"/>
          <w:u w:val="none"/>
          <w:lang w:val="en-US" w:eastAsia="zh-CN"/>
        </w:rPr>
        <w:t>一是</w:t>
      </w:r>
      <w:r>
        <w:rPr>
          <w:rFonts w:hint="eastAsia" w:ascii="仿宋" w:hAnsi="仿宋" w:eastAsia="仿宋" w:cs="仿宋"/>
          <w:color w:val="auto"/>
          <w:sz w:val="32"/>
          <w:szCs w:val="32"/>
          <w:highlight w:val="none"/>
          <w:u w:val="none"/>
          <w:lang w:val="en-US" w:eastAsia="zh-CN"/>
        </w:rPr>
        <w:t>农业基础设施相对落后</w:t>
      </w:r>
      <w:r>
        <w:rPr>
          <w:rFonts w:hint="eastAsia" w:ascii="仿宋" w:hAnsi="仿宋" w:cs="仿宋"/>
          <w:color w:val="auto"/>
          <w:sz w:val="32"/>
          <w:szCs w:val="32"/>
          <w:highlight w:val="none"/>
          <w:u w:val="none"/>
          <w:lang w:val="en-US" w:eastAsia="zh-CN"/>
        </w:rPr>
        <w:t>，</w:t>
      </w:r>
      <w:r>
        <w:rPr>
          <w:rFonts w:hint="eastAsia" w:ascii="仿宋" w:hAnsi="仿宋" w:eastAsia="仿宋" w:cs="仿宋"/>
          <w:color w:val="auto"/>
          <w:sz w:val="32"/>
          <w:szCs w:val="32"/>
          <w:highlight w:val="none"/>
          <w:u w:val="none"/>
          <w:lang w:val="en-US" w:eastAsia="zh-CN"/>
        </w:rPr>
        <w:t>农业规模化、标准化、产业化程度不高，现代农业发展水平不高。</w:t>
      </w:r>
      <w:r>
        <w:rPr>
          <w:rFonts w:hint="eastAsia" w:ascii="仿宋" w:hAnsi="仿宋" w:eastAsia="仿宋" w:cs="仿宋"/>
          <w:b/>
          <w:bCs/>
          <w:color w:val="auto"/>
          <w:sz w:val="32"/>
          <w:szCs w:val="32"/>
          <w:highlight w:val="none"/>
          <w:u w:val="none"/>
          <w:lang w:val="en-US" w:eastAsia="zh-CN"/>
        </w:rPr>
        <w:t>二是</w:t>
      </w:r>
      <w:r>
        <w:rPr>
          <w:rFonts w:hint="eastAsia" w:ascii="仿宋" w:hAnsi="仿宋" w:eastAsia="仿宋" w:cs="仿宋"/>
          <w:color w:val="auto"/>
          <w:sz w:val="32"/>
          <w:szCs w:val="32"/>
          <w:highlight w:val="none"/>
          <w:u w:val="none"/>
          <w:lang w:val="en-US" w:eastAsia="zh-CN"/>
        </w:rPr>
        <w:t>城乡共建与环境同治工作任务重、投入大，资金筹集难。部分群众对环境卫生不够重视，环境卫生意识较差，缺乏主动性和积极性，整治工作难度较大。</w:t>
      </w:r>
      <w:r>
        <w:rPr>
          <w:rFonts w:hint="eastAsia" w:ascii="仿宋" w:hAnsi="仿宋" w:eastAsia="仿宋" w:cs="仿宋"/>
          <w:b/>
          <w:bCs/>
          <w:color w:val="auto"/>
          <w:sz w:val="32"/>
          <w:szCs w:val="32"/>
          <w:highlight w:val="none"/>
          <w:u w:val="none"/>
          <w:lang w:val="en-US" w:eastAsia="zh-CN"/>
        </w:rPr>
        <w:t>三是</w:t>
      </w:r>
      <w:r>
        <w:rPr>
          <w:rFonts w:hint="eastAsia" w:ascii="仿宋" w:hAnsi="仿宋" w:eastAsia="仿宋" w:cs="仿宋"/>
          <w:color w:val="auto"/>
          <w:sz w:val="32"/>
          <w:szCs w:val="32"/>
          <w:highlight w:val="none"/>
          <w:u w:val="none"/>
          <w:lang w:val="en-US" w:eastAsia="zh-CN"/>
        </w:rPr>
        <w:t>建设用地指标不足，耕地保护任务重、占补平衡指标落实难、征地拆迁难度大。</w:t>
      </w:r>
      <w:r>
        <w:rPr>
          <w:rFonts w:hint="eastAsia" w:ascii="仿宋" w:hAnsi="仿宋" w:eastAsia="仿宋" w:cs="仿宋"/>
          <w:b/>
          <w:bCs/>
          <w:color w:val="auto"/>
          <w:kern w:val="2"/>
          <w:sz w:val="32"/>
          <w:szCs w:val="32"/>
          <w:highlight w:val="none"/>
          <w:u w:val="none"/>
          <w:lang w:val="en-US" w:eastAsia="zh-CN" w:bidi="ar-SA"/>
        </w:rPr>
        <w:t>四是</w:t>
      </w:r>
      <w:r>
        <w:rPr>
          <w:rFonts w:hint="eastAsia" w:ascii="仿宋" w:hAnsi="仿宋" w:eastAsia="仿宋" w:cs="仿宋"/>
          <w:color w:val="auto"/>
          <w:kern w:val="2"/>
          <w:sz w:val="32"/>
          <w:szCs w:val="32"/>
          <w:highlight w:val="none"/>
          <w:u w:val="none"/>
          <w:lang w:val="en-US" w:eastAsia="zh-CN" w:bidi="ar-SA"/>
        </w:rPr>
        <w:t>一些党员干部思想不够解放，斗争精神、担当意识有待增强，化解矛盾、解决问题的主动性不强，本领不足，工作缺乏激情，得过且过，甘于当“躺平式”干部。</w:t>
      </w:r>
    </w:p>
    <w:p w14:paraId="02B7D883">
      <w:pPr>
        <w:pStyle w:val="2"/>
      </w:pPr>
    </w:p>
    <w:p w14:paraId="064678DA">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b/>
          <w:bCs/>
          <w:sz w:val="32"/>
          <w:szCs w:val="32"/>
        </w:rPr>
      </w:pPr>
      <w:r>
        <w:rPr>
          <w:rFonts w:hint="eastAsia" w:ascii="黑体" w:hAnsi="黑体" w:eastAsia="黑体"/>
          <w:b/>
          <w:bCs/>
          <w:sz w:val="32"/>
          <w:szCs w:val="32"/>
        </w:rPr>
        <w:t>存在的问题</w:t>
      </w:r>
    </w:p>
    <w:p w14:paraId="0C7FF3A4">
      <w:pPr>
        <w:spacing w:after="120" w:line="360" w:lineRule="auto"/>
        <w:ind w:firstLine="739" w:firstLineChars="231"/>
        <w:rPr>
          <w:rFonts w:ascii="楷体_GB2312" w:eastAsia="楷体_GB2312"/>
          <w:sz w:val="32"/>
          <w:szCs w:val="32"/>
        </w:rPr>
      </w:pPr>
      <w:r>
        <w:rPr>
          <w:rFonts w:ascii="楷体_GB2312" w:eastAsia="楷体_GB2312"/>
          <w:sz w:val="32"/>
          <w:szCs w:val="32"/>
        </w:rPr>
        <w:t>1</w:t>
      </w:r>
      <w:r>
        <w:rPr>
          <w:rFonts w:hint="eastAsia" w:ascii="楷体_GB2312" w:eastAsia="楷体_GB2312"/>
          <w:sz w:val="32"/>
          <w:szCs w:val="32"/>
        </w:rPr>
        <w:t>、预算编制有待细化。预算编制不够明确和细化，预算编制的合理性需要提高，预算执行力度还要进一步加强。</w:t>
      </w:r>
    </w:p>
    <w:p w14:paraId="4248A6BE">
      <w:pPr>
        <w:spacing w:after="120" w:line="360" w:lineRule="auto"/>
        <w:ind w:firstLine="739" w:firstLineChars="231"/>
        <w:rPr>
          <w:rFonts w:ascii="楷体_GB2312" w:eastAsia="楷体_GB2312"/>
          <w:sz w:val="32"/>
          <w:szCs w:val="32"/>
        </w:rPr>
      </w:pPr>
      <w:r>
        <w:rPr>
          <w:rFonts w:ascii="楷体_GB2312" w:eastAsia="楷体_GB2312"/>
          <w:sz w:val="32"/>
          <w:szCs w:val="32"/>
        </w:rPr>
        <w:t>2</w:t>
      </w:r>
      <w:r>
        <w:rPr>
          <w:rFonts w:hint="eastAsia" w:ascii="楷体_GB2312" w:eastAsia="楷体_GB2312"/>
          <w:sz w:val="32"/>
          <w:szCs w:val="32"/>
        </w:rPr>
        <w:t>、财务管理有待创新。财务管理水平和逐年上升的财务要求不匹配，相对落后。</w:t>
      </w:r>
    </w:p>
    <w:p w14:paraId="0032FA93">
      <w:pPr>
        <w:spacing w:after="120" w:line="360" w:lineRule="auto"/>
        <w:ind w:firstLine="739" w:firstLineChars="231"/>
        <w:rPr>
          <w:rFonts w:ascii="楷体_GB2312" w:eastAsia="楷体_GB2312"/>
          <w:sz w:val="32"/>
          <w:szCs w:val="32"/>
        </w:rPr>
      </w:pPr>
      <w:r>
        <w:rPr>
          <w:rFonts w:ascii="楷体_GB2312" w:eastAsia="楷体_GB2312"/>
          <w:sz w:val="32"/>
          <w:szCs w:val="32"/>
        </w:rPr>
        <w:t>3</w:t>
      </w:r>
      <w:r>
        <w:rPr>
          <w:rFonts w:hint="eastAsia" w:ascii="楷体_GB2312" w:eastAsia="楷体_GB2312"/>
          <w:sz w:val="32"/>
          <w:szCs w:val="32"/>
        </w:rPr>
        <w:t>、资产管理有待加强。对国有资产管理不较规范，部分往来款项清理不够及时，管理方法不科学。</w:t>
      </w:r>
    </w:p>
    <w:p w14:paraId="35BD9CEC">
      <w:pPr>
        <w:spacing w:after="120" w:line="360" w:lineRule="auto"/>
        <w:ind w:firstLine="739" w:firstLineChars="231"/>
      </w:pPr>
      <w:r>
        <w:rPr>
          <w:rFonts w:ascii="楷体_GB2312" w:eastAsia="楷体_GB2312"/>
          <w:sz w:val="32"/>
          <w:szCs w:val="32"/>
        </w:rPr>
        <w:t>4</w:t>
      </w:r>
      <w:r>
        <w:rPr>
          <w:rFonts w:hint="eastAsia" w:ascii="楷体_GB2312" w:eastAsia="楷体_GB2312"/>
          <w:sz w:val="32"/>
          <w:szCs w:val="32"/>
        </w:rPr>
        <w:t>、收支矛盾突出，每年的绩效考核、专项奖励未进预算经费，大大增加了单位的支出压力。</w:t>
      </w:r>
    </w:p>
    <w:p w14:paraId="7C66F53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sz w:val="32"/>
          <w:szCs w:val="32"/>
        </w:rPr>
      </w:pPr>
      <w:r>
        <w:rPr>
          <w:rFonts w:hint="eastAsia" w:ascii="黑体" w:hAnsi="黑体" w:eastAsia="黑体"/>
          <w:b/>
          <w:bCs/>
          <w:sz w:val="32"/>
          <w:szCs w:val="32"/>
        </w:rPr>
        <w:t>五、改进措施和有关建议</w:t>
      </w:r>
    </w:p>
    <w:p w14:paraId="5AD8D83D">
      <w:pPr>
        <w:spacing w:line="360" w:lineRule="auto"/>
        <w:ind w:firstLine="640" w:firstLineChars="200"/>
        <w:rPr>
          <w:rFonts w:ascii="楷体_GB2312" w:eastAsia="楷体_GB2312"/>
          <w:sz w:val="32"/>
          <w:szCs w:val="32"/>
        </w:rPr>
      </w:pPr>
      <w:r>
        <w:rPr>
          <w:rFonts w:ascii="楷体_GB2312" w:eastAsia="楷体_GB2312"/>
          <w:sz w:val="32"/>
          <w:szCs w:val="32"/>
        </w:rPr>
        <w:t>1</w:t>
      </w:r>
      <w:r>
        <w:rPr>
          <w:rFonts w:hint="eastAsia" w:ascii="楷体_GB2312" w:eastAsia="楷体_GB2312"/>
          <w:sz w:val="32"/>
          <w:szCs w:val="32"/>
        </w:rPr>
        <w:t>、细化预算编制工作，认真做好预算的编制。进一步加强单位内部机构各股室的预算管理意识，严格按照预算编制的相关制度和要求进行预算编制，尽量压缩变动性的、有控制空间的费用项目，进一步提高预算编制的科学性、严谨性和可控性。</w:t>
      </w:r>
    </w:p>
    <w:p w14:paraId="41DCCAAD">
      <w:pPr>
        <w:spacing w:line="360" w:lineRule="auto"/>
        <w:ind w:firstLine="640" w:firstLineChars="200"/>
        <w:rPr>
          <w:rFonts w:ascii="楷体_GB2312" w:eastAsia="楷体_GB2312"/>
          <w:sz w:val="32"/>
          <w:szCs w:val="32"/>
        </w:rPr>
      </w:pPr>
      <w:r>
        <w:rPr>
          <w:rFonts w:ascii="楷体_GB2312" w:eastAsia="楷体_GB2312"/>
          <w:sz w:val="32"/>
          <w:szCs w:val="32"/>
        </w:rPr>
        <w:t>2</w:t>
      </w:r>
      <w:r>
        <w:rPr>
          <w:rFonts w:hint="eastAsia" w:ascii="楷体_GB2312" w:eastAsia="楷体_GB2312"/>
          <w:sz w:val="32"/>
          <w:szCs w:val="32"/>
        </w:rPr>
        <w:t>、加强财务管理，严格财务审核。加强单位财务管理，在费用报账支付时，按照预算规定的费用项目和用途进行资金使用审核、列报支付、财务核算，杜绝超支现象的发生。</w:t>
      </w:r>
    </w:p>
    <w:p w14:paraId="12C0E841">
      <w:pPr>
        <w:spacing w:line="360" w:lineRule="auto"/>
        <w:ind w:firstLine="640" w:firstLineChars="200"/>
        <w:rPr>
          <w:rFonts w:ascii="楷体_GB2312" w:eastAsia="楷体_GB2312"/>
          <w:sz w:val="32"/>
          <w:szCs w:val="32"/>
        </w:rPr>
      </w:pPr>
      <w:r>
        <w:rPr>
          <w:rFonts w:ascii="楷体_GB2312" w:eastAsia="楷体_GB2312"/>
          <w:sz w:val="32"/>
          <w:szCs w:val="32"/>
        </w:rPr>
        <w:t>3</w:t>
      </w:r>
      <w:r>
        <w:rPr>
          <w:rFonts w:hint="eastAsia" w:ascii="楷体_GB2312" w:eastAsia="楷体_GB2312"/>
          <w:sz w:val="32"/>
          <w:szCs w:val="32"/>
        </w:rPr>
        <w:t>、完善资产管理，抓好“三公”经费控制。严格编制政府采购年初预算和计划，规范各类资产的购置审批、采购、使用管理、处置和报废、管理岗位职责等制度，加强单位内部的资产管理工作。严格控制“三公”经费的规模和比例，把关“三公”经费支出的审核、审批，杜绝挪用和挤占其他预算资金行为。</w:t>
      </w:r>
    </w:p>
    <w:p w14:paraId="3C8683C1">
      <w:pPr>
        <w:spacing w:line="360" w:lineRule="auto"/>
        <w:ind w:firstLine="640" w:firstLineChars="200"/>
        <w:rPr>
          <w:rFonts w:ascii="楷体_GB2312" w:eastAsia="楷体_GB2312"/>
          <w:sz w:val="32"/>
          <w:szCs w:val="32"/>
        </w:rPr>
      </w:pPr>
      <w:r>
        <w:rPr>
          <w:rFonts w:ascii="楷体_GB2312" w:eastAsia="楷体_GB2312"/>
          <w:sz w:val="32"/>
          <w:szCs w:val="32"/>
        </w:rPr>
        <w:t>4</w:t>
      </w:r>
      <w:r>
        <w:rPr>
          <w:rFonts w:hint="eastAsia" w:ascii="楷体_GB2312" w:eastAsia="楷体_GB2312"/>
          <w:sz w:val="32"/>
          <w:szCs w:val="32"/>
        </w:rPr>
        <w:t>、增加预算，控制支出，化解债务。一是增加干部职工绩效考核奖，二是增加信访维稳工作经费，三是增加镇的环境卫生整治专项经费，三是项目资金的审计服务费。</w:t>
      </w:r>
    </w:p>
    <w:p w14:paraId="5B8001AB">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仿宋_GB2312"/>
          <w:sz w:val="32"/>
          <w:szCs w:val="32"/>
        </w:rPr>
      </w:pPr>
    </w:p>
    <w:p w14:paraId="5B2119B4">
      <w:pPr>
        <w:pStyle w:val="2"/>
        <w:jc w:val="right"/>
        <w:rPr>
          <w:rFonts w:hint="eastAsia" w:eastAsia="仿宋_GB2312"/>
          <w:sz w:val="32"/>
          <w:szCs w:val="32"/>
          <w:lang w:val="en-US" w:eastAsia="zh-CN"/>
        </w:rPr>
      </w:pPr>
      <w:r>
        <w:rPr>
          <w:rFonts w:hint="eastAsia" w:eastAsia="仿宋_GB2312"/>
          <w:sz w:val="32"/>
          <w:szCs w:val="32"/>
          <w:lang w:val="en-US" w:eastAsia="zh-CN"/>
        </w:rPr>
        <w:t>隆回县金石桥镇人民政府</w:t>
      </w:r>
    </w:p>
    <w:p w14:paraId="57B0E097">
      <w:pPr>
        <w:wordWrap w:val="0"/>
        <w:jc w:val="right"/>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w:t>
      </w:r>
      <w:r>
        <w:rPr>
          <w:rFonts w:hint="eastAsia" w:eastAsia="仿宋_GB2312" w:cs="Times New Roman"/>
          <w:kern w:val="2"/>
          <w:sz w:val="32"/>
          <w:szCs w:val="32"/>
          <w:lang w:val="en-US" w:eastAsia="zh-CN" w:bidi="ar-SA"/>
        </w:rPr>
        <w:t>4</w:t>
      </w:r>
      <w:r>
        <w:rPr>
          <w:rFonts w:hint="eastAsia" w:ascii="Times New Roman" w:hAnsi="Times New Roman" w:eastAsia="仿宋_GB2312" w:cs="Times New Roman"/>
          <w:kern w:val="2"/>
          <w:sz w:val="32"/>
          <w:szCs w:val="32"/>
          <w:lang w:val="en-US" w:eastAsia="zh-CN" w:bidi="ar-SA"/>
        </w:rPr>
        <w:t>年</w:t>
      </w:r>
      <w:r>
        <w:rPr>
          <w:rFonts w:hint="eastAsia" w:eastAsia="仿宋_GB2312" w:cs="Times New Roman"/>
          <w:kern w:val="2"/>
          <w:sz w:val="32"/>
          <w:szCs w:val="32"/>
          <w:lang w:val="en-US" w:eastAsia="zh-CN" w:bidi="ar-SA"/>
        </w:rPr>
        <w:t>9</w:t>
      </w:r>
      <w:r>
        <w:rPr>
          <w:rFonts w:hint="eastAsia" w:ascii="Times New Roman" w:hAnsi="Times New Roman" w:eastAsia="仿宋_GB2312" w:cs="Times New Roman"/>
          <w:kern w:val="2"/>
          <w:sz w:val="32"/>
          <w:szCs w:val="32"/>
          <w:lang w:val="en-US" w:eastAsia="zh-CN" w:bidi="ar-SA"/>
        </w:rPr>
        <w:t xml:space="preserve">月2日  </w:t>
      </w:r>
    </w:p>
    <w:p w14:paraId="3BC02B05">
      <w:pPr>
        <w:spacing w:line="560" w:lineRule="exact"/>
        <w:rPr>
          <w:rFonts w:ascii="黑体" w:hAnsi="宋体" w:eastAsia="黑体" w:cs="宋体"/>
          <w:kern w:val="0"/>
          <w:sz w:val="32"/>
          <w:szCs w:val="32"/>
        </w:rPr>
      </w:pPr>
    </w:p>
    <w:p w14:paraId="583DE32E">
      <w:pPr>
        <w:spacing w:line="560" w:lineRule="exact"/>
        <w:rPr>
          <w:rFonts w:ascii="黑体" w:hAnsi="宋体" w:eastAsia="黑体" w:cs="宋体"/>
          <w:kern w:val="0"/>
          <w:sz w:val="32"/>
          <w:szCs w:val="32"/>
        </w:rPr>
      </w:pPr>
    </w:p>
    <w:p w14:paraId="07FBF2F2"/>
    <w:p w14:paraId="5C8C4829"/>
    <w:p w14:paraId="796F57D2"/>
    <w:sectPr>
      <w:headerReference r:id="rId3" w:type="default"/>
      <w:footerReference r:id="rId4" w:type="default"/>
      <w:footerReference r:id="rId5" w:type="even"/>
      <w:pgSz w:w="11905" w:h="16837"/>
      <w:pgMar w:top="1418" w:right="1588" w:bottom="1418" w:left="1588"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F0B9E">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0CE807">
                          <w:pPr>
                            <w:pStyle w:val="6"/>
                            <w:jc w:val="right"/>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00CE807">
                    <w:pPr>
                      <w:pStyle w:val="6"/>
                      <w:jc w:val="right"/>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F5647">
    <w:pPr>
      <w:pStyle w:val="6"/>
      <w:framePr w:wrap="around" w:vAnchor="text" w:hAnchor="margin" w:xAlign="outside" w:y="1"/>
      <w:rPr>
        <w:rStyle w:val="11"/>
      </w:rPr>
    </w:pPr>
    <w:r>
      <w:fldChar w:fldCharType="begin"/>
    </w:r>
    <w:r>
      <w:rPr>
        <w:rStyle w:val="11"/>
      </w:rPr>
      <w:instrText xml:space="preserve">PAGE  </w:instrText>
    </w:r>
    <w:r>
      <w:fldChar w:fldCharType="separate"/>
    </w:r>
    <w:r>
      <w:fldChar w:fldCharType="end"/>
    </w:r>
  </w:p>
  <w:p w14:paraId="205A5253">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BCE72">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7CCFBC"/>
    <w:multiLevelType w:val="singleLevel"/>
    <w:tmpl w:val="C97CCFBC"/>
    <w:lvl w:ilvl="0" w:tentative="0">
      <w:start w:val="2"/>
      <w:numFmt w:val="chineseCounting"/>
      <w:suff w:val="nothing"/>
      <w:lvlText w:val="（%1）"/>
      <w:lvlJc w:val="left"/>
      <w:rPr>
        <w:rFonts w:hint="eastAsia"/>
      </w:rPr>
    </w:lvl>
  </w:abstractNum>
  <w:abstractNum w:abstractNumId="1">
    <w:nsid w:val="250906CA"/>
    <w:multiLevelType w:val="singleLevel"/>
    <w:tmpl w:val="250906CA"/>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Mzc2NzJkOTM0NWQ0YmRiNjk2NWY5NjEyY2U5OWMifQ=="/>
  </w:docVars>
  <w:rsids>
    <w:rsidRoot w:val="18D538B0"/>
    <w:rsid w:val="01600BAC"/>
    <w:rsid w:val="018E17F6"/>
    <w:rsid w:val="02E1151B"/>
    <w:rsid w:val="08024CB8"/>
    <w:rsid w:val="09862E1C"/>
    <w:rsid w:val="09D347BB"/>
    <w:rsid w:val="0A686BF6"/>
    <w:rsid w:val="0CCA22BF"/>
    <w:rsid w:val="0F39623B"/>
    <w:rsid w:val="117C2E73"/>
    <w:rsid w:val="11E9622E"/>
    <w:rsid w:val="12607728"/>
    <w:rsid w:val="13113C31"/>
    <w:rsid w:val="1327752C"/>
    <w:rsid w:val="13C57FC2"/>
    <w:rsid w:val="13D90690"/>
    <w:rsid w:val="13EB2DF0"/>
    <w:rsid w:val="1767588B"/>
    <w:rsid w:val="18D538B0"/>
    <w:rsid w:val="18E032C2"/>
    <w:rsid w:val="1BED2887"/>
    <w:rsid w:val="1C142509"/>
    <w:rsid w:val="1C9F7BCD"/>
    <w:rsid w:val="1CCF110C"/>
    <w:rsid w:val="1E301AE7"/>
    <w:rsid w:val="20847DE0"/>
    <w:rsid w:val="21B552CB"/>
    <w:rsid w:val="2483632E"/>
    <w:rsid w:val="249266C1"/>
    <w:rsid w:val="252559C3"/>
    <w:rsid w:val="25686A58"/>
    <w:rsid w:val="25B05D49"/>
    <w:rsid w:val="25C6698E"/>
    <w:rsid w:val="2A5E3D3D"/>
    <w:rsid w:val="2A706BB3"/>
    <w:rsid w:val="2C2B5641"/>
    <w:rsid w:val="2D555B94"/>
    <w:rsid w:val="2E2B5E45"/>
    <w:rsid w:val="2E515D05"/>
    <w:rsid w:val="2FA36CB2"/>
    <w:rsid w:val="2FC02FA6"/>
    <w:rsid w:val="2FCD4A51"/>
    <w:rsid w:val="2FF745A3"/>
    <w:rsid w:val="308E3DFE"/>
    <w:rsid w:val="30D81900"/>
    <w:rsid w:val="316450AF"/>
    <w:rsid w:val="335115F0"/>
    <w:rsid w:val="3546366F"/>
    <w:rsid w:val="357070B5"/>
    <w:rsid w:val="36CD5635"/>
    <w:rsid w:val="37AB5678"/>
    <w:rsid w:val="37EB3CC7"/>
    <w:rsid w:val="38FC7F68"/>
    <w:rsid w:val="3A754CC9"/>
    <w:rsid w:val="3BEA370A"/>
    <w:rsid w:val="3C2B322B"/>
    <w:rsid w:val="3E391C30"/>
    <w:rsid w:val="3ECD3124"/>
    <w:rsid w:val="3F9A003D"/>
    <w:rsid w:val="40F164D7"/>
    <w:rsid w:val="41354204"/>
    <w:rsid w:val="41D57EC1"/>
    <w:rsid w:val="4355293C"/>
    <w:rsid w:val="442F7757"/>
    <w:rsid w:val="44F3240C"/>
    <w:rsid w:val="475F4422"/>
    <w:rsid w:val="4874505C"/>
    <w:rsid w:val="49136AFE"/>
    <w:rsid w:val="49201968"/>
    <w:rsid w:val="4BB02E05"/>
    <w:rsid w:val="4BB905DA"/>
    <w:rsid w:val="4BF70576"/>
    <w:rsid w:val="4C4243A5"/>
    <w:rsid w:val="4E0B709E"/>
    <w:rsid w:val="507C62DD"/>
    <w:rsid w:val="52065B6D"/>
    <w:rsid w:val="563C6D66"/>
    <w:rsid w:val="565C4B5A"/>
    <w:rsid w:val="578E37A1"/>
    <w:rsid w:val="58C76ABA"/>
    <w:rsid w:val="635B32B1"/>
    <w:rsid w:val="63671397"/>
    <w:rsid w:val="63AD5DD7"/>
    <w:rsid w:val="65ED7F30"/>
    <w:rsid w:val="679A69EC"/>
    <w:rsid w:val="689E69B8"/>
    <w:rsid w:val="68DF23A7"/>
    <w:rsid w:val="69DA3A17"/>
    <w:rsid w:val="6A522671"/>
    <w:rsid w:val="6A803DE7"/>
    <w:rsid w:val="6ACB22C2"/>
    <w:rsid w:val="6C6A0E2B"/>
    <w:rsid w:val="6C801864"/>
    <w:rsid w:val="6CAC1DDC"/>
    <w:rsid w:val="6E294C8E"/>
    <w:rsid w:val="6E615BFD"/>
    <w:rsid w:val="6F221080"/>
    <w:rsid w:val="767C2482"/>
    <w:rsid w:val="78853E63"/>
    <w:rsid w:val="7908744B"/>
    <w:rsid w:val="7A3613CA"/>
    <w:rsid w:val="7D2A54B9"/>
    <w:rsid w:val="7FA61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next w:val="4"/>
    <w:qFormat/>
    <w:uiPriority w:val="0"/>
    <w:pPr>
      <w:ind w:firstLine="640" w:firstLineChars="200"/>
    </w:pPr>
    <w:rPr>
      <w:sz w:val="32"/>
    </w:rPr>
  </w:style>
  <w:style w:type="paragraph" w:styleId="4">
    <w:name w:val="Normal Indent"/>
    <w:basedOn w:val="1"/>
    <w:qFormat/>
    <w:uiPriority w:val="0"/>
    <w:pPr>
      <w:ind w:firstLine="420" w:firstLineChars="200"/>
    </w:pPr>
    <w:rPr>
      <w:rFonts w:eastAsia="仿宋"/>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100" w:beforeAutospacing="1" w:after="100" w:afterAutospacing="1"/>
      <w:jc w:val="left"/>
    </w:pPr>
    <w:rPr>
      <w:rFonts w:ascii="Calibri" w:hAnsi="Calibri" w:cs="宋体"/>
      <w:kern w:val="0"/>
      <w:sz w:val="24"/>
    </w:rPr>
  </w:style>
  <w:style w:type="character" w:styleId="11">
    <w:name w:val="page number"/>
    <w:basedOn w:val="10"/>
    <w:qFormat/>
    <w:uiPriority w:val="0"/>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character" w:customStyle="1" w:styleId="13">
    <w:name w:val="NormalCharacter"/>
    <w:autoRedefine/>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6573</Words>
  <Characters>6900</Characters>
  <Lines>0</Lines>
  <Paragraphs>0</Paragraphs>
  <TotalTime>0</TotalTime>
  <ScaleCrop>false</ScaleCrop>
  <LinksUpToDate>false</LinksUpToDate>
  <CharactersWithSpaces>7027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Administrator</cp:lastModifiedBy>
  <cp:lastPrinted>2022-04-20T08:19:00Z</cp:lastPrinted>
  <dcterms:modified xsi:type="dcterms:W3CDTF">2024-11-04T00:57:55Z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FC4AD5B48165493FADE0A0374E14E380</vt:lpwstr>
  </property>
</Properties>
</file>