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CAF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ascii="方正大标宋简体" w:hAnsi="方正大标宋简体" w:eastAsia="方正大标宋简体" w:cs="方正大标宋简体"/>
          <w:kern w:val="0"/>
          <w:sz w:val="44"/>
          <w:szCs w:val="44"/>
          <w:bdr w:val="none" w:color="auto" w:sz="0" w:space="0"/>
          <w:lang w:val="en-US" w:eastAsia="zh-CN" w:bidi="ar"/>
        </w:rPr>
        <w:t>隆回县九龙学校</w:t>
      </w:r>
      <w:r>
        <w:rPr>
          <w:rFonts w:hint="default" w:ascii="方正大标宋简体" w:hAnsi="方正大标宋简体" w:eastAsia="方正大标宋简体" w:cs="方正大标宋简体"/>
          <w:kern w:val="0"/>
          <w:sz w:val="44"/>
          <w:szCs w:val="44"/>
          <w:bdr w:val="none" w:color="auto" w:sz="0" w:space="0"/>
          <w:lang w:val="en-US" w:eastAsia="zh-CN" w:bidi="ar"/>
        </w:rPr>
        <w:t>2023年部门</w:t>
      </w:r>
    </w:p>
    <w:p w14:paraId="333BF2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default" w:ascii="方正大标宋简体" w:hAnsi="方正大标宋简体" w:eastAsia="方正大标宋简体" w:cs="方正大标宋简体"/>
          <w:kern w:val="0"/>
          <w:sz w:val="44"/>
          <w:szCs w:val="44"/>
          <w:bdr w:val="none" w:color="auto" w:sz="0" w:space="0"/>
          <w:lang w:val="en-US" w:eastAsia="zh-CN" w:bidi="ar"/>
        </w:rPr>
        <w:t>整体支出绩效自评报告</w:t>
      </w:r>
    </w:p>
    <w:p w14:paraId="2ECC1F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ascii="仿宋" w:hAnsi="仿宋" w:eastAsia="仿宋" w:cs="仿宋"/>
          <w:kern w:val="0"/>
          <w:sz w:val="21"/>
          <w:szCs w:val="21"/>
          <w:bdr w:val="none" w:color="auto" w:sz="0" w:space="0"/>
          <w:lang w:val="en-US" w:eastAsia="zh-CN" w:bidi="ar"/>
        </w:rPr>
        <w:t> </w:t>
      </w:r>
    </w:p>
    <w:p w14:paraId="2F646E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ascii="黑体" w:hAnsi="宋体" w:eastAsia="黑体" w:cs="黑体"/>
          <w:b w:val="0"/>
          <w:bCs w:val="0"/>
          <w:kern w:val="0"/>
          <w:sz w:val="32"/>
          <w:szCs w:val="32"/>
          <w:bdr w:val="none" w:color="auto" w:sz="0" w:space="0"/>
          <w:lang w:val="en-US" w:eastAsia="zh-CN" w:bidi="ar"/>
        </w:rPr>
        <w:t>一、部门</w:t>
      </w: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bdr w:val="none" w:color="auto" w:sz="0" w:space="0"/>
          <w:lang w:val="en-US" w:eastAsia="zh-CN" w:bidi="ar"/>
        </w:rPr>
        <w:t>、单位基本情况</w:t>
      </w:r>
    </w:p>
    <w:p w14:paraId="61611C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（一）</w:t>
      </w:r>
      <w:r>
        <w:rPr>
          <w:rFonts w:hint="eastAsia" w:ascii="仿宋" w:hAnsi="仿宋" w:eastAsia="仿宋" w:cs="仿宋"/>
          <w:kern w:val="0"/>
          <w:sz w:val="28"/>
          <w:szCs w:val="28"/>
          <w:bdr w:val="none" w:color="auto" w:sz="0" w:space="0"/>
          <w:lang w:val="en-US" w:eastAsia="zh-CN" w:bidi="ar"/>
        </w:rPr>
        <w:t>隆回县九龙学校是一所隶属教育局直管的九年义务制学校，其主要职能是实施中小学义务教育，促进基础教育发展，为幼儿园及中小学教育教学管理提供保障。学校占地89907平方米约135亩，建筑面积约29357平方米。现有教学班级117个，编制人数为320人，实际在编教职工人数274人，退休教职工22人，学生6344人。</w:t>
      </w:r>
    </w:p>
    <w:p w14:paraId="15E74E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（二）2023年的重点工作</w:t>
      </w:r>
    </w:p>
    <w:p w14:paraId="23966C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7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bdr w:val="none" w:color="auto" w:sz="0" w:space="0"/>
          <w:lang w:val="en-US" w:eastAsia="zh-CN" w:bidi="ar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 w14:paraId="0EABB4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（三）部门整体支出情况</w:t>
      </w:r>
    </w:p>
    <w:p w14:paraId="2DD974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2023年度决算支出为4878.766761万元。</w:t>
      </w:r>
    </w:p>
    <w:p w14:paraId="0E7FB5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bdr w:val="none" w:color="auto" w:sz="0" w:space="0"/>
          <w:lang w:val="en-US" w:eastAsia="zh-CN" w:bidi="ar"/>
        </w:rPr>
        <w:t>二、部门整体支出管理及使用情况</w:t>
      </w:r>
    </w:p>
    <w:p w14:paraId="72F7BE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（一）基本支出情况</w:t>
      </w:r>
    </w:p>
    <w:p w14:paraId="00BBD2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</w:pP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  <w:shd w:val="clear" w:fill="FFFFFF"/>
        </w:rPr>
        <w:t>2023年度决算数为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4692.511075</w:t>
      </w: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  <w:shd w:val="clear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14:paraId="7EB86E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（二）县级专项资金情况</w:t>
      </w:r>
    </w:p>
    <w:p w14:paraId="08BBDB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2023年年度决算数为186.255686万元，是指单位为完成选定行政工作或事业发展目标而发生的支出，包括有关事业发展专项、专项业务费、基本建设支出等。</w:t>
      </w:r>
    </w:p>
    <w:p w14:paraId="3D5754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（三）“三公”经费情况</w:t>
      </w:r>
    </w:p>
    <w:p w14:paraId="4F5BEF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700"/>
      </w:pP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  <w:shd w:val="clear" w:fill="FFFFFF"/>
        </w:rPr>
        <w:t>2023年本单位“三公”经费0万元。</w:t>
      </w:r>
    </w:p>
    <w:p w14:paraId="6E338E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700"/>
      </w:pP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  <w:shd w:val="clear" w:fill="FFFFFF"/>
        </w:rPr>
        <w:t>1、因公出国(境)费0元；</w:t>
      </w:r>
    </w:p>
    <w:p w14:paraId="045CC5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700"/>
      </w:pP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  <w:shd w:val="clear" w:fill="FFFFFF"/>
        </w:rPr>
        <w:t>2、公务接待费0万元；</w:t>
      </w:r>
    </w:p>
    <w:p w14:paraId="310F9B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700"/>
      </w:pP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  <w:shd w:val="clear" w:fill="FFFFFF"/>
        </w:rPr>
        <w:t>3、公务用车费0万元（公务用车运行维护费0万元，公务用车购置费0元）。</w:t>
      </w:r>
    </w:p>
    <w:p w14:paraId="2DCD0B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</w:pPr>
      <w:r>
        <w:rPr>
          <w:rFonts w:hint="eastAsia" w:ascii="黑体" w:hAnsi="宋体" w:eastAsia="黑体" w:cs="黑体"/>
          <w:b w:val="0"/>
          <w:bCs w:val="0"/>
          <w:sz w:val="32"/>
          <w:szCs w:val="32"/>
          <w:bdr w:val="none" w:color="auto" w:sz="0" w:space="0"/>
        </w:rPr>
        <w:t>三、政府性基金预算支出情况</w:t>
      </w:r>
    </w:p>
    <w:p w14:paraId="141E55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700"/>
      </w:pP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  <w:shd w:val="clear" w:fill="FFFFFF"/>
        </w:rPr>
        <w:t>2023年本单位政府性基金预算支出0万元。</w:t>
      </w:r>
    </w:p>
    <w:p w14:paraId="58BC5D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bdr w:val="none" w:color="auto" w:sz="0" w:space="0"/>
          <w:lang w:val="en-US" w:eastAsia="zh-CN" w:bidi="ar"/>
        </w:rPr>
        <w:t>四、国有资本经营预算支出情况</w:t>
      </w:r>
    </w:p>
    <w:p w14:paraId="546D43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700"/>
      </w:pP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  <w:shd w:val="clear" w:fill="FFFFFF"/>
        </w:rPr>
        <w:t>2023年本单位国有资本经营预算支出0万元。</w:t>
      </w:r>
    </w:p>
    <w:p w14:paraId="3C2A70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</w:pPr>
      <w:r>
        <w:rPr>
          <w:rFonts w:hint="eastAsia" w:ascii="黑体" w:hAnsi="宋体" w:eastAsia="黑体" w:cs="黑体"/>
          <w:b w:val="0"/>
          <w:bCs w:val="0"/>
          <w:sz w:val="32"/>
          <w:szCs w:val="32"/>
          <w:bdr w:val="none" w:color="auto" w:sz="0" w:space="0"/>
        </w:rPr>
        <w:t>五、社会保险基金预算支出情况</w:t>
      </w:r>
    </w:p>
    <w:p w14:paraId="64721D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700"/>
      </w:pP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  <w:shd w:val="clear" w:fill="FFFFFF"/>
        </w:rPr>
        <w:t>2023年本单位社会保险基金预算支出595.555438万元。</w:t>
      </w:r>
    </w:p>
    <w:p w14:paraId="51EC7A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bdr w:val="none" w:color="auto" w:sz="0" w:space="0"/>
          <w:lang w:val="en-US" w:eastAsia="zh-CN" w:bidi="ar"/>
        </w:rPr>
        <w:t>六、部门整体支出绩效情况</w:t>
      </w:r>
    </w:p>
    <w:p w14:paraId="79C4A2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bdr w:val="none" w:color="auto" w:sz="0" w:space="0"/>
          <w:shd w:val="clear" w:fill="FFFFFF"/>
        </w:rPr>
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</w:r>
    </w:p>
    <w:p w14:paraId="4E7A65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bdr w:val="none" w:color="auto" w:sz="0" w:space="0"/>
          <w:shd w:val="clear" w:fill="FFFFFF"/>
        </w:rPr>
        <w:t>财务管理制度建设情况：资金拨付严格按程序申报、审批，合理合规使用资金，确保财政资金安全。</w:t>
      </w:r>
    </w:p>
    <w:p w14:paraId="5C1EDA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bdr w:val="none" w:color="auto" w:sz="0" w:space="0"/>
          <w:shd w:val="clear" w:fill="FFFFFF"/>
        </w:rPr>
        <w:t>资产管理：及时按照要求报送资产情况报表，确保各项资产核算准确、帐实相符、管理到位。</w:t>
      </w:r>
    </w:p>
    <w:p w14:paraId="7E808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bdr w:val="none" w:color="auto" w:sz="0" w:space="0"/>
          <w:shd w:val="clear" w:fill="FFFFFF"/>
        </w:rPr>
        <w:t>预决算公开：及时在县人民政府门户网站上进行了预决算公开。</w:t>
      </w:r>
    </w:p>
    <w:p w14:paraId="68B051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bdr w:val="none" w:color="auto" w:sz="0" w:space="0"/>
          <w:shd w:val="clear" w:fill="FFFFFF"/>
        </w:rPr>
        <w:t>“三公经费”控制情况：能严格遵守各项规章制度，严控“三公”经费支出，并及时在县人民政府门户网站上对“三公”经费情况进行公示。</w:t>
      </w:r>
    </w:p>
    <w:p w14:paraId="03582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bdr w:val="none" w:color="auto" w:sz="0" w:space="0"/>
          <w:shd w:val="clear" w:fill="FFFFFF"/>
        </w:rPr>
        <w:t>认真履行职责，及时报送财政供养信息、存量资金等有关资料及报表。</w:t>
      </w:r>
    </w:p>
    <w:p w14:paraId="1EA81D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bdr w:val="none" w:color="auto" w:sz="0" w:space="0"/>
          <w:lang w:val="en-US" w:eastAsia="zh-CN" w:bidi="ar"/>
        </w:rPr>
        <w:t>七、存在的问题</w:t>
      </w:r>
    </w:p>
    <w:p w14:paraId="438433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1、预算编制工作可更进一步，预算编制的合理性需要提高，预算执行力度还要进一步加强。</w:t>
      </w:r>
    </w:p>
    <w:p w14:paraId="6F689B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2、公用经费的支出数大于预算数。</w:t>
      </w:r>
    </w:p>
    <w:p w14:paraId="053BE5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3、工会经费等人头经费严重不足。</w:t>
      </w:r>
    </w:p>
    <w:p w14:paraId="756826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bdr w:val="none" w:color="auto" w:sz="0" w:space="0"/>
          <w:lang w:val="en-US" w:eastAsia="zh-CN" w:bidi="ar"/>
        </w:rPr>
        <w:t>八、改进措施和有关建议</w:t>
      </w:r>
    </w:p>
    <w:p w14:paraId="3CCBBA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  <w:shd w:val="clear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14:paraId="651E44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  <w:shd w:val="clear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 w14:paraId="100C8D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  <w:shd w:val="clear" w:fill="FFFFFF"/>
        </w:rPr>
        <w:t>3、希望财政管理部门能落实好单位的社保缺口经费及工会缺口经费。</w:t>
      </w:r>
    </w:p>
    <w:p w14:paraId="295612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640"/>
        <w:jc w:val="right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  <w:shd w:val="clear" w:fill="FFFFFF"/>
        </w:rPr>
        <w:t> </w:t>
      </w:r>
    </w:p>
    <w:p w14:paraId="2B15D3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640"/>
        <w:jc w:val="right"/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bdr w:val="none" w:color="auto" w:sz="0" w:space="0"/>
          <w:shd w:val="clear" w:fill="FFFFFF"/>
        </w:rPr>
        <w:t> </w:t>
      </w:r>
    </w:p>
    <w:p w14:paraId="501276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ascii="仿宋_GB2312" w:hAnsi="仿宋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</w:p>
    <w:p w14:paraId="1B0BF2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隆回县九龙学校部门整体支出绩效自评报告</w:t>
      </w:r>
    </w:p>
    <w:p w14:paraId="0C4111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 w14:paraId="4BCDD2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一、部门、单位基本情况</w:t>
      </w:r>
    </w:p>
    <w:p w14:paraId="272988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隆回县九龙学校是一所隶属教育局直管的九年义务制学校，其主要职能是实施中小学义务教育，促进基础教育发展，为幼儿园及中小学教育教学管理提供保障。学校占地89907平方米约135亩，建筑面积约29357平方米。现有教学班级117个，编制人数为320人，实际在编教职工人数274人，退休教职工22人，学生6344人。</w:t>
      </w:r>
    </w:p>
    <w:p w14:paraId="4CCF40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（二）2023年的重点工作</w:t>
      </w:r>
    </w:p>
    <w:p w14:paraId="3AF6BA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0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 w14:paraId="18982D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（三）部门整体支出情况</w:t>
      </w:r>
    </w:p>
    <w:p w14:paraId="462671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2023年度决算支出为4878.766761万元。</w:t>
      </w:r>
    </w:p>
    <w:p w14:paraId="7432D5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二、部门整体支出管理及使用情况</w:t>
      </w:r>
    </w:p>
    <w:p w14:paraId="639937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（一）基本支出情况</w:t>
      </w:r>
    </w:p>
    <w:p w14:paraId="08A52E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2023年度决算数为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4692.511075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14:paraId="5EFF02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（二）县级专项资金情况</w:t>
      </w:r>
    </w:p>
    <w:p w14:paraId="312879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2023年年度决算数为186.255686万元，是指单位为完成选定行政工作或事业发展目标而发生的支出，包括有关事业发展专项、专项业务费、基本建设支出等。</w:t>
      </w:r>
    </w:p>
    <w:p w14:paraId="2657F4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（三）“三公”经费情况</w:t>
      </w:r>
    </w:p>
    <w:p w14:paraId="670C9E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0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2023年本单位“三公”经费0万元。</w:t>
      </w:r>
    </w:p>
    <w:p w14:paraId="732CEE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0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1、因公出国(境)费0元；</w:t>
      </w:r>
    </w:p>
    <w:p w14:paraId="4D3C02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0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2、公务接待费0万元；</w:t>
      </w:r>
    </w:p>
    <w:p w14:paraId="1FD99D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0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3、公务用车费0万元（公务用车运行维护费0万元，公务用车购置费0元）。</w:t>
      </w:r>
    </w:p>
    <w:p w14:paraId="2AC957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三、政府性基金预算支出情况</w:t>
      </w:r>
    </w:p>
    <w:p w14:paraId="09E449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0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2023年本单位政府性基金预算支出0万元。</w:t>
      </w:r>
    </w:p>
    <w:p w14:paraId="13B3AE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四、国有资本经营预算支出情况</w:t>
      </w:r>
    </w:p>
    <w:p w14:paraId="51DF9B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0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2023年本单位国有资本经营预算支出0万元。</w:t>
      </w:r>
    </w:p>
    <w:p w14:paraId="31080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五、社会保险基金预算支出情况</w:t>
      </w:r>
    </w:p>
    <w:p w14:paraId="55E605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0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2023年本单位社会保险基金预算支出595.555438万元。</w:t>
      </w:r>
    </w:p>
    <w:p w14:paraId="7F4F46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六、部门整体支出绩效情况</w:t>
      </w:r>
    </w:p>
    <w:p w14:paraId="73A667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</w:r>
    </w:p>
    <w:p w14:paraId="4B6676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财务管理制度建设情况：资金拨付严格按程序申报、审批，合理合规使用资金，确保财政资金安全。</w:t>
      </w:r>
    </w:p>
    <w:p w14:paraId="1676F6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资产管理：及时按照要求报送资产情况报表，确保各项资产核算准确、帐实相符、管理到位。</w:t>
      </w:r>
    </w:p>
    <w:p w14:paraId="019671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预决算公开：及时在县人民政府门户网站上进行了预决算公开。</w:t>
      </w:r>
    </w:p>
    <w:p w14:paraId="5798A5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“三公经费”控制情况：能严格遵守各项规章制度，严控“三公”经费支出，并及时在县人民政府门户网站上对“三公”经费情况进行公示。</w:t>
      </w:r>
    </w:p>
    <w:p w14:paraId="1AF665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认真履行职责，及时报送财政供养信息、存量资金等有关资料及报表。</w:t>
      </w:r>
    </w:p>
    <w:p w14:paraId="09441F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七、存在的问题</w:t>
      </w:r>
    </w:p>
    <w:p w14:paraId="33D83B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1、预算编制工作可更进一步，预算编制的合理性需要提高，预算执行力度还要进一步加强。</w:t>
      </w:r>
    </w:p>
    <w:p w14:paraId="3131FC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2、公用经费的支出数大于预算数。</w:t>
      </w:r>
    </w:p>
    <w:p w14:paraId="1C1C3B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3、工会经费等人头经费严重不足。</w:t>
      </w:r>
    </w:p>
    <w:p w14:paraId="713BBB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八、改进措施和有关建议</w:t>
      </w:r>
    </w:p>
    <w:p w14:paraId="737307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14:paraId="5888C2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 w14:paraId="3A6618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3、希望财政管理部门能落实好单位的社保缺口经费及工会缺口经费。</w:t>
      </w:r>
    </w:p>
    <w:p w14:paraId="0382D8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c2NzJkOTM0NWQ0YmRiNjk2NWY5NjEyY2U5OWMifQ=="/>
  </w:docVars>
  <w:rsids>
    <w:rsidRoot w:val="00000000"/>
    <w:rsid w:val="25F14642"/>
    <w:rsid w:val="5E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2024-11-01T01:47:48Z</dcterms:created>
  <dc:creator>Administrator.pc-201712171005</dc:creator>
  <cp:lastModifiedBy>Administrator</cp:lastModifiedBy>
  <dcterms:modified xsi:type="dcterms:W3CDTF">2024-11-01T01:51:44Z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C4EB9FF57B0D4ABAB0A252D546B487D0_12</vt:lpwstr>
  </property>
</Properties>
</file>