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675"/>
        <w:gridCol w:w="459"/>
        <w:gridCol w:w="1062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21年度）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54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隆回县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虎形山瑶族乡</w:t>
            </w:r>
            <w:r>
              <w:rPr>
                <w:rFonts w:hint="eastAsia" w:ascii="楷体" w:hAnsi="楷体" w:eastAsia="楷体" w:cs="楷体"/>
                <w:szCs w:val="21"/>
              </w:rPr>
              <w:t>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40" w:lineRule="exact"/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120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vAlign w:val="center"/>
          </w:tcPr>
          <w:p>
            <w:pPr>
              <w:spacing w:line="540" w:lineRule="exact"/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119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6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>
            <w:pPr>
              <w:spacing w:line="340" w:lineRule="exact"/>
              <w:ind w:firstLine="420" w:firstLineChars="20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1901.1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682" w:type="dxa"/>
            <w:gridSpan w:val="2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>
            <w:pPr>
              <w:spacing w:line="560" w:lineRule="exac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1901.1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682" w:type="dxa"/>
            <w:gridSpan w:val="2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2031.5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2031.5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9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75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MS Gothic" w:hAnsi="MS Gothic" w:cs="MS Gothic" w:eastAsiaTheme="minorEastAsia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三公经费是否比上年度下降：是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63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63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0万元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结余金额0万元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2021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年4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MS Gothic" w:hAnsi="MS Gothic" w:cs="MS Gothic" w:eastAsiaTheme="minorEastAsia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MS Gothic" w:hAnsi="MS Gothic" w:cs="MS Gothic" w:eastAsiaTheme="minorEastAsia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MS Gothic" w:hAnsi="MS Gothic" w:cs="MS Gothic" w:eastAsiaTheme="minorEastAsia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贯彻和执行党和国家的教育方针、政策、法规。学校基础教育工作有序进行，普及九年义务教，工作成果突出。执行财务管理制度，严控三公经费，学校教育经费管理规范。学校教职工的政治思想纯洁高尚，学校资产管理规范，使用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697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</w:trPr>
        <w:tc>
          <w:tcPr>
            <w:tcW w:w="533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完善资产管理制度。加强提高资产的使用率</w:t>
            </w:r>
          </w:p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2、进一步完善财务管理制度。合理规范使用经费。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hint="eastAsia" w:ascii="宋体" w:hAnsi="宋体"/>
          <w:szCs w:val="21"/>
          <w:lang w:eastAsia="zh-CN"/>
        </w:rPr>
        <w:t>赵向阳</w:t>
      </w:r>
      <w:r>
        <w:rPr>
          <w:rFonts w:ascii="宋体" w:hAnsi="宋体"/>
          <w:szCs w:val="21"/>
        </w:rPr>
        <w:t xml:space="preserve">         </w:t>
      </w:r>
      <w:r>
        <w:rPr>
          <w:rFonts w:hint="eastAsia" w:ascii="宋体" w:hAnsi="宋体"/>
          <w:szCs w:val="21"/>
        </w:rPr>
        <w:t>联系电话：13</w:t>
      </w:r>
      <w:r>
        <w:rPr>
          <w:rFonts w:hint="eastAsia" w:ascii="宋体" w:hAnsi="宋体"/>
          <w:szCs w:val="21"/>
          <w:lang w:val="en-US" w:eastAsia="zh-CN"/>
        </w:rPr>
        <w:t>873940399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2022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21日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部门整体支出绩效自评报告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ind w:firstLine="420" w:firstLineChars="200"/>
      </w:pPr>
    </w:p>
    <w:p>
      <w:pPr>
        <w:spacing w:line="480" w:lineRule="exact"/>
        <w:ind w:firstLine="600" w:firstLineChars="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一、部门概况</w:t>
      </w:r>
    </w:p>
    <w:p>
      <w:pPr>
        <w:spacing w:line="480" w:lineRule="exact"/>
        <w:ind w:firstLine="600" w:firstLineChars="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（一）部门基本情况</w:t>
      </w:r>
    </w:p>
    <w:p>
      <w:pPr>
        <w:snapToGrid w:val="0"/>
        <w:spacing w:line="480" w:lineRule="exact"/>
        <w:ind w:firstLine="600" w:firstLineChars="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单位基本情况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shd w:val="clear" w:color="auto" w:fill="FFFFFF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 xml:space="preserve"> 小沙江镇中心学校2021年12月编制人数为 192人，实际人数168人，小学教师102人，初中教师66人，学生总人数为3118人，小学1992人，初中学生人数为1126人。</w:t>
      </w:r>
    </w:p>
    <w:p>
      <w:pPr>
        <w:spacing w:line="480" w:lineRule="exact"/>
        <w:ind w:firstLine="600" w:firstLineChars="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（二）2021年的重点工作</w:t>
      </w:r>
    </w:p>
    <w:p>
      <w:pPr>
        <w:pStyle w:val="2"/>
        <w:spacing w:line="480" w:lineRule="exact"/>
        <w:ind w:firstLine="6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</w:r>
    </w:p>
    <w:p>
      <w:pPr>
        <w:spacing w:line="480" w:lineRule="exact"/>
        <w:ind w:firstLine="600" w:firstLineChars="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（三）部门整体支出情况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Theme="majorEastAsia" w:hAnsiTheme="majorEastAsia" w:eastAsiaTheme="majorEastAsia" w:cstheme="maj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>2021年度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shd w:val="clear" w:color="auto" w:fill="FFFFFF"/>
        </w:rPr>
        <w:t>决算支出为3295.81万元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。</w:t>
      </w:r>
    </w:p>
    <w:p>
      <w:pPr>
        <w:spacing w:line="480" w:lineRule="exact"/>
        <w:ind w:firstLine="600" w:firstLineChars="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二、部门整体支出管理及使用情况</w:t>
      </w:r>
    </w:p>
    <w:p>
      <w:pPr>
        <w:spacing w:line="480" w:lineRule="exact"/>
        <w:ind w:firstLine="600" w:firstLineChars="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（一）基本支出情况</w:t>
      </w:r>
    </w:p>
    <w:p>
      <w:pPr>
        <w:pStyle w:val="2"/>
        <w:spacing w:line="480" w:lineRule="exact"/>
        <w:ind w:firstLine="6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shd w:val="clear" w:color="auto" w:fill="FFFFFF"/>
        </w:rPr>
        <w:t>2021年度决算数为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3295.81</w:t>
      </w: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shd w:val="clear" w:color="auto" w:fill="FFFFFF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spacing w:line="480" w:lineRule="exact"/>
        <w:ind w:firstLine="600" w:firstLineChars="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（二）项目支出情况</w:t>
      </w:r>
    </w:p>
    <w:p>
      <w:pPr>
        <w:pStyle w:val="2"/>
        <w:spacing w:line="480" w:lineRule="exact"/>
        <w:ind w:firstLine="600"/>
        <w:rPr>
          <w:rFonts w:ascii="宋体" w:hAnsi="宋体" w:cs="宋体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0"/>
          <w:szCs w:val="30"/>
          <w:shd w:val="clear" w:color="auto" w:fill="FFFFFF"/>
        </w:rPr>
        <w:t>2021年年度决算数为0万元，是指单位为完成选定行政工作或事业发展目标而发生的支出，包括有关事业发展专项、专项业务费、基本建设支出等。</w:t>
      </w:r>
      <w:r>
        <w:rPr>
          <w:rFonts w:hint="eastAsia" w:ascii="宋体" w:hAnsi="宋体" w:cs="宋体"/>
          <w:color w:val="333333"/>
          <w:sz w:val="30"/>
          <w:szCs w:val="30"/>
          <w:shd w:val="clear" w:color="auto" w:fill="FFFFFF"/>
        </w:rPr>
        <w:t>我单位项目支出由县教育局统一上报。</w:t>
      </w:r>
    </w:p>
    <w:p>
      <w:pPr>
        <w:numPr>
          <w:ilvl w:val="0"/>
          <w:numId w:val="2"/>
        </w:numPr>
        <w:spacing w:line="480" w:lineRule="exact"/>
        <w:ind w:firstLine="600" w:firstLineChars="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“三公”经费情况</w:t>
      </w:r>
    </w:p>
    <w:p>
      <w:pPr>
        <w:pStyle w:val="6"/>
        <w:widowControl/>
        <w:spacing w:before="0" w:beforeAutospacing="0" w:after="0" w:afterAutospacing="0" w:line="480" w:lineRule="exact"/>
        <w:ind w:firstLine="900" w:firstLineChars="300"/>
        <w:jc w:val="both"/>
        <w:rPr>
          <w:rFonts w:asciiTheme="majorEastAsia" w:hAnsiTheme="majorEastAsia" w:eastAsiaTheme="majorEastAsia" w:cstheme="majorEastAsia"/>
          <w:kern w:val="2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kern w:val="2"/>
          <w:sz w:val="30"/>
          <w:szCs w:val="30"/>
        </w:rPr>
        <w:t>2021年我单位“三公”经费 0万元</w:t>
      </w:r>
    </w:p>
    <w:p>
      <w:pPr>
        <w:pStyle w:val="6"/>
        <w:widowControl/>
        <w:spacing w:before="0" w:beforeAutospacing="0" w:after="0" w:afterAutospacing="0" w:line="480" w:lineRule="exact"/>
        <w:ind w:firstLine="900" w:firstLineChars="300"/>
        <w:jc w:val="both"/>
        <w:rPr>
          <w:rFonts w:asciiTheme="majorEastAsia" w:hAnsiTheme="majorEastAsia" w:eastAsiaTheme="majorEastAsia" w:cstheme="majorEastAsia"/>
          <w:kern w:val="2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kern w:val="2"/>
          <w:sz w:val="30"/>
          <w:szCs w:val="30"/>
        </w:rPr>
        <w:t>1、因公出国(境)费0元</w:t>
      </w:r>
    </w:p>
    <w:p>
      <w:pPr>
        <w:pStyle w:val="6"/>
        <w:widowControl/>
        <w:spacing w:before="0" w:beforeAutospacing="0" w:after="0" w:afterAutospacing="0" w:line="480" w:lineRule="exact"/>
        <w:ind w:firstLine="900" w:firstLineChars="300"/>
        <w:jc w:val="both"/>
        <w:rPr>
          <w:rFonts w:asciiTheme="majorEastAsia" w:hAnsiTheme="majorEastAsia" w:eastAsiaTheme="majorEastAsia" w:cstheme="majorEastAsia"/>
          <w:kern w:val="2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kern w:val="2"/>
          <w:sz w:val="30"/>
          <w:szCs w:val="30"/>
        </w:rPr>
        <w:t>2、公务接待费0万元</w:t>
      </w:r>
    </w:p>
    <w:p>
      <w:pPr>
        <w:pStyle w:val="6"/>
        <w:widowControl/>
        <w:spacing w:before="0" w:beforeAutospacing="0" w:after="0" w:afterAutospacing="0" w:line="480" w:lineRule="exact"/>
        <w:ind w:firstLine="900" w:firstLineChars="300"/>
        <w:jc w:val="both"/>
        <w:rPr>
          <w:rFonts w:asciiTheme="majorEastAsia" w:hAnsiTheme="majorEastAsia" w:eastAsiaTheme="majorEastAsia" w:cstheme="majorEastAsia"/>
          <w:kern w:val="2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kern w:val="2"/>
          <w:sz w:val="30"/>
          <w:szCs w:val="30"/>
        </w:rPr>
        <w:t>3、公务用车费0万元（公务用车运行维护费0万元，公务用车购置费 0 元）。</w:t>
      </w:r>
    </w:p>
    <w:p>
      <w:pPr>
        <w:pStyle w:val="6"/>
        <w:widowControl/>
        <w:spacing w:before="0" w:beforeAutospacing="0" w:after="0" w:afterAutospacing="0" w:line="480" w:lineRule="exact"/>
        <w:ind w:firstLine="600" w:firstLineChars="200"/>
        <w:jc w:val="both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三、部门整体支出绩效情况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Theme="majorEastAsia" w:hAnsiTheme="majorEastAsia" w:eastAsiaTheme="majorEastAsia" w:cstheme="majorEastAsia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财务管理制度建设情况：资金拨付严格按程序申报、审批，合理合规使用资金，确保财政资金安全。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Theme="majorEastAsia" w:hAnsiTheme="majorEastAsia" w:eastAsiaTheme="majorEastAsia" w:cstheme="majorEastAsia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资产管理：及时按照要求报送资产情况报表，确保各项资产核算准确、帐实相符、管理到位。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Theme="majorEastAsia" w:hAnsiTheme="majorEastAsia" w:eastAsiaTheme="majorEastAsia" w:cstheme="majorEastAsia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预决算公开：及时在县人民政府门户网站上进行了预决算公开。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Theme="majorEastAsia" w:hAnsiTheme="majorEastAsia" w:eastAsiaTheme="majorEastAsia" w:cstheme="majorEastAsia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Theme="majorEastAsia" w:hAnsiTheme="majorEastAsia" w:eastAsiaTheme="majorEastAsia" w:cstheme="majorEastAsia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认真履行职责，及时报送财政供养信息、存量资金等有关资料及报表。</w:t>
      </w:r>
    </w:p>
    <w:p>
      <w:pPr>
        <w:numPr>
          <w:ilvl w:val="0"/>
          <w:numId w:val="3"/>
        </w:numPr>
        <w:spacing w:line="480" w:lineRule="exact"/>
        <w:ind w:firstLine="600" w:firstLineChars="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存在的问题</w:t>
      </w:r>
    </w:p>
    <w:p>
      <w:pPr>
        <w:pStyle w:val="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>1、预算编制工作有待细化。预算编制不够明确和细化，预算编制的合理性需要提高，预算执行力度还要进一步加强。</w:t>
      </w:r>
    </w:p>
    <w:p>
      <w:pPr>
        <w:pStyle w:val="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hAnsiTheme="majorEastAsia" w:eastAsiaTheme="majorEastAsia" w:cstheme="majorEastAsia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>2、公用经费的支出数大于预算数。</w:t>
      </w:r>
    </w:p>
    <w:p>
      <w:pPr>
        <w:pStyle w:val="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>3、工会经费等人头经费严重不足。</w:t>
      </w:r>
    </w:p>
    <w:p>
      <w:pPr>
        <w:spacing w:line="480" w:lineRule="exact"/>
        <w:ind w:firstLine="600" w:firstLineChars="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五、改进措施和有关建议</w:t>
      </w:r>
    </w:p>
    <w:p>
      <w:pPr>
        <w:pStyle w:val="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hAnsiTheme="majorEastAsia" w:eastAsiaTheme="majorEastAsia" w:cstheme="majorEastAsia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pStyle w:val="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pStyle w:val="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hAnsiTheme="majorEastAsia" w:eastAsiaTheme="majorEastAsia" w:cstheme="majorEastAsia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>3、完善资产管理，抓好“三公”经费控制。把关“三公”经费支出的审核、审批，杜绝挪用和挤占其他预算资金行为；合理压缩“三公”经费支出。</w:t>
      </w:r>
    </w:p>
    <w:p>
      <w:pPr>
        <w:pStyle w:val="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hAnsiTheme="majorEastAsia" w:eastAsiaTheme="majorEastAsia" w:cstheme="majorEastAsia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>4、希望财政管理部门能落实好单位的社保缺口经费及工会缺口经费。</w:t>
      </w:r>
    </w:p>
    <w:p>
      <w:pPr>
        <w:pStyle w:val="6"/>
        <w:widowControl/>
        <w:spacing w:before="0" w:beforeAutospacing="0" w:after="0" w:afterAutospacing="0" w:line="480" w:lineRule="exact"/>
        <w:ind w:firstLine="420"/>
        <w:jc w:val="both"/>
        <w:rPr>
          <w:rFonts w:asciiTheme="majorEastAsia" w:hAnsiTheme="majorEastAsia" w:eastAsiaTheme="majorEastAsia" w:cstheme="majorEastAsia"/>
          <w:sz w:val="30"/>
          <w:szCs w:val="30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480" w:lineRule="exact"/>
        <w:ind w:firstLine="3900" w:firstLineChars="1300"/>
        <w:jc w:val="right"/>
        <w:rPr>
          <w:rFonts w:asciiTheme="majorEastAsia" w:hAnsiTheme="majorEastAsia" w:eastAsiaTheme="majorEastAsia" w:cstheme="majorEastAsia"/>
          <w:sz w:val="30"/>
          <w:szCs w:val="30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480" w:lineRule="exact"/>
        <w:ind w:firstLine="3900" w:firstLineChars="1300"/>
        <w:jc w:val="center"/>
        <w:rPr>
          <w:rFonts w:asciiTheme="majorEastAsia" w:hAnsiTheme="majorEastAsia" w:eastAsiaTheme="majorEastAsia" w:cstheme="majorEastAsia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>隆回县小沙江镇中心学校</w:t>
      </w:r>
    </w:p>
    <w:p>
      <w:pPr>
        <w:pStyle w:val="6"/>
        <w:widowControl/>
        <w:spacing w:before="0" w:beforeAutospacing="0" w:after="0" w:afterAutospacing="0" w:line="480" w:lineRule="exact"/>
        <w:ind w:firstLine="420"/>
        <w:jc w:val="center"/>
        <w:rPr>
          <w:rFonts w:asciiTheme="majorEastAsia" w:hAnsiTheme="majorEastAsia" w:eastAsiaTheme="majorEastAsia" w:cstheme="majorEastAsia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 xml:space="preserve">                        2022年4月21日</w:t>
      </w:r>
    </w:p>
    <w:p>
      <w:pPr>
        <w:spacing w:line="480" w:lineRule="exact"/>
        <w:rPr>
          <w:rFonts w:asciiTheme="majorEastAsia" w:hAnsiTheme="majorEastAsia" w:eastAsiaTheme="majorEastAsia" w:cstheme="majorEastAsia"/>
          <w:sz w:val="30"/>
          <w:szCs w:val="30"/>
        </w:rPr>
      </w:pPr>
    </w:p>
    <w:p>
      <w:pPr>
        <w:spacing w:line="480" w:lineRule="exact"/>
        <w:rPr>
          <w:rFonts w:asciiTheme="majorEastAsia" w:hAnsiTheme="majorEastAsia" w:eastAsiaTheme="majorEastAsia" w:cstheme="majorEastAsia"/>
          <w:kern w:val="0"/>
          <w:sz w:val="30"/>
          <w:szCs w:val="30"/>
        </w:rPr>
      </w:pPr>
    </w:p>
    <w:p>
      <w:pPr>
        <w:spacing w:line="480" w:lineRule="exact"/>
        <w:rPr>
          <w:rFonts w:asciiTheme="majorEastAsia" w:hAnsiTheme="majorEastAsia" w:eastAsiaTheme="majorEastAsia" w:cstheme="majorEastAsia"/>
          <w:kern w:val="0"/>
          <w:sz w:val="30"/>
          <w:szCs w:val="30"/>
        </w:rPr>
      </w:pPr>
    </w:p>
    <w:p>
      <w:pPr>
        <w:spacing w:line="480" w:lineRule="exact"/>
        <w:rPr>
          <w:rFonts w:asciiTheme="majorEastAsia" w:hAnsiTheme="majorEastAsia" w:eastAsiaTheme="majorEastAsia" w:cstheme="majorEastAsia"/>
          <w:sz w:val="30"/>
          <w:szCs w:val="30"/>
        </w:rPr>
      </w:pPr>
    </w:p>
    <w:p>
      <w:pPr>
        <w:spacing w:line="480" w:lineRule="exact"/>
        <w:rPr>
          <w:rFonts w:asciiTheme="majorEastAsia" w:hAnsiTheme="majorEastAsia" w:eastAsiaTheme="majorEastAsia" w:cstheme="majorEastAsia"/>
          <w:sz w:val="30"/>
          <w:szCs w:val="30"/>
        </w:rPr>
      </w:pPr>
    </w:p>
    <w:p>
      <w:pPr>
        <w:spacing w:line="480" w:lineRule="exact"/>
        <w:rPr>
          <w:rFonts w:asciiTheme="majorEastAsia" w:hAnsiTheme="majorEastAsia" w:eastAsiaTheme="majorEastAsia" w:cstheme="majorEastAsia"/>
          <w:sz w:val="30"/>
          <w:szCs w:val="30"/>
        </w:rPr>
      </w:pPr>
    </w:p>
    <w:p>
      <w:pPr>
        <w:spacing w:line="480" w:lineRule="exact"/>
        <w:rPr>
          <w:rFonts w:asciiTheme="majorEastAsia" w:hAnsiTheme="majorEastAsia" w:eastAsiaTheme="majorEastAsia" w:cstheme="majorEastAsia"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9"/>
        <w:rFonts w:hint="eastAsia" w:cs="宋体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24367"/>
    <w:multiLevelType w:val="singleLevel"/>
    <w:tmpl w:val="2D22436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5B725C9"/>
    <w:multiLevelType w:val="multilevel"/>
    <w:tmpl w:val="55B725C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7AA23B"/>
    <w:multiLevelType w:val="singleLevel"/>
    <w:tmpl w:val="667AA23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11489"/>
    <w:rsid w:val="00432509"/>
    <w:rsid w:val="006B6CCB"/>
    <w:rsid w:val="007F7267"/>
    <w:rsid w:val="008479C9"/>
    <w:rsid w:val="008552CF"/>
    <w:rsid w:val="00E93609"/>
    <w:rsid w:val="00F53D3C"/>
    <w:rsid w:val="00FF5E8F"/>
    <w:rsid w:val="058370D3"/>
    <w:rsid w:val="0E2D5AA4"/>
    <w:rsid w:val="13BE4F48"/>
    <w:rsid w:val="2AD50F6B"/>
    <w:rsid w:val="2B5B3B3D"/>
    <w:rsid w:val="5E8227DB"/>
    <w:rsid w:val="67DF1F77"/>
    <w:rsid w:val="68F53538"/>
    <w:rsid w:val="7B711489"/>
    <w:rsid w:val="7DD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2108</Words>
  <Characters>2210</Characters>
  <Lines>18</Lines>
  <Paragraphs>5</Paragraphs>
  <TotalTime>398</TotalTime>
  <ScaleCrop>false</ScaleCrop>
  <LinksUpToDate>false</LinksUpToDate>
  <CharactersWithSpaces>2366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2022-04-20T06:32:00Z</dcterms:created>
  <dc:creator>曦微。</dc:creator>
  <cp:lastModifiedBy>Administrator</cp:lastModifiedBy>
  <dcterms:modified xsi:type="dcterms:W3CDTF">2022-04-24T07:26:16Z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E5739DB5D6634546BC6614B808620EDD</vt:lpwstr>
  </property>
  <property fmtid="{D5CDD505-2E9C-101B-9397-08002B2CF9AE}" pid="4" name="commondata">
    <vt:lpwstr>eyJoZGlkIjoiYTkxMzljZjRmYzhiYzM5YWFjOTEyY2RiMzljOTI2MzQifQ==</vt:lpwstr>
  </property>
</Properties>
</file>