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b/>
          <w:bCs/>
          <w:kern w:val="0"/>
          <w:szCs w:val="21"/>
        </w:rPr>
      </w:pPr>
      <w:r>
        <w:rPr>
          <w:rFonts w:hint="eastAsia" w:ascii="方正小标宋简体" w:eastAsia="方正小标宋简体"/>
          <w:b/>
          <w:bCs/>
          <w:kern w:val="0"/>
          <w:szCs w:val="21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6"/>
        <w:tblW w:w="9107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4"/>
        <w:gridCol w:w="1171"/>
        <w:gridCol w:w="2377"/>
        <w:gridCol w:w="607"/>
        <w:gridCol w:w="568"/>
        <w:gridCol w:w="994"/>
        <w:gridCol w:w="561"/>
        <w:gridCol w:w="7"/>
        <w:gridCol w:w="995"/>
        <w:gridCol w:w="495"/>
        <w:gridCol w:w="767"/>
        <w:gridCol w:w="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84" w:hRule="atLeast"/>
        </w:trPr>
        <w:tc>
          <w:tcPr>
            <w:tcW w:w="909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045" w:hRule="exact"/>
        </w:trPr>
        <w:tc>
          <w:tcPr>
            <w:tcW w:w="5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387" w:type="dxa"/>
            <w:gridSpan w:val="1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邵阳市生态环境局隆回分局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70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84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35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097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387" w:type="dxa"/>
            <w:gridSpan w:val="10"/>
          </w:tcPr>
          <w:p>
            <w:pPr>
              <w:spacing w:line="340" w:lineRule="exact"/>
              <w:ind w:firstLine="420" w:firstLineChars="20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_GB2312" w:hAnsi="仿宋" w:eastAsia="楷体_GB2312" w:cs="仿宋_GB2312"/>
                <w:szCs w:val="21"/>
              </w:rPr>
              <w:t>贯彻执行生态环境领域的法律法规和方针政策及规章制度；组织编制本辖区环境功能区划和水功能区划，执行环境保护标准；统一监督管理本辖区生态环境污染防治工作；按照建设项目分级管理原则，负责审核审批本辖区内新建、改建、扩建建设项目的环境影响评价文件，加强建设项目污染防治“三同时”（同时设计、同时施工、同时投入使用）管理，指导建设项目开展验收工作；</w:t>
            </w:r>
            <w:r>
              <w:rPr>
                <w:rFonts w:hint="eastAsia" w:ascii="楷体_GB2312" w:hAnsi="仿宋" w:eastAsia="楷体_GB2312" w:cs="仿宋_GB2312"/>
                <w:color w:val="000000"/>
                <w:szCs w:val="21"/>
              </w:rPr>
              <w:t>依法负责生态环境保护综合行政执法</w:t>
            </w:r>
            <w:r>
              <w:rPr>
                <w:rFonts w:hint="eastAsia" w:ascii="楷体_GB2312" w:hAnsi="仿宋" w:eastAsia="楷体_GB2312" w:cs="仿宋_GB2312"/>
                <w:szCs w:val="21"/>
              </w:rPr>
              <w:t>；会同相关部门实施生态环境保护责任制、开展污染防治攻坚战、监督管理污染减排项目和节能工作的实施；组织开展生态环境执法监测工作。负责本地执法监测工作；依照省、市生态环境保护责任规定，负责本辖区内生态环境方面的群众来信来访、环境污染事故和纠纷的调查处理；负责本辖区生态环境保护宣传教育、生态环境科技、环境统计、环境应急管理、污染源调查、排放许可证发放等工作；完成市生态环境局交办的其他任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33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7" w:type="dxa"/>
            <w:vAlign w:val="bottom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5" w:type="dxa"/>
            <w:gridSpan w:val="2"/>
            <w:vAlign w:val="bottom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1952.38</w:t>
            </w:r>
          </w:p>
        </w:tc>
        <w:tc>
          <w:tcPr>
            <w:tcW w:w="1555" w:type="dxa"/>
            <w:gridSpan w:val="2"/>
          </w:tcPr>
          <w:p>
            <w:pPr>
              <w:spacing w:line="560" w:lineRule="exact"/>
              <w:ind w:firstLine="210" w:firstLineChars="1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2" w:type="dxa"/>
            <w:gridSpan w:val="2"/>
          </w:tcPr>
          <w:p>
            <w:pPr>
              <w:spacing w:line="56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182.7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83" w:type="dxa"/>
            <w:gridSpan w:val="2"/>
            <w:vMerge w:val="restart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4340.62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70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2175</w:t>
            </w:r>
          </w:p>
        </w:tc>
        <w:tc>
          <w:tcPr>
            <w:tcW w:w="1555" w:type="dxa"/>
            <w:gridSpan w:val="2"/>
          </w:tcPr>
          <w:p>
            <w:pPr>
              <w:spacing w:line="560" w:lineRule="exact"/>
              <w:ind w:firstLine="210" w:firstLineChars="1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2" w:type="dxa"/>
            <w:gridSpan w:val="2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30.54</w:t>
            </w:r>
          </w:p>
        </w:tc>
        <w:tc>
          <w:tcPr>
            <w:tcW w:w="49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83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90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1460.48</w:t>
            </w:r>
          </w:p>
        </w:tc>
        <w:tc>
          <w:tcPr>
            <w:tcW w:w="15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522.44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83" w:type="dxa"/>
            <w:gridSpan w:val="2"/>
            <w:vMerge w:val="restart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 w:val="15"/>
                <w:szCs w:val="15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5"/>
                <w:szCs w:val="15"/>
                <w:lang w:val="en-US" w:eastAsia="zh-CN"/>
              </w:rPr>
              <w:t>1982.92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82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7.84</w:t>
            </w:r>
          </w:p>
        </w:tc>
        <w:tc>
          <w:tcPr>
            <w:tcW w:w="1562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5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23" w:hRule="exact"/>
        </w:trPr>
        <w:tc>
          <w:tcPr>
            <w:tcW w:w="5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387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169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387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24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387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21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387" w:type="dxa"/>
            <w:gridSpan w:val="1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267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267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365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387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44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387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55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387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155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387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74" w:hRule="exact"/>
        </w:trPr>
        <w:tc>
          <w:tcPr>
            <w:tcW w:w="53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387" w:type="dxa"/>
            <w:gridSpan w:val="10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277" w:hRule="atLeas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558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生态环境质量状况提升。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上级督察交办件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和信访舆情投诉件快处快分。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严厉</w:t>
            </w:r>
            <w:r>
              <w:rPr>
                <w:rFonts w:hint="eastAsia" w:ascii="楷体" w:hAnsi="楷体" w:eastAsia="楷体" w:cs="楷体"/>
                <w:szCs w:val="21"/>
              </w:rPr>
              <w:t>打击生态环境违法行为。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污染防治攻坚战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工作位居全市第一</w:t>
            </w:r>
            <w:r>
              <w:rPr>
                <w:rFonts w:hint="eastAsia" w:ascii="楷体" w:hAnsi="楷体" w:eastAsia="楷体" w:cs="楷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严把</w:t>
            </w:r>
            <w:r>
              <w:rPr>
                <w:rFonts w:hint="eastAsia" w:ascii="楷体" w:hAnsi="楷体" w:eastAsia="楷体" w:cs="楷体"/>
                <w:szCs w:val="21"/>
              </w:rPr>
              <w:t>生态环境项目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准入关口。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蓝天保卫战工作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扎实推进，前三季度工作考核位居全市第一。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实行“全覆盖”式 </w:t>
            </w:r>
            <w:r>
              <w:rPr>
                <w:rFonts w:hint="eastAsia" w:ascii="楷体" w:hAnsi="楷体" w:eastAsia="楷体" w:cs="楷体"/>
                <w:szCs w:val="21"/>
              </w:rPr>
              <w:t>生态环境应急监测工作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创新</w:t>
            </w:r>
            <w:r>
              <w:rPr>
                <w:rFonts w:hint="eastAsia" w:ascii="楷体" w:hAnsi="楷体" w:eastAsia="楷体" w:cs="楷体"/>
                <w:szCs w:val="21"/>
              </w:rPr>
              <w:t>环保宣传方式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162" w:hRule="atLeas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558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547" w:hRule="atLeas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558" w:type="dxa"/>
            <w:gridSpan w:val="11"/>
          </w:tcPr>
          <w:p>
            <w:pPr>
              <w:rPr>
                <w:rFonts w:ascii="楷体_GB2312" w:hAnsi="楷体" w:eastAsia="楷体_GB2312" w:cs="楷体"/>
                <w:szCs w:val="21"/>
              </w:rPr>
            </w:pPr>
            <w:r>
              <w:rPr>
                <w:rFonts w:hint="eastAsia" w:ascii="楷体_GB2312" w:hAnsi="楷体" w:eastAsia="楷体_GB2312" w:cs="楷体"/>
                <w:szCs w:val="21"/>
              </w:rPr>
              <w:t>1、污染防治攻坚战压力大，执法装备和设备落后，不利于生态环境执法工作的需要，建议加大装备设备经费投入；</w:t>
            </w:r>
          </w:p>
          <w:p>
            <w:pPr>
              <w:rPr>
                <w:rFonts w:ascii="楷体_GB2312" w:hAnsi="楷体" w:eastAsia="楷体_GB2312" w:cs="楷体"/>
                <w:szCs w:val="21"/>
              </w:rPr>
            </w:pPr>
            <w:r>
              <w:rPr>
                <w:rFonts w:hint="eastAsia" w:ascii="楷体_GB2312" w:hAnsi="楷体" w:eastAsia="楷体_GB2312" w:cs="楷体"/>
                <w:szCs w:val="21"/>
              </w:rPr>
              <w:t>2、监测站专业技术人员力量薄弱，建议加强业务技术培训；</w:t>
            </w:r>
          </w:p>
          <w:p>
            <w:pPr>
              <w:rPr>
                <w:rFonts w:ascii="楷体_GB2312" w:hAnsi="楷体" w:eastAsia="楷体_GB2312" w:cs="楷体"/>
                <w:szCs w:val="21"/>
              </w:rPr>
            </w:pPr>
            <w:r>
              <w:rPr>
                <w:rFonts w:hint="eastAsia" w:ascii="楷体_GB2312" w:hAnsi="仿宋" w:eastAsia="楷体_GB2312" w:cs="仿宋"/>
                <w:bCs/>
                <w:szCs w:val="21"/>
              </w:rPr>
              <w:t>3、生态环境污染投诉居高不下。</w:t>
            </w:r>
            <w:r>
              <w:rPr>
                <w:rFonts w:hint="eastAsia" w:ascii="楷体_GB2312" w:hAnsi="仿宋" w:eastAsia="楷体_GB2312"/>
                <w:szCs w:val="21"/>
              </w:rPr>
              <w:t>尤其禽畜养殖污染投诉频繁，处理难度大；</w:t>
            </w:r>
          </w:p>
          <w:p>
            <w:pPr>
              <w:rPr>
                <w:rFonts w:ascii="楷体_GB2312" w:hAnsi="楷体" w:eastAsia="楷体_GB2312" w:cs="楷体"/>
                <w:szCs w:val="21"/>
              </w:rPr>
            </w:pPr>
            <w:r>
              <w:rPr>
                <w:rFonts w:hint="eastAsia" w:ascii="楷体_GB2312" w:hAnsi="楷体" w:eastAsia="楷体_GB2312" w:cs="楷体"/>
                <w:szCs w:val="21"/>
              </w:rPr>
              <w:t>4、加大我局经费预算，确保各项工作正常开展。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667" w:hRule="atLeast"/>
        </w:trPr>
        <w:tc>
          <w:tcPr>
            <w:tcW w:w="534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主管部门意见</w:t>
            </w:r>
          </w:p>
        </w:tc>
        <w:tc>
          <w:tcPr>
            <w:tcW w:w="8558" w:type="dxa"/>
            <w:gridSpan w:val="11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肖蓉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13873938569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时间：202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567" w:right="1588" w:bottom="284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DDE184"/>
    <w:multiLevelType w:val="singleLevel"/>
    <w:tmpl w:val="D0DDE1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MzVjMzJiYzBjZGNjODAyYmZhMDdiYjMyYjk2NmIifQ=="/>
  </w:docVars>
  <w:rsids>
    <w:rsidRoot w:val="00F244AE"/>
    <w:rsid w:val="00023E26"/>
    <w:rsid w:val="000579AD"/>
    <w:rsid w:val="000C7AA7"/>
    <w:rsid w:val="000E438E"/>
    <w:rsid w:val="001775BE"/>
    <w:rsid w:val="00182EDB"/>
    <w:rsid w:val="001D4DAB"/>
    <w:rsid w:val="002034EE"/>
    <w:rsid w:val="00213BB8"/>
    <w:rsid w:val="0024216C"/>
    <w:rsid w:val="002B0575"/>
    <w:rsid w:val="003E698D"/>
    <w:rsid w:val="00441151"/>
    <w:rsid w:val="0046456E"/>
    <w:rsid w:val="004C2A9E"/>
    <w:rsid w:val="00562433"/>
    <w:rsid w:val="005D4EB3"/>
    <w:rsid w:val="00631380"/>
    <w:rsid w:val="0064034F"/>
    <w:rsid w:val="006B5CC4"/>
    <w:rsid w:val="00757CCD"/>
    <w:rsid w:val="00770E66"/>
    <w:rsid w:val="007F14CB"/>
    <w:rsid w:val="008517A7"/>
    <w:rsid w:val="008B3E20"/>
    <w:rsid w:val="009750CA"/>
    <w:rsid w:val="00993CFD"/>
    <w:rsid w:val="009E4BCC"/>
    <w:rsid w:val="00A65FA0"/>
    <w:rsid w:val="00A76CCA"/>
    <w:rsid w:val="00B21C11"/>
    <w:rsid w:val="00BD02D5"/>
    <w:rsid w:val="00C928F8"/>
    <w:rsid w:val="00D1646C"/>
    <w:rsid w:val="00D833FF"/>
    <w:rsid w:val="00DD0E97"/>
    <w:rsid w:val="00DD30FB"/>
    <w:rsid w:val="00E354BE"/>
    <w:rsid w:val="00E62ABC"/>
    <w:rsid w:val="00F244AE"/>
    <w:rsid w:val="00F31DFA"/>
    <w:rsid w:val="00F40523"/>
    <w:rsid w:val="011F0A47"/>
    <w:rsid w:val="02E82CBA"/>
    <w:rsid w:val="03571205"/>
    <w:rsid w:val="07193B42"/>
    <w:rsid w:val="0A9466B3"/>
    <w:rsid w:val="0DEA1C7D"/>
    <w:rsid w:val="1CA17E61"/>
    <w:rsid w:val="235B076F"/>
    <w:rsid w:val="2E9B72ED"/>
    <w:rsid w:val="2FB97037"/>
    <w:rsid w:val="35EF677B"/>
    <w:rsid w:val="37401B4F"/>
    <w:rsid w:val="38D940EC"/>
    <w:rsid w:val="3F641214"/>
    <w:rsid w:val="416127FE"/>
    <w:rsid w:val="49512BC6"/>
    <w:rsid w:val="559614DF"/>
    <w:rsid w:val="588A4833"/>
    <w:rsid w:val="648E0CC6"/>
    <w:rsid w:val="64E22FF2"/>
    <w:rsid w:val="6DED22E0"/>
    <w:rsid w:val="72C5408B"/>
    <w:rsid w:val="7C566FBE"/>
    <w:rsid w:val="7C850085"/>
    <w:rsid w:val="7EE52D82"/>
    <w:rsid w:val="7FC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首行缩进 2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4992</Words>
  <Characters>5380</Characters>
  <Lines>37</Lines>
  <Paragraphs>10</Paragraphs>
  <TotalTime>38</TotalTime>
  <ScaleCrop>false</ScaleCrop>
  <LinksUpToDate>false</LinksUpToDate>
  <CharactersWithSpaces>5512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2021-04-27T01:23:00Z</dcterms:created>
  <dc:creator>lenovo</dc:creator>
  <cp:lastModifiedBy>WPS_1337492109</cp:lastModifiedBy>
  <cp:lastPrinted>2022-04-27T02:32:00Z</cp:lastPrinted>
  <dcterms:modified xsi:type="dcterms:W3CDTF">2023-09-11T02:39:13Z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11B7FA1D3C5D4E6289AF9997E131945F_13</vt:lpwstr>
  </property>
</Properties>
</file>