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color w:val="auto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auto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color w:val="auto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color w:val="auto"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color w:val="auto"/>
          <w:kern w:val="0"/>
          <w:sz w:val="36"/>
          <w:szCs w:val="36"/>
        </w:rPr>
        <w:t>部门整体支出绩效自评基础数据表</w:t>
      </w:r>
    </w:p>
    <w:tbl>
      <w:tblPr>
        <w:tblStyle w:val="2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197"/>
        <w:gridCol w:w="780"/>
        <w:gridCol w:w="567"/>
        <w:gridCol w:w="992"/>
        <w:gridCol w:w="228"/>
        <w:gridCol w:w="983"/>
        <w:gridCol w:w="433"/>
        <w:gridCol w:w="1119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（</w:t>
            </w:r>
            <w:r>
              <w:rPr>
                <w:rFonts w:ascii="黑体" w:hAnsi="黑体" w:eastAsia="黑体" w:cs="黑体"/>
                <w:color w:val="auto"/>
                <w:sz w:val="24"/>
              </w:rPr>
              <w:t>201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单位名称（盖章）</w:t>
            </w:r>
          </w:p>
        </w:tc>
        <w:tc>
          <w:tcPr>
            <w:tcW w:w="7299" w:type="dxa"/>
            <w:gridSpan w:val="8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default" w:ascii="楷体" w:hAnsi="楷体" w:eastAsia="楷体" w:cs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  <w:lang w:val="en-US" w:eastAsia="zh-CN"/>
              </w:rPr>
              <w:t>隆回县公用事业服务中心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实有人数</w:t>
            </w:r>
          </w:p>
        </w:tc>
        <w:tc>
          <w:tcPr>
            <w:tcW w:w="2763" w:type="dxa"/>
            <w:gridSpan w:val="4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234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部门职能概述</w:t>
            </w:r>
          </w:p>
        </w:tc>
        <w:tc>
          <w:tcPr>
            <w:tcW w:w="729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1、宣传、贯彻、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落实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国家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省、市、县有关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城市公用事业工作的法律、法规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和政策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。2、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负责县城规划区内园林绿化建设、城市绿化设施及公园的运行和维护服务，负责城市道路、城市桥梁、城市照明、城市排水管网、污水泵站、道路交通隔离护栏、地下管廊等市政设施的运行和维护服务；负责县建制镇的市政公用设施业务技术指导工作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3、承担县委、县政府和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上级主管部门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交办的其它事项。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年度收入（万元）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县财政预算安排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  <w:lang w:val="en-US" w:eastAsia="zh-CN"/>
              </w:rPr>
              <w:t>1729.32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非税收入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  <w:lang w:val="en-US" w:eastAsia="zh-CN"/>
              </w:rPr>
              <w:t>64.5</w:t>
            </w:r>
          </w:p>
        </w:tc>
        <w:tc>
          <w:tcPr>
            <w:tcW w:w="4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合计</w:t>
            </w:r>
          </w:p>
        </w:tc>
        <w:tc>
          <w:tcPr>
            <w:tcW w:w="1119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  <w:lang w:val="en-US" w:eastAsia="zh-CN"/>
              </w:rPr>
              <w:t>1940.48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85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  <w:tc>
          <w:tcPr>
            <w:tcW w:w="2197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中央省市安排资金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其他收入</w:t>
            </w:r>
          </w:p>
        </w:tc>
        <w:tc>
          <w:tcPr>
            <w:tcW w:w="98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  <w:lang w:val="en-US" w:eastAsia="zh-CN"/>
              </w:rPr>
              <w:t>146.66</w:t>
            </w:r>
          </w:p>
        </w:tc>
        <w:tc>
          <w:tcPr>
            <w:tcW w:w="4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  <w:tc>
          <w:tcPr>
            <w:tcW w:w="1119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（万元）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基本支出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  <w:lang w:val="en-US" w:eastAsia="zh-CN"/>
              </w:rPr>
              <w:t>773.24</w:t>
            </w:r>
          </w:p>
        </w:tc>
        <w:tc>
          <w:tcPr>
            <w:tcW w:w="12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项目支出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1080.81</w:t>
            </w:r>
          </w:p>
        </w:tc>
        <w:tc>
          <w:tcPr>
            <w:tcW w:w="43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合计</w:t>
            </w:r>
          </w:p>
        </w:tc>
        <w:tc>
          <w:tcPr>
            <w:tcW w:w="11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  <w:lang w:val="en-US" w:eastAsia="zh-CN"/>
              </w:rPr>
              <w:t>1854.05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  <w:tc>
          <w:tcPr>
            <w:tcW w:w="219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其中三公经费支出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  <w:lang w:val="en-US" w:eastAsia="zh-CN"/>
              </w:rPr>
              <w:t>1.44</w:t>
            </w:r>
          </w:p>
        </w:tc>
        <w:tc>
          <w:tcPr>
            <w:tcW w:w="122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  <w:tc>
          <w:tcPr>
            <w:tcW w:w="983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  <w:tc>
          <w:tcPr>
            <w:tcW w:w="43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A3"/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1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三公经费管理情况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非税收入完成情况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有□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政府采购及金额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否</w:t>
            </w:r>
          </w:p>
          <w:p>
            <w:pPr>
              <w:spacing w:line="360" w:lineRule="exact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color w:val="auto"/>
                <w:szCs w:val="21"/>
                <w:lang w:val="en-US" w:eastAsia="zh-CN"/>
              </w:rPr>
              <w:t>112.6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color w:val="auto"/>
                <w:szCs w:val="21"/>
                <w:lang w:val="en-US" w:eastAsia="zh-CN"/>
              </w:rPr>
              <w:t>112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预算执行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否□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追加金额</w:t>
            </w:r>
            <w:r>
              <w:rPr>
                <w:rFonts w:hint="eastAsia" w:ascii="楷体" w:hAnsi="楷体" w:eastAsia="楷体" w:cs="楷体"/>
                <w:color w:val="auto"/>
                <w:szCs w:val="21"/>
                <w:lang w:val="en-US" w:eastAsia="zh-CN"/>
              </w:rPr>
              <w:t>60.96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否□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结余金额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Cs w:val="21"/>
                <w:lang w:val="en-US" w:eastAsia="zh-CN"/>
              </w:rPr>
              <w:t>86.43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公开时间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color w:val="auto"/>
                <w:szCs w:val="21"/>
                <w:lang w:val="en-US" w:eastAsia="zh-CN"/>
              </w:rPr>
              <w:t>2019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公开方式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单位内部□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财务管理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52"/>
            </w:r>
            <w:r>
              <w:rPr>
                <w:rFonts w:ascii="Arial" w:hAnsi="Arial" w:cs="Arial"/>
                <w:color w:val="auto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资金管理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资产管理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职责履行</w:t>
            </w:r>
          </w:p>
        </w:tc>
        <w:tc>
          <w:tcPr>
            <w:tcW w:w="7299" w:type="dxa"/>
            <w:gridSpan w:val="8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color w:val="auto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主要绩效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年，我单位积极履职，强化管理，较好的完成了年度工作目标。通过加强预算收支管理，不断建立健全内部管理制度，梳理内部管理流程，部门整体支出管理水平得到提升。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切实做好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了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厉行节约工作，严格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控制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三公”经费支出规模和比例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，加强对公务用车的管理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全面落实各项管理制度要求，努力降低行政成本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积极推进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城市公用事业精细化维护和管理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着重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维护了路灯、园林、排水、护栏、道路、污水提升泵站等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市政公共设施的安全正常运转，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认真做好了春节、国庆期间县城美化亮化工作，使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市民生活环境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改善。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479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自评结论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797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问题与建议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1、预算管理意识不强；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2、财务管理制度不够完善，财务审核不够严格；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3、资产管理不够规范；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default" w:ascii="楷体" w:hAnsi="楷体" w:eastAsia="楷体" w:cs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4、业务学习氛围不够浓厚。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858" w:hRule="atLeast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主管部门意见</w:t>
            </w:r>
          </w:p>
        </w:tc>
        <w:tc>
          <w:tcPr>
            <w:tcW w:w="8467" w:type="dxa"/>
            <w:gridSpan w:val="9"/>
            <w:noWrap w:val="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color w:val="auto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color w:val="auto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color w:val="auto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color w:val="auto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color w:val="auto"/>
          <w:szCs w:val="21"/>
        </w:rPr>
      </w:pPr>
    </w:p>
    <w:p>
      <w:pPr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填报人：</w:t>
      </w:r>
      <w:r>
        <w:rPr>
          <w:rFonts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>袁艳云</w:t>
      </w:r>
      <w:r>
        <w:rPr>
          <w:rFonts w:ascii="宋体" w:hAnsi="宋体"/>
          <w:color w:val="auto"/>
          <w:szCs w:val="21"/>
        </w:rPr>
        <w:t xml:space="preserve">            </w:t>
      </w:r>
      <w:r>
        <w:rPr>
          <w:rFonts w:hint="eastAsia" w:ascii="宋体" w:hAnsi="宋体"/>
          <w:color w:val="auto"/>
          <w:szCs w:val="21"/>
        </w:rPr>
        <w:t>联系电话：</w:t>
      </w:r>
      <w:r>
        <w:rPr>
          <w:rFonts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>13707393267</w:t>
      </w:r>
      <w:r>
        <w:rPr>
          <w:rFonts w:ascii="宋体" w:hAnsi="宋体"/>
          <w:color w:val="auto"/>
          <w:szCs w:val="21"/>
        </w:rPr>
        <w:t xml:space="preserve">     </w:t>
      </w:r>
      <w:r>
        <w:rPr>
          <w:rFonts w:hint="eastAsia" w:ascii="宋体" w:hAnsi="宋体"/>
          <w:color w:val="auto"/>
          <w:szCs w:val="21"/>
        </w:rPr>
        <w:t>时间：</w:t>
      </w:r>
      <w:r>
        <w:rPr>
          <w:rFonts w:hint="eastAsia" w:ascii="宋体" w:hAnsi="宋体"/>
          <w:color w:val="auto"/>
          <w:szCs w:val="21"/>
          <w:lang w:val="en-US" w:eastAsia="zh-CN"/>
        </w:rPr>
        <w:t>2020</w:t>
      </w:r>
      <w:r>
        <w:rPr>
          <w:rFonts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30</w:t>
      </w:r>
      <w:r>
        <w:rPr>
          <w:rFonts w:ascii="宋体" w:hAnsi="宋体"/>
          <w:color w:val="auto"/>
          <w:szCs w:val="21"/>
        </w:rPr>
        <w:t xml:space="preserve">   </w:t>
      </w:r>
      <w:r>
        <w:rPr>
          <w:rFonts w:hint="eastAsia" w:ascii="宋体" w:hAnsi="宋体"/>
          <w:color w:val="auto"/>
          <w:szCs w:val="21"/>
        </w:rPr>
        <w:t>日</w:t>
      </w:r>
    </w:p>
    <w:p>
      <w:pPr>
        <w:ind w:firstLine="420" w:firstLineChars="200"/>
        <w:rPr>
          <w:rFonts w:hint="eastAsia" w:ascii="宋体" w:hAnsi="宋体"/>
          <w:color w:val="auto"/>
          <w:szCs w:val="21"/>
        </w:rPr>
      </w:pPr>
    </w:p>
    <w:p>
      <w:pPr>
        <w:ind w:firstLine="420" w:firstLineChars="200"/>
        <w:rPr>
          <w:rFonts w:hint="eastAsia" w:eastAsia="黑体"/>
          <w:color w:val="auto"/>
          <w:kern w:val="0"/>
        </w:rPr>
      </w:pPr>
      <w:r>
        <w:rPr>
          <w:rFonts w:hint="eastAsia" w:eastAsia="黑体"/>
          <w:color w:val="auto"/>
          <w:kern w:val="0"/>
        </w:rPr>
        <w:t>注：自评结论填“优、良、中、差”。</w:t>
      </w:r>
      <w:bookmarkStart w:id="0" w:name="_GoBack"/>
      <w:bookmarkEnd w:id="0"/>
    </w:p>
    <w:p/>
    <w:sectPr>
      <w:pgSz w:w="11906" w:h="16838"/>
      <w:pgMar w:top="1440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D759A"/>
    <w:rsid w:val="336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2020-04-20T08:03:00Z</dcterms:created>
  <dc:creator>如云荡漾</dc:creator>
  <cp:lastModifiedBy>如云荡漾</cp:lastModifiedBy>
  <dcterms:modified xsi:type="dcterms:W3CDTF">2020-04-20T08:04:39Z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