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42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415"/>
        <w:gridCol w:w="990"/>
        <w:gridCol w:w="480"/>
        <w:gridCol w:w="934"/>
        <w:gridCol w:w="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80" w:hRule="atLeast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3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426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隆回县公用事业服务中心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66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90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36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42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1、宣传、贯彻、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落实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省、市、县有关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城市公用事业工作的法律、法规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和政策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责县城规划区内园林绿化建设、城市绿化设施及公园的运行和维护服务，负责城市道路、城市桥梁、城市照明、城市排水管网、污水泵站、道路交通隔离护栏、地下管廊等市政设施的运行和维护服务；负责县建制镇的市政公用设施业务技术指导工作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3、承担县委、县政府和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上级主管部门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交办的其它事项。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2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1593.08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24.10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05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2234.22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5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490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127.04</w:t>
            </w: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6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705.18</w:t>
            </w:r>
          </w:p>
        </w:tc>
        <w:tc>
          <w:tcPr>
            <w:tcW w:w="14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1053.87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1759.05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08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7.14</w:t>
            </w:r>
          </w:p>
        </w:tc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43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2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4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8.8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74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475.17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28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61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426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41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594" w:type="dxa"/>
            <w:gridSpan w:val="10"/>
            <w:noWrap w:val="0"/>
            <w:vAlign w:val="center"/>
          </w:tcPr>
          <w:p>
            <w:pPr>
              <w:ind w:firstLine="120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年，我单位积极履职，强化管理，较好的完成了年度工作目标。通过加强预算收支管理，不断建立健全内部管理制度，梳理内部管理流程，部门整体支出管理水平得到提升。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切实做好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了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厉行节约工作，严格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控制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三公”经费支出规模和比例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，加强对公务用车的管理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全面落实各项管理制度要求，努力降低行政成本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积极推进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城市公用事业精细化维护和管理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着重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维护了路灯、园林、排水、护栏、道路、污水提升泵站等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市政公共设施的安全正常运转，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认真做好了春节、国庆期间县城美化亮化工作，使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市民生活环境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697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5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34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594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1、国有资产使用管理规范性有待进一步加强；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2、内部控制制度有待进一步完善；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3、预算管理意识有待进一步加强。</w:t>
            </w:r>
          </w:p>
          <w:p>
            <w:pPr>
              <w:pStyle w:val="2"/>
              <w:numPr>
                <w:ilvl w:val="0"/>
                <w:numId w:val="0"/>
              </w:numPr>
              <w:ind w:firstLine="1680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974" w:hRule="atLeast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594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袁艳云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13707393267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2021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48"/>
          <w:szCs w:val="48"/>
        </w:rPr>
        <w:t>部门整体支出绩效自评报告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为确实做好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年度部门整体支出绩效自评工作，提高财政资金使用效益，根据县财政局《关于开展20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部门整体支出和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县级财政资金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支出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绩效评价工作的通知》（隆财绩[20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]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号）文件精神，结合实际，我单位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通过</w:t>
      </w:r>
      <w:r>
        <w:rPr>
          <w:rFonts w:hint="eastAsia" w:ascii="仿宋_GB2312" w:hAnsi="仿宋" w:eastAsia="仿宋_GB2312"/>
          <w:color w:val="auto"/>
          <w:spacing w:val="-8"/>
          <w:sz w:val="28"/>
          <w:szCs w:val="28"/>
        </w:rPr>
        <w:t>现场勘验、资料核查、文件核对、数据核定，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开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座谈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等方式，检查基本支出、项目支出有关账目，收集整理支出相关资料，并根据各部门（股室）报送的绩效自评材料进行分析、总结，现将我单位整体支出绩效自评结果报告如下：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我单位是副科级全额拨款事业单位，隶属于县城管局，内设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机构7个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综合部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财务部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、园林绿化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城市照明维护部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、排水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维护部、道路维护部、技术部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我单位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编制人数为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人，实际人数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人，其中在职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人，离退休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人。小车编制数1台，实际1台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于2020年3月事业单位公车改革时根据上级文件要求上交主管部门保管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。遗属补助人数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人，房屋面积1360平方米。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我单位的职能职责是：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1、宣传、贯彻、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落实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国家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省、市、县有关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城市公用事业工作的法律、法规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和政策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县城规划区内园林绿化建设、城市绿化设施及公园的运行和维护服务，负责城市道路、城市桥梁、城市照明、城市排水管网、污水泵站、道路交通隔离护栏、地下管廊等市政设施的运行和维护服务；负责县建制镇的市政公用设施业务技术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3、承担县委、县政府和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上级主管部门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交办的其它事项。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年的重点工作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依据有关政策、法规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及县委、县政府和主管部门县城管局的工作部署和安排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城公用事业基础设施即城镇道路、路灯、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园林绿化、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广场、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公园、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排水设施、人行道（除占破道的审批）等的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维护和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管理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以及污水处理泵站的运营维护和管理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有效使用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城市维护建设项目资金和城市基础设施配套费资金，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力争把经费用在刀刃上</w:t>
      </w:r>
      <w:r>
        <w:rPr>
          <w:rFonts w:hint="eastAsia" w:ascii="宋体" w:hAnsi="宋体"/>
          <w:color w:val="auto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部门整体支出情况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部门整体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支出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1759.05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万元。其中：工资福利支出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613.30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万元,商品和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服务支出941.04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万元,对个人和家庭补助支出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3.69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万元，资本性支出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对企业补助85.02万元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。比201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减少95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减少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原因：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我单位积极履职，强化管理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全面落实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中央八项规定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”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制度要求，努力降低行政成本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81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部门整体支出管理及使用情况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281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基本支出情况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84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年度我单位基本支出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705.18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万元。其中：人员经费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613.64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万元，日常公用经费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91.54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万元。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主要是为了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</w:rPr>
        <w:t>保障单位机构正常运转、完成日常工作任务而发生的各项支出，包括用于基本工资、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绩效工资、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</w:rPr>
        <w:t>津贴补贴等人员经费以及办公费、印刷费、水电费及办公设备购置等日常公用经费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281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项目支出情况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840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年度我单位项目支出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1053.87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万元。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主要是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</w:rPr>
        <w:t>为完成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城市市政设施建设、维护和管理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</w:rPr>
        <w:t>而发生的支出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包括城市维护建设项目资金和城市基础设施配套费资金。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1" w:firstLine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“三公”经费情况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6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因公出国（境）费用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6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年度我单位因公出国（境）0批次0人次。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公务接待费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年度我单位公务接待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3、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公务车购置及运行费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年度我单位未有公务车购置。我单位本年度公务车运行费为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4.93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主要是指市政设施维护特种工程作业用车费用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年，我单位积极履职，强化管理，较好的完成了年度工作目标。通过加强预算收支管理，不断建立健全内部管理制度，梳理内部管理流程，部门整体支出管理水平得到提升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切实做好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了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厉行节约工作，严格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控制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三公”经费支出规模和比例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，加强对公务用车的管理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全面落实各项管理制度要求，努力降低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了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行政成本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积极推进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城市公用事业精细化维护和管理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在专项资金使用方面，主要绩效如下：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春节亮化、美化：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为使全县人民度过一个喜庆的春节，我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在县城各主干道、高铁站摆放鲜花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54100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多盆、悬挂灯笼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6810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个、中国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梦118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个、各种灯饰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2250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串、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LED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树网940张，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LED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流星雨160根、大型花灯组5套、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迎新年广告牌及横幅各6幅，完成了隆回一桥景观亮化工程。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路灯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维护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维修路灯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余盏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处理路灯安全隐患50多处；重点完成了全县城区路灯巡检及人防工程路灯恢复；定时对责任区域进行巡查，确保责任区域内所有路灯设施的安全正常运转，努力提高盏亮率，想方设法提高人民群众满意度。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园林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维护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积极推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城区公共绿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建设，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补栽绿化苗木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7200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、灌木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30000余株。</w:t>
      </w:r>
      <w:r>
        <w:rPr>
          <w:rFonts w:hint="eastAsia" w:ascii="仿宋" w:hAnsi="仿宋" w:eastAsia="仿宋" w:cs="仿宋"/>
          <w:sz w:val="28"/>
          <w:szCs w:val="28"/>
        </w:rPr>
        <w:t>投入资金45万元补栽伏龙江路、桃花路、九龙南路绿化带22万余株、行道树补栽香樟74株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桃树120株，红枳木球22个，金叶女贞球10株，海桐球10株；投入资金2.8万余元补栽沿江北路、九龙广场、伏龙江南段绿化带，补栽春鹃、黄杨、红叶石楠、小桂花3万余株；投入资金7万元对伏龙江路除草任务进行了全年发包，确保绿化带全年无杂草、行道树2.5米以下无分枝头；对沿江北路、农副产品一条街行道树补栽15CM香樟30株；对城区绿化带养护修剪10次，杀虫3次，扯草5次，对部分行道树进行了修剪；处理社情民意走访问题3起，处理安全隐患事故20余处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隆回县创建湖南省森林城市指挥部关于创森相关文件要求，严格落实责任，成立创森领导小组，通过专题会议研究推进、加班加点、现场查看、资料收集调阅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等方式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、高标准、严要求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地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完成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县创森办交办的工作任务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确保</w:t>
      </w:r>
      <w:r>
        <w:rPr>
          <w:rFonts w:hint="eastAsia" w:ascii="仿宋" w:hAnsi="仿宋" w:eastAsia="仿宋" w:cs="仿宋"/>
          <w:sz w:val="28"/>
          <w:szCs w:val="28"/>
        </w:rPr>
        <w:t>园林绿化设施有序运行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城区公共绿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布局日趋合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，“三率”指标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一步提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，县城绿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覆盖率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达到35.78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人均公共绿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地面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17.73平方米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排水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维护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清理桃洪路、桃花路、赧水北路、紫霞路、朝阳路、大桥路、帽子石路、新村路等主干道、次干道雨水井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80余个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改造县委招待所家属楼排水管网200余米，新砌检查井4个，雨水井4个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全面完成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赧水北路顶管清淤工程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对松坡街隆回一中校门口、帽子石路、滨河路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、汽车</w:t>
      </w:r>
      <w:r>
        <w:rPr>
          <w:rFonts w:hint="eastAsia" w:ascii="仿宋" w:hAnsi="仿宋" w:eastAsia="仿宋" w:cs="仿宋"/>
          <w:sz w:val="28"/>
          <w:szCs w:val="28"/>
        </w:rPr>
        <w:t>总站邮政银行前四处易涝点进行了全面改造，彻底消除了路面排水不畅的难题，保障了人民群众的雨天出行安全和财产安全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完成沿河路工商局路口至坳街路口，方大公园入口，荣兴国际路口新增雨水井13个，开挖预埋排水管道130米，修复因人防广场开挖损坏的排水口2处；新公安局沿线与东环路尾段更换破损雨水井盖23个，对全县城区所有的雨水井盖漏水孔堵塞的泥沙进行人工精细化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护栏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维护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维修损坏护栏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2500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道路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维护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1、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对赧水北路东段漓泉啤酒屋前、朝阳路、恒丰加油站背后机动车道路等多处进行了浇筑修补；2、修补了步行街、桃花路、沿河路、公园路等处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人行道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2800余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平方米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污水提升泵站运行管理：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1、对泵站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台</w:t>
      </w:r>
      <w:r>
        <w:rPr>
          <w:rFonts w:hint="eastAsia" w:ascii="仿宋" w:hAnsi="仿宋" w:eastAsia="仿宋" w:cs="仿宋"/>
          <w:sz w:val="28"/>
          <w:szCs w:val="28"/>
        </w:rPr>
        <w:t>潜水泵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维修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保养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，排除故障，确保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污水处理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设备正常运行，保证污水输送量；2、</w:t>
      </w:r>
      <w:r>
        <w:rPr>
          <w:rFonts w:hint="eastAsia" w:ascii="仿宋" w:hAnsi="仿宋" w:eastAsia="仿宋" w:cs="仿宋"/>
          <w:sz w:val="28"/>
          <w:szCs w:val="28"/>
        </w:rPr>
        <w:t>对赧水北路五个排污口沉砂池进行了清理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；3、到12月底共处理污水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1297.795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污水处理率达到93.6%，污染物排放标准优于国家标准，完成了省市下达的节能减排指标。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1、预算管理意识有待进一步加强；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2、国有资产使用管理规范性有待进一步加强；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3、内部控制制度有待进一步完善。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五、改进措施和有关建议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、细化预算编制工作，认真做好预算编制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和执行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。进一步加强单位内部机构各股室的预算管理意识，严格按照预算编制的相关制度和要求进行预算编制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预算执行，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规范部门预算收支核算，切实提高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部门预算收支管理水平。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2、完善资产管理，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规范资产使用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做到谁使用，谁负责，建立资产使用管理责任制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加强财务管理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和监督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进一步完善内部控制制度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。加强单位财务管理，健全单位财务管理制度体系，规范单位财务行为。在费用报账支付时，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严格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按照预算规定的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使用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项目和用途进行资金使用审核、列报支付、财务核算，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坚决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杜绝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违规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超支现象的发生。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               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隆回县公用事业服务中心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1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2021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年4月23日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F9F51"/>
    <w:multiLevelType w:val="singleLevel"/>
    <w:tmpl w:val="D21F9F51"/>
    <w:lvl w:ilvl="0" w:tentative="0">
      <w:start w:val="1"/>
      <w:numFmt w:val="decimal"/>
      <w:suff w:val="space"/>
      <w:lvlText w:val="%1、"/>
      <w:lvlJc w:val="left"/>
      <w:pPr>
        <w:ind w:left="560" w:firstLine="0"/>
      </w:pPr>
    </w:lvl>
  </w:abstractNum>
  <w:abstractNum w:abstractNumId="1">
    <w:nsid w:val="598B6B4D"/>
    <w:multiLevelType w:val="singleLevel"/>
    <w:tmpl w:val="598B6B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C59A6"/>
    <w:rsid w:val="0D571DB5"/>
    <w:rsid w:val="16762C7D"/>
    <w:rsid w:val="1BA35D35"/>
    <w:rsid w:val="1F1C1978"/>
    <w:rsid w:val="237D1697"/>
    <w:rsid w:val="23C870ED"/>
    <w:rsid w:val="245E5112"/>
    <w:rsid w:val="25EC0BE9"/>
    <w:rsid w:val="2871206C"/>
    <w:rsid w:val="287E6D34"/>
    <w:rsid w:val="2E847DEE"/>
    <w:rsid w:val="2F8B346B"/>
    <w:rsid w:val="30213DDE"/>
    <w:rsid w:val="308D1826"/>
    <w:rsid w:val="32D37E91"/>
    <w:rsid w:val="35C175A4"/>
    <w:rsid w:val="3FF86A36"/>
    <w:rsid w:val="40BC6FC2"/>
    <w:rsid w:val="4357213D"/>
    <w:rsid w:val="44D41D9A"/>
    <w:rsid w:val="452C59A6"/>
    <w:rsid w:val="46DB6ABC"/>
    <w:rsid w:val="46F96631"/>
    <w:rsid w:val="47D71589"/>
    <w:rsid w:val="4C63707E"/>
    <w:rsid w:val="51040B75"/>
    <w:rsid w:val="5665393D"/>
    <w:rsid w:val="5A6F5749"/>
    <w:rsid w:val="5A740AD8"/>
    <w:rsid w:val="5B4D4FE1"/>
    <w:rsid w:val="5DD13DC0"/>
    <w:rsid w:val="601B6C1D"/>
    <w:rsid w:val="60DC5C72"/>
    <w:rsid w:val="61F52216"/>
    <w:rsid w:val="655B3ABC"/>
    <w:rsid w:val="67C47EB3"/>
    <w:rsid w:val="6A080741"/>
    <w:rsid w:val="6BB901A6"/>
    <w:rsid w:val="6CDA1AAD"/>
    <w:rsid w:val="6CF30218"/>
    <w:rsid w:val="6D060FDC"/>
    <w:rsid w:val="7ED97BC9"/>
    <w:rsid w:val="7F1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2021-04-22T02:37:00Z</dcterms:created>
  <dc:creator>如云荡漾</dc:creator>
  <cp:lastModifiedBy>如云荡漾</cp:lastModifiedBy>
  <cp:lastPrinted>2021-04-27T02:25:00Z</cp:lastPrinted>
  <dcterms:modified xsi:type="dcterms:W3CDTF">2021-06-22T08:29:00Z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2C9FFB443D8C41C498B94626FF83BB25</vt:lpwstr>
  </property>
</Properties>
</file>