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446" w:firstLineChars="400"/>
        <w:jc w:val="both"/>
        <w:rPr>
          <w:rFonts w:hint="eastAsia" w:ascii="黑体" w:hAnsi="黑体" w:eastAsia="黑体" w:cs="黑体"/>
          <w:b/>
          <w:bCs w:val="0"/>
          <w:kern w:val="0"/>
          <w:sz w:val="36"/>
          <w:szCs w:val="36"/>
          <w:lang w:eastAsia="zh-CN"/>
        </w:rPr>
      </w:pPr>
      <w:bookmarkStart w:id="0" w:name="_GoBack"/>
      <w:bookmarkEnd w:id="0"/>
      <w:r>
        <w:rPr>
          <w:rFonts w:hint="eastAsia" w:ascii="黑体" w:hAnsi="黑体" w:eastAsia="黑体" w:cs="黑体"/>
          <w:b/>
          <w:bCs w:val="0"/>
          <w:kern w:val="0"/>
          <w:sz w:val="36"/>
          <w:szCs w:val="36"/>
          <w:lang w:eastAsia="zh-CN"/>
        </w:rPr>
        <w:t>隆回高新技术产业开发区管理委员会</w:t>
      </w:r>
    </w:p>
    <w:p>
      <w:pPr>
        <w:spacing w:line="600" w:lineRule="exact"/>
        <w:jc w:val="center"/>
        <w:rPr>
          <w:rFonts w:hint="eastAsia" w:ascii="黑体" w:hAnsi="黑体" w:eastAsia="黑体" w:cs="黑体"/>
          <w:b/>
          <w:bCs w:val="0"/>
          <w:kern w:val="0"/>
          <w:sz w:val="36"/>
          <w:szCs w:val="36"/>
        </w:rPr>
      </w:pPr>
      <w:r>
        <w:rPr>
          <w:rFonts w:hint="eastAsia" w:ascii="黑体" w:hAnsi="黑体" w:eastAsia="黑体" w:cs="黑体"/>
          <w:b/>
          <w:bCs w:val="0"/>
          <w:kern w:val="0"/>
          <w:sz w:val="36"/>
          <w:szCs w:val="36"/>
        </w:rPr>
        <w:t>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（一）部门基本情况</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shd w:val="clear" w:color="auto" w:fill="FFFFFF"/>
        </w:rPr>
        <w:t>隆回高新技术产业开发区（简称隆回高新区）</w:t>
      </w:r>
      <w:r>
        <w:rPr>
          <w:rFonts w:hint="eastAsia" w:ascii="仿宋_GB2312" w:eastAsia="仿宋_GB2312"/>
          <w:sz w:val="32"/>
          <w:szCs w:val="32"/>
        </w:rPr>
        <w:t>前身为隆回工业集中区（隆回县工业经济开发区），</w:t>
      </w:r>
      <w:r>
        <w:rPr>
          <w:rFonts w:hint="eastAsia" w:ascii="仿宋_GB2312" w:hAnsi="仿宋" w:eastAsia="仿宋_GB2312" w:cs="Arial"/>
          <w:color w:val="000000"/>
          <w:sz w:val="32"/>
          <w:szCs w:val="32"/>
        </w:rPr>
        <w:t>成立于2005年8月</w:t>
      </w:r>
      <w:r>
        <w:rPr>
          <w:rFonts w:hint="eastAsia" w:ascii="仿宋_GB2312" w:hAnsi="仿宋" w:eastAsia="仿宋_GB2312" w:cs="Arial"/>
          <w:color w:val="000000"/>
          <w:sz w:val="32"/>
          <w:szCs w:val="32"/>
          <w:lang w:eastAsia="zh-CN"/>
        </w:rPr>
        <w:t>。</w:t>
      </w:r>
      <w:r>
        <w:rPr>
          <w:rFonts w:hint="eastAsia" w:ascii="仿宋_GB2312" w:hAnsi="仿宋_GB2312" w:eastAsia="仿宋_GB2312" w:cs="仿宋_GB2312"/>
          <w:sz w:val="32"/>
          <w:szCs w:val="32"/>
          <w:shd w:val="clear" w:color="auto" w:fill="FFFFFF"/>
        </w:rPr>
        <w:t>2018年1月，经湖南省人民政府批准为省级高新技术产业开发区。</w:t>
      </w:r>
      <w:r>
        <w:rPr>
          <w:rFonts w:hint="eastAsia" w:ascii="仿宋_GB2312" w:hAnsi="方正仿宋简体" w:eastAsia="仿宋_GB2312" w:cs="方正仿宋简体"/>
          <w:sz w:val="32"/>
          <w:szCs w:val="32"/>
        </w:rPr>
        <w:t>先后获得了“省第一批中小企业信用体系建设示范园区”、“省新型工业化产业示范基地”、“省创新创业带动就业示范基地”、“省第一批绿色园区”和“省双创示范基地”等荣誉称号。202</w:t>
      </w:r>
      <w:r>
        <w:rPr>
          <w:rFonts w:hint="eastAsia" w:ascii="仿宋_GB2312" w:hAnsi="方正仿宋简体" w:eastAsia="仿宋_GB2312" w:cs="方正仿宋简体"/>
          <w:sz w:val="32"/>
          <w:szCs w:val="32"/>
          <w:lang w:val="en-US" w:eastAsia="zh-CN"/>
        </w:rPr>
        <w:t>0年、</w:t>
      </w:r>
      <w:r>
        <w:rPr>
          <w:rFonts w:hint="eastAsia" w:ascii="仿宋_GB2312" w:hAnsi="方正仿宋简体" w:eastAsia="仿宋_GB2312" w:cs="方正仿宋简体"/>
          <w:sz w:val="32"/>
          <w:szCs w:val="32"/>
        </w:rPr>
        <w:t>2021年</w:t>
      </w:r>
      <w:r>
        <w:rPr>
          <w:rFonts w:hint="eastAsia" w:ascii="仿宋_GB2312" w:hAnsi="方正仿宋简体" w:eastAsia="仿宋_GB2312" w:cs="方正仿宋简体"/>
          <w:sz w:val="32"/>
          <w:szCs w:val="32"/>
          <w:lang w:eastAsia="zh-CN"/>
        </w:rPr>
        <w:t>荣获</w:t>
      </w:r>
      <w:r>
        <w:rPr>
          <w:rFonts w:hint="eastAsia" w:ascii="仿宋_GB2312" w:hAnsi="方正仿宋简体" w:eastAsia="仿宋_GB2312" w:cs="方正仿宋简体"/>
          <w:sz w:val="32"/>
          <w:szCs w:val="32"/>
        </w:rPr>
        <w:t>全省“五好”园区创建工作先进单位</w:t>
      </w:r>
      <w:r>
        <w:rPr>
          <w:rFonts w:hint="eastAsia" w:ascii="仿宋_GB2312" w:hAnsi="方正仿宋简体" w:eastAsia="仿宋_GB2312" w:cs="方正仿宋简体"/>
          <w:sz w:val="32"/>
          <w:szCs w:val="32"/>
          <w:lang w:eastAsia="zh-CN"/>
        </w:rPr>
        <w:t>。</w:t>
      </w:r>
      <w:r>
        <w:rPr>
          <w:rFonts w:hint="eastAsia" w:ascii="仿宋_GB2312" w:eastAsia="仿宋_GB2312"/>
          <w:sz w:val="32"/>
          <w:szCs w:val="32"/>
        </w:rPr>
        <w:t>2019年、2020年,隆回高新区蝉联“湖南省园区产业高质量发展园区”，为全市唯一获此殊荣的省级园区。2020年被评为全市湘南湘西承接产业转移示范区建设暨产业发展先进单位。</w:t>
      </w:r>
      <w:r>
        <w:rPr>
          <w:rFonts w:hint="eastAsia" w:ascii="仿宋_GB2312" w:eastAsia="仿宋_GB2312"/>
          <w:sz w:val="32"/>
          <w:szCs w:val="32"/>
          <w:highlight w:val="none"/>
          <w:lang w:eastAsia="zh-CN"/>
        </w:rPr>
        <w:t>隆回高新区党工委、管委会分别为中共邵阳市委、邵阳市人民政府派出机构，副处级，委托中共隆回县委、隆回县人民政府管理，实行合署办公，一套机构。</w:t>
      </w:r>
      <w:r>
        <w:rPr>
          <w:rFonts w:hint="eastAsia" w:ascii="仿宋_GB2312" w:hAnsi="仿宋_GB2312" w:eastAsia="仿宋_GB2312" w:cs="仿宋_GB2312"/>
          <w:sz w:val="32"/>
          <w:szCs w:val="32"/>
          <w:highlight w:val="none"/>
        </w:rPr>
        <w:t>隆回高新区由“一区三园”</w:t>
      </w:r>
      <w:r>
        <w:rPr>
          <w:rFonts w:hint="eastAsia" w:ascii="仿宋_GB2312" w:hAnsi="仿宋_GB2312" w:eastAsia="仿宋_GB2312" w:cs="仿宋_GB2312"/>
          <w:sz w:val="32"/>
          <w:szCs w:val="32"/>
          <w:highlight w:val="none"/>
          <w:lang w:eastAsia="zh-CN"/>
        </w:rPr>
        <w:t>组成</w:t>
      </w:r>
      <w:r>
        <w:rPr>
          <w:rFonts w:hint="eastAsia" w:ascii="仿宋_GB2312" w:hAnsi="仿宋_GB2312" w:eastAsia="仿宋_GB2312" w:cs="仿宋_GB2312"/>
          <w:sz w:val="32"/>
          <w:szCs w:val="32"/>
          <w:highlight w:val="none"/>
        </w:rPr>
        <w:t>，“一区”即隆回高新区，“</w:t>
      </w:r>
      <w:r>
        <w:rPr>
          <w:rFonts w:hint="eastAsia" w:ascii="仿宋_GB2312" w:hAnsi="仿宋_GB2312" w:eastAsia="仿宋_GB2312" w:cs="仿宋_GB2312"/>
          <w:sz w:val="32"/>
          <w:szCs w:val="32"/>
        </w:rPr>
        <w:t>三园”即城东南轻工智能制造园、城南大健康生物医药园</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三阁司现代电子产业园。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2021</w:t>
      </w:r>
      <w:r>
        <w:rPr>
          <w:rFonts w:hint="eastAsia" w:eastAsia="仿宋_GB2312"/>
          <w:sz w:val="32"/>
          <w:szCs w:val="32"/>
        </w:rPr>
        <w:t>年的重点工作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shd w:val="clear" w:color="auto" w:fill="auto"/>
        </w:rPr>
      </w:pPr>
      <w:r>
        <w:rPr>
          <w:rFonts w:hint="eastAsia" w:ascii="楷体_GB2312" w:hAnsi="楷体_GB2312" w:eastAsia="楷体_GB2312" w:cs="楷体_GB2312"/>
          <w:b/>
          <w:bCs/>
          <w:color w:val="000000"/>
          <w:sz w:val="32"/>
          <w:szCs w:val="32"/>
          <w:shd w:val="clear" w:color="auto" w:fill="auto"/>
          <w:lang w:val="en-US" w:eastAsia="zh-CN"/>
        </w:rPr>
        <w:t>1、</w:t>
      </w:r>
      <w:r>
        <w:rPr>
          <w:rFonts w:hint="eastAsia" w:ascii="楷体_GB2312" w:hAnsi="楷体_GB2312" w:eastAsia="楷体_GB2312" w:cs="楷体_GB2312"/>
          <w:b/>
          <w:bCs/>
          <w:color w:val="000000"/>
          <w:sz w:val="32"/>
          <w:szCs w:val="32"/>
          <w:shd w:val="clear" w:color="auto" w:fill="auto"/>
        </w:rPr>
        <w:t>抓好征地拆迁、闲置土地清理和土地报批，提升园区承载能力</w:t>
      </w:r>
      <w:r>
        <w:rPr>
          <w:rFonts w:hint="eastAsia" w:ascii="楷体_GB2312" w:hAnsi="楷体_GB2312" w:eastAsia="楷体_GB2312" w:cs="楷体_GB2312"/>
          <w:b/>
          <w:bCs/>
          <w:color w:val="000000"/>
          <w:sz w:val="32"/>
          <w:szCs w:val="32"/>
          <w:shd w:val="clear" w:color="auto" w:fill="auto"/>
          <w:lang w:eastAsia="zh-CN"/>
        </w:rPr>
        <w:t>。</w:t>
      </w:r>
      <w:r>
        <w:rPr>
          <w:rFonts w:hint="eastAsia" w:ascii="仿宋_GB2312" w:hAnsi="仿宋_GB2312" w:eastAsia="仿宋_GB2312" w:cs="仿宋_GB2312"/>
          <w:color w:val="000000"/>
          <w:kern w:val="0"/>
          <w:sz w:val="32"/>
          <w:szCs w:val="32"/>
          <w:shd w:val="clear" w:color="auto" w:fill="auto"/>
        </w:rPr>
        <w:t>全年完成完成征地330亩；完成金莞产业园、东莞产业园、紫日物流园、环城南路园区段和鹏兴印刷厂等项目范围内80余座房屋拆迁工作，成功拆除和诚化工厂区内历时十年未能拆掉的房屋，受到县委、县政府主要领导的好评；累计迁坟422棺。协调林业审批3批次310余亩，清表和林业采伐280余亩；</w:t>
      </w:r>
      <w:r>
        <w:rPr>
          <w:rFonts w:hint="eastAsia" w:ascii="仿宋_GB2312" w:hAnsi="仿宋_GB2312" w:eastAsia="仿宋_GB2312" w:cs="仿宋_GB2312"/>
          <w:color w:val="000000"/>
          <w:sz w:val="32"/>
          <w:szCs w:val="32"/>
          <w:shd w:val="clear" w:color="auto" w:fill="auto"/>
        </w:rPr>
        <w:t>完成隆回高新区2021年5个批次建设用地报批基础资料。成立闲置及低效利用土地清理领导小组，对高新区</w:t>
      </w:r>
      <w:r>
        <w:rPr>
          <w:rFonts w:hint="eastAsia" w:ascii="仿宋_GB2312" w:hAnsi="仿宋_GB2312" w:eastAsia="仿宋_GB2312" w:cs="仿宋_GB2312"/>
          <w:color w:val="000000"/>
          <w:sz w:val="32"/>
          <w:szCs w:val="32"/>
          <w:shd w:val="clear" w:color="auto" w:fill="auto"/>
          <w:lang w:val="en-US" w:eastAsia="zh-CN"/>
        </w:rPr>
        <w:t>闲置土地</w:t>
      </w:r>
      <w:r>
        <w:rPr>
          <w:rFonts w:hint="eastAsia" w:ascii="仿宋_GB2312" w:hAnsi="仿宋_GB2312" w:eastAsia="仿宋_GB2312" w:cs="仿宋_GB2312"/>
          <w:color w:val="000000"/>
          <w:sz w:val="32"/>
          <w:szCs w:val="32"/>
          <w:shd w:val="clear" w:color="auto" w:fill="auto"/>
        </w:rPr>
        <w:t>进行全面清理摸底，共清理出供而未建（部分未建）企业7家。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000000"/>
          <w:sz w:val="32"/>
          <w:szCs w:val="32"/>
          <w:shd w:val="clear" w:color="auto" w:fill="auto"/>
        </w:rPr>
      </w:pPr>
      <w:r>
        <w:rPr>
          <w:rFonts w:hint="eastAsia" w:ascii="楷体_GB2312" w:hAnsi="楷体_GB2312" w:eastAsia="楷体_GB2312" w:cs="楷体_GB2312"/>
          <w:b/>
          <w:bCs/>
          <w:color w:val="000000"/>
          <w:sz w:val="32"/>
          <w:szCs w:val="32"/>
          <w:shd w:val="clear" w:color="auto" w:fill="auto"/>
          <w:lang w:val="en-US" w:eastAsia="zh-CN"/>
        </w:rPr>
        <w:t>2、</w:t>
      </w:r>
      <w:r>
        <w:rPr>
          <w:rFonts w:hint="eastAsia" w:ascii="楷体_GB2312" w:hAnsi="楷体_GB2312" w:eastAsia="楷体_GB2312" w:cs="楷体_GB2312"/>
          <w:b/>
          <w:bCs/>
          <w:color w:val="000000"/>
          <w:sz w:val="32"/>
          <w:szCs w:val="32"/>
          <w:shd w:val="clear" w:color="auto" w:fill="auto"/>
        </w:rPr>
        <w:t>围绕产业链抓好招商选资，增强园区发展后劲</w:t>
      </w:r>
      <w:r>
        <w:rPr>
          <w:rFonts w:hint="eastAsia" w:ascii="楷体_GB2312" w:hAnsi="楷体_GB2312" w:eastAsia="楷体_GB2312" w:cs="楷体_GB2312"/>
          <w:b/>
          <w:bCs/>
          <w:color w:val="000000"/>
          <w:sz w:val="32"/>
          <w:szCs w:val="32"/>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坚持把招商选资作为“一号工程”，紧紧围绕湘南湘西承接产业转移示范区建设、邵阳市推进制造强市“一二三工程”三年行动方案和“一主一特”两条产业链（轻工智能制造产业链和农副产品精深加工产业链）进行招商选资，着力引进投资规模大、科技含量高和财政贡献突出的高新技术产业项目。</w:t>
      </w:r>
      <w:r>
        <w:rPr>
          <w:rFonts w:hint="eastAsia" w:ascii="仿宋_GB2312" w:hAnsi="仿宋_GB2312" w:eastAsia="仿宋_GB2312" w:cs="仿宋_GB2312"/>
          <w:color w:val="000000"/>
          <w:sz w:val="32"/>
          <w:szCs w:val="32"/>
          <w:shd w:val="clear" w:color="auto" w:fill="auto"/>
        </w:rPr>
        <w:t>全年共引进项目14个，其中投资过亿元的项目6个，完成签约金额26.26亿元。分别是：轻工智能制造项目12个，签约金额15.66亿元；农副产品精深加工项目1个，签约金额10亿元；配套服务项目1个，签约金额0.6亿元。利用外资项目1个，签约金额3.5亿元，实现近2年来利用外资破零，高技术产业利用外资破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shd w:val="clear" w:color="auto" w:fill="auto"/>
          <w:lang w:val="en-US" w:eastAsia="zh-CN"/>
        </w:rPr>
      </w:pPr>
      <w:r>
        <w:rPr>
          <w:rFonts w:hint="eastAsia" w:ascii="楷体_GB2312" w:hAnsi="楷体_GB2312" w:eastAsia="楷体_GB2312" w:cs="楷体_GB2312"/>
          <w:b/>
          <w:bCs/>
          <w:color w:val="000000"/>
          <w:sz w:val="32"/>
          <w:szCs w:val="32"/>
          <w:shd w:val="clear" w:color="auto" w:fill="auto"/>
          <w:lang w:val="en-US" w:eastAsia="zh-CN"/>
        </w:rPr>
        <w:t>3、</w:t>
      </w:r>
      <w:r>
        <w:rPr>
          <w:rFonts w:hint="eastAsia" w:ascii="楷体_GB2312" w:hAnsi="楷体_GB2312" w:eastAsia="楷体_GB2312" w:cs="楷体_GB2312"/>
          <w:b/>
          <w:bCs/>
          <w:color w:val="000000"/>
          <w:sz w:val="32"/>
          <w:szCs w:val="32"/>
          <w:shd w:val="clear" w:color="auto" w:fill="auto"/>
        </w:rPr>
        <w:t>加快推进项目建设，不断完善园区功能配套</w:t>
      </w:r>
      <w:r>
        <w:rPr>
          <w:rFonts w:hint="eastAsia" w:ascii="楷体_GB2312" w:hAnsi="楷体_GB2312" w:eastAsia="楷体_GB2312" w:cs="楷体_GB2312"/>
          <w:b/>
          <w:bCs/>
          <w:color w:val="000000"/>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完成麂山桥安置区、塘石边安置区、金莞产业园、东莞产业园、白里路以北道路土规调整资料汇编工作，完成白里路以北基础设施建设可研报告编制、评审及批复。完成工业路北段、支路九概算发改评审及财评，已着手启动EPC招标；完成大健康科技产业园安置区护坡挡土墙、小区道路、A3区土石方工程、大桥路南段和民族大道北段道路工程；完成工业路后段、支路十八、支路七人行道铺装、绿化、灯化工程；白里路、南山路、和顺小区道路完成竣工通车；在建重点项目持续推进，三鼎金属制品生产基地建设项目主体竣工投产；舒怀肿瘤医院建设项目完成门诊住院大楼、配套服务综合楼主体工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000000"/>
          <w:sz w:val="32"/>
          <w:szCs w:val="32"/>
          <w:shd w:val="clear" w:color="auto" w:fill="auto"/>
        </w:rPr>
      </w:pPr>
      <w:r>
        <w:rPr>
          <w:rFonts w:hint="eastAsia" w:ascii="楷体_GB2312" w:hAnsi="楷体_GB2312" w:eastAsia="楷体_GB2312" w:cs="楷体_GB2312"/>
          <w:b/>
          <w:bCs/>
          <w:color w:val="000000"/>
          <w:sz w:val="32"/>
          <w:szCs w:val="32"/>
          <w:shd w:val="clear" w:color="auto" w:fill="auto"/>
          <w:lang w:val="en-US" w:eastAsia="zh-CN"/>
        </w:rPr>
        <w:t>4、</w:t>
      </w:r>
      <w:r>
        <w:rPr>
          <w:rFonts w:hint="eastAsia" w:ascii="楷体_GB2312" w:hAnsi="楷体_GB2312" w:eastAsia="楷体_GB2312" w:cs="楷体_GB2312"/>
          <w:b/>
          <w:bCs/>
          <w:color w:val="000000"/>
          <w:sz w:val="32"/>
          <w:szCs w:val="32"/>
          <w:shd w:val="clear" w:color="auto" w:fill="auto"/>
        </w:rPr>
        <w:t>全面优化园区营商环境，提升园区办事水平</w:t>
      </w:r>
      <w:r>
        <w:rPr>
          <w:rFonts w:hint="eastAsia" w:ascii="楷体_GB2312" w:hAnsi="楷体_GB2312" w:eastAsia="楷体_GB2312" w:cs="楷体_GB2312"/>
          <w:b/>
          <w:bCs/>
          <w:color w:val="000000"/>
          <w:sz w:val="32"/>
          <w:szCs w:val="32"/>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坚持将优化服务作为项目建设的“发动机”，把要素保障作为支撑项目建设的“助燃剂”，多措并举提升服务项目水平。</w:t>
      </w:r>
      <w:r>
        <w:rPr>
          <w:rFonts w:hint="eastAsia" w:ascii="仿宋_GB2312" w:hAnsi="仿宋_GB2312" w:eastAsia="仿宋_GB2312" w:cs="仿宋_GB2312"/>
          <w:b w:val="0"/>
          <w:bCs/>
          <w:color w:val="000000"/>
          <w:sz w:val="32"/>
          <w:szCs w:val="32"/>
          <w:highlight w:val="none"/>
          <w:shd w:val="clear" w:color="auto" w:fill="auto"/>
        </w:rPr>
        <w:t>一是</w:t>
      </w:r>
      <w:r>
        <w:rPr>
          <w:rFonts w:hint="eastAsia" w:ascii="仿宋_GB2312" w:hAnsi="仿宋_GB2312" w:eastAsia="仿宋_GB2312" w:cs="仿宋_GB2312"/>
          <w:bCs/>
          <w:color w:val="000000"/>
          <w:sz w:val="32"/>
          <w:szCs w:val="32"/>
          <w:highlight w:val="none"/>
          <w:shd w:val="clear" w:color="auto" w:fill="auto"/>
        </w:rPr>
        <w:t>树立“高新区服务”品牌，主动靠前精准服务。</w:t>
      </w:r>
      <w:r>
        <w:rPr>
          <w:rFonts w:hint="eastAsia" w:ascii="仿宋_GB2312" w:hAnsi="仿宋_GB2312" w:eastAsia="仿宋_GB2312" w:cs="仿宋_GB2312"/>
          <w:color w:val="000000"/>
          <w:sz w:val="32"/>
          <w:szCs w:val="32"/>
          <w:shd w:val="clear" w:color="auto" w:fill="auto"/>
        </w:rPr>
        <w:t>全面推行“一线工作法”，坚持一线协调服务，一线排忧解难，一线解决问题，帮助117家企业招工4820人，为156家企业推进工伤保险参保人员增减异动电子化报备办理工作，为50家有需求接种新冠疫苗企业开通了专项接种通道，接种员工达5100余人。同时成立企业沙龙，广泛开展交流；建立企业监督服务群、税收群，积极开展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（三）部门整体支出情况</w:t>
      </w:r>
    </w:p>
    <w:p>
      <w:pPr>
        <w:pStyle w:val="7"/>
        <w:rPr>
          <w:rFonts w:hint="default" w:eastAsia="仿宋_GB2312"/>
          <w:lang w:val="en-US" w:eastAsia="zh-CN"/>
        </w:rPr>
      </w:pPr>
      <w:r>
        <w:rPr>
          <w:rFonts w:hint="eastAsia" w:eastAsia="仿宋_GB2312"/>
          <w:sz w:val="32"/>
          <w:szCs w:val="32"/>
          <w:lang w:val="en-US" w:eastAsia="zh-CN"/>
        </w:rPr>
        <w:t>2021年全年收入17268.02万元，县级安排资金17031.95万元,中央省市安排资金236.07万元。全年支出17268.02万元，基本支出409.89万元，项目支出16858.13万元。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pStyle w:val="7"/>
        <w:rPr>
          <w:rFonts w:hint="eastAsia" w:ascii="仿宋_GB2312" w:hAnsi="宋体" w:eastAsia="仿宋_GB2312" w:cs="仿宋_GB2312"/>
          <w:sz w:val="32"/>
          <w:szCs w:val="32"/>
        </w:rPr>
      </w:pPr>
      <w:r>
        <w:rPr>
          <w:rFonts w:hint="eastAsia" w:eastAsia="仿宋_GB2312"/>
          <w:lang w:eastAsia="zh-CN"/>
        </w:rPr>
        <w:t>基本支出情况：公共预算财政拨款基本支出</w:t>
      </w:r>
      <w:r>
        <w:rPr>
          <w:rFonts w:hint="eastAsia" w:eastAsia="仿宋_GB2312"/>
          <w:lang w:val="en-US" w:eastAsia="zh-CN"/>
        </w:rPr>
        <w:t>409.89万元，</w:t>
      </w:r>
      <w:r>
        <w:rPr>
          <w:rFonts w:hint="eastAsia" w:ascii="仿宋_GB2312" w:hAnsi="宋体" w:eastAsia="仿宋_GB2312" w:cs="仿宋_GB2312"/>
          <w:sz w:val="32"/>
          <w:szCs w:val="32"/>
        </w:rPr>
        <w:t>是指为保障单位机构正常运转、完成日常工作任务而发生的各项支出，包括用于基本工资、津贴补贴等人员经费以及办公费、印刷费、水电费及办公设备购置等日常公用经费。</w:t>
      </w:r>
    </w:p>
    <w:p>
      <w:pPr>
        <w:pStyle w:val="7"/>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项目支出情况：</w:t>
      </w:r>
      <w:r>
        <w:rPr>
          <w:rFonts w:hint="eastAsia" w:ascii="仿宋_GB2312" w:hAnsi="宋体" w:eastAsia="仿宋_GB2312" w:cs="仿宋_GB2312"/>
          <w:sz w:val="32"/>
          <w:szCs w:val="32"/>
          <w:lang w:val="en-US" w:eastAsia="zh-CN"/>
        </w:rPr>
        <w:t>2021年项目支出决算数为16858.13万元，主要用于园区基础设施建设。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ascii="仿宋_GB2312" w:hAnsi="宋体" w:eastAsia="仿宋_GB2312" w:cs="仿宋_GB2312"/>
          <w:sz w:val="32"/>
          <w:szCs w:val="32"/>
          <w:lang w:eastAsia="zh-CN"/>
        </w:rPr>
        <w:t>项目支出情况：</w:t>
      </w:r>
      <w:r>
        <w:rPr>
          <w:rFonts w:hint="eastAsia" w:ascii="仿宋_GB2312" w:hAnsi="宋体" w:eastAsia="仿宋_GB2312" w:cs="仿宋_GB2312"/>
          <w:sz w:val="32"/>
          <w:szCs w:val="32"/>
          <w:lang w:val="en-US" w:eastAsia="zh-CN"/>
        </w:rPr>
        <w:t>2021年项目支出决算数为16858.13万元，主要用于园区基础设施建设。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rPr>
        <w:t>（三）</w:t>
      </w: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r>
        <w:rPr>
          <w:rFonts w:hint="eastAsia" w:eastAsia="仿宋_GB2312"/>
          <w:sz w:val="32"/>
          <w:szCs w:val="32"/>
          <w:lang w:eastAsia="zh-CN"/>
        </w:rPr>
        <w:t>：</w:t>
      </w:r>
      <w:r>
        <w:rPr>
          <w:rFonts w:hint="eastAsia" w:eastAsia="仿宋_GB2312"/>
          <w:sz w:val="32"/>
          <w:szCs w:val="32"/>
          <w:lang w:val="en-US" w:eastAsia="zh-CN"/>
        </w:rPr>
        <w:t>2021年预算“三公”经费3万元，决算数为2.22万元。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eastAsia="仿宋_GB2312"/>
          <w:sz w:val="32"/>
          <w:szCs w:val="32"/>
        </w:rPr>
        <w:t xml:space="preserve"> 1</w:t>
      </w:r>
      <w:r>
        <w:rPr>
          <w:rFonts w:hint="eastAsia" w:eastAsia="仿宋_GB2312"/>
          <w:sz w:val="32"/>
          <w:szCs w:val="32"/>
        </w:rPr>
        <w:t>．因公出国（境）费用；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2021年我单位人员没有因公出国（境）。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eastAsia="仿宋_GB2312"/>
          <w:sz w:val="32"/>
          <w:szCs w:val="32"/>
        </w:rPr>
        <w:t xml:space="preserve"> 2</w:t>
      </w:r>
      <w:r>
        <w:rPr>
          <w:rFonts w:hint="eastAsia" w:eastAsia="仿宋_GB2312"/>
          <w:sz w:val="32"/>
          <w:szCs w:val="32"/>
        </w:rPr>
        <w:t>．公务接待费；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2021年我单位公务接待费 2.22万元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eastAsia="仿宋_GB2312"/>
          <w:sz w:val="32"/>
          <w:szCs w:val="32"/>
        </w:rPr>
        <w:t xml:space="preserve"> 3</w:t>
      </w:r>
      <w:r>
        <w:rPr>
          <w:rFonts w:hint="eastAsia" w:eastAsia="仿宋_GB2312"/>
          <w:sz w:val="32"/>
          <w:szCs w:val="32"/>
        </w:rPr>
        <w:t>．公务用车购置及运行费。</w:t>
      </w:r>
    </w:p>
    <w:p>
      <w:pPr>
        <w:pStyle w:val="7"/>
        <w:rPr>
          <w:rFonts w:hint="eastAsia" w:ascii="仿宋" w:hAnsi="仿宋" w:eastAsia="仿宋" w:cs="仿宋"/>
          <w:lang w:val="en-US" w:eastAsia="zh-CN"/>
        </w:rPr>
      </w:pPr>
      <w:r>
        <w:rPr>
          <w:rFonts w:hint="eastAsia" w:ascii="仿宋" w:hAnsi="仿宋" w:eastAsia="仿宋" w:cs="仿宋"/>
          <w:lang w:val="en-US" w:eastAsia="zh-CN"/>
        </w:rPr>
        <w:t>2021年我单位没有公务用车费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仿宋_GB2312"/>
          <w:sz w:val="32"/>
          <w:szCs w:val="32"/>
          <w:lang w:eastAsia="zh-CN"/>
        </w:rPr>
      </w:pPr>
      <w:r>
        <w:rPr>
          <w:rFonts w:ascii="黑体" w:hAnsi="黑体" w:eastAsia="黑体"/>
          <w:sz w:val="32"/>
          <w:szCs w:val="32"/>
        </w:rPr>
        <w:t xml:space="preserve"> </w:t>
      </w:r>
      <w:r>
        <w:rPr>
          <w:rFonts w:hint="eastAsia" w:ascii="仿宋_GB2312" w:hAnsi="仿宋_GB2312" w:eastAsia="仿宋_GB2312" w:cs="仿宋_GB2312"/>
          <w:bCs/>
          <w:sz w:val="32"/>
          <w:szCs w:val="32"/>
        </w:rPr>
        <w:t>2021年，隆回高新区认真贯彻落实中央和省、市、县委经济工作会议精神，紧紧围绕省委“三高四新”战略定位和使命任务、市委“二中心一枢纽”战略和县委“三宜三融三区”现代化新隆回建设目标，加快“五好”园区创建工作，全力推进湘南湘西承接产业转移示范区建设，经济社会发展保持了稳中有进、进中向好的良好态势，连续2年（2019年、2020年）获评“省产业高质量发展园区”，全省高新区绩效考核排名第19名，获得202</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2021年全省“五好”园区创建工作先进单位。各项经济指标均实现两位数以上增长</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b/>
          <w:bCs/>
          <w:sz w:val="32"/>
          <w:szCs w:val="32"/>
        </w:rPr>
      </w:pPr>
      <w:r>
        <w:rPr>
          <w:rFonts w:hint="eastAsia" w:ascii="仿宋_GB2312" w:hAnsi="仿宋_GB2312" w:eastAsia="仿宋_GB2312" w:cs="仿宋_GB2312"/>
          <w:color w:val="000000"/>
          <w:sz w:val="32"/>
          <w:szCs w:val="32"/>
          <w:shd w:val="clear" w:color="auto" w:fill="auto"/>
          <w:lang w:eastAsia="zh-CN"/>
        </w:rPr>
        <w:t>一是园区财政压力大，融资渠道有待进一步拓宽。因国务院防范政府性债务风险一系列政策出台，园区面临资金压力。二是</w:t>
      </w:r>
      <w:r>
        <w:rPr>
          <w:rFonts w:hint="eastAsia" w:ascii="仿宋_GB2312" w:hAnsi="仿宋_GB2312" w:eastAsia="仿宋_GB2312" w:cs="仿宋_GB2312"/>
          <w:color w:val="000000"/>
          <w:sz w:val="32"/>
          <w:szCs w:val="32"/>
          <w:shd w:val="clear" w:color="auto" w:fill="auto"/>
        </w:rPr>
        <w:t>隆回高新区建设和发展受生产要素和产业政策等因素的影响，面临征地批地难、工程建设与征地拆迁衔接不够等问题。</w:t>
      </w:r>
      <w:r>
        <w:rPr>
          <w:rFonts w:hint="eastAsia" w:ascii="仿宋_GB2312" w:hAnsi="仿宋_GB2312" w:eastAsia="仿宋_GB2312" w:cs="仿宋_GB2312"/>
          <w:color w:val="000000"/>
          <w:sz w:val="32"/>
          <w:szCs w:val="32"/>
          <w:shd w:val="clear" w:color="auto" w:fill="auto"/>
          <w:lang w:eastAsia="zh-CN"/>
        </w:rPr>
        <w:t>三是</w:t>
      </w:r>
      <w:r>
        <w:rPr>
          <w:rFonts w:hint="eastAsia" w:ascii="仿宋_GB2312" w:hAnsi="仿宋_GB2312" w:eastAsia="仿宋_GB2312" w:cs="仿宋_GB2312"/>
          <w:bCs/>
          <w:color w:val="000000"/>
          <w:sz w:val="32"/>
          <w:szCs w:val="32"/>
          <w:shd w:val="clear" w:color="auto" w:fill="auto"/>
        </w:rPr>
        <w:t>园区高质量发展后劲不足，要素保障能力不强，</w:t>
      </w:r>
      <w:r>
        <w:rPr>
          <w:rStyle w:val="11"/>
          <w:rFonts w:hint="eastAsia" w:ascii="仿宋_GB2312" w:hAnsi="仿宋_GB2312" w:eastAsia="仿宋_GB2312" w:cs="仿宋_GB2312"/>
          <w:color w:val="000000"/>
          <w:sz w:val="32"/>
          <w:szCs w:val="32"/>
          <w:shd w:val="clear" w:color="auto" w:fill="auto"/>
        </w:rPr>
        <w:t>物流成本偏高，</w:t>
      </w:r>
      <w:r>
        <w:rPr>
          <w:rFonts w:hint="eastAsia" w:ascii="仿宋_GB2312" w:hAnsi="仿宋_GB2312" w:eastAsia="仿宋_GB2312" w:cs="仿宋_GB2312"/>
          <w:bCs/>
          <w:color w:val="000000"/>
          <w:sz w:val="32"/>
          <w:szCs w:val="32"/>
          <w:shd w:val="clear" w:color="auto" w:fill="auto"/>
        </w:rPr>
        <w:t>配套设施有待完善。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sz w:val="32"/>
          <w:szCs w:val="32"/>
        </w:rPr>
      </w:pPr>
      <w:r>
        <w:rPr>
          <w:rFonts w:hint="eastAsia" w:ascii="黑体" w:hAnsi="黑体" w:eastAsia="黑体"/>
          <w:b/>
          <w:bCs/>
          <w:sz w:val="32"/>
          <w:szCs w:val="32"/>
        </w:rPr>
        <w:t>五、改进措施和有关建议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县级财政加大对园区项目建设投入，缓减资金压力。</w:t>
      </w:r>
    </w:p>
    <w:p>
      <w:pPr>
        <w:pStyle w:val="7"/>
        <w:ind w:left="0" w:leftChars="0" w:firstLine="0" w:firstLineChars="0"/>
      </w:pPr>
    </w:p>
    <w:sectPr>
      <w:headerReference r:id="rId3" w:type="default"/>
      <w:footerReference r:id="rId4" w:type="default"/>
      <w:footerReference r:id="rId5" w:type="even"/>
      <w:pgSz w:w="11905" w:h="16837"/>
      <w:pgMar w:top="1418"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A257E"/>
    <w:multiLevelType w:val="singleLevel"/>
    <w:tmpl w:val="E61A257E"/>
    <w:lvl w:ilvl="0" w:tentative="0">
      <w:start w:val="2"/>
      <w:numFmt w:val="chineseCounting"/>
      <w:suff w:val="nothing"/>
      <w:lvlText w:val="（%1）"/>
      <w:lvlJc w:val="left"/>
      <w:rPr>
        <w:rFonts w:hint="eastAsia"/>
      </w:rPr>
    </w:lvl>
  </w:abstractNum>
  <w:abstractNum w:abstractNumId="1">
    <w:nsid w:val="E8DE4EBA"/>
    <w:multiLevelType w:val="singleLevel"/>
    <w:tmpl w:val="E8DE4EB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ZDM1OWI0OTZmZTZiZDQ5YzRiMzI1MTAxNzAwM2IifQ=="/>
  </w:docVars>
  <w:rsids>
    <w:rsidRoot w:val="18D538B0"/>
    <w:rsid w:val="00537C28"/>
    <w:rsid w:val="00CE26DC"/>
    <w:rsid w:val="010F7FF3"/>
    <w:rsid w:val="01600BAC"/>
    <w:rsid w:val="018E17F6"/>
    <w:rsid w:val="02930952"/>
    <w:rsid w:val="07AB186F"/>
    <w:rsid w:val="08C64661"/>
    <w:rsid w:val="08FA6E92"/>
    <w:rsid w:val="09D347BB"/>
    <w:rsid w:val="0A686BF6"/>
    <w:rsid w:val="0A9B0CFC"/>
    <w:rsid w:val="0BA91BAB"/>
    <w:rsid w:val="0E3177FA"/>
    <w:rsid w:val="0F3677DE"/>
    <w:rsid w:val="0FD33745"/>
    <w:rsid w:val="10932E5E"/>
    <w:rsid w:val="117C2E73"/>
    <w:rsid w:val="11E9622E"/>
    <w:rsid w:val="12607728"/>
    <w:rsid w:val="129E4D32"/>
    <w:rsid w:val="13113C31"/>
    <w:rsid w:val="13C57FC2"/>
    <w:rsid w:val="13EB2DF0"/>
    <w:rsid w:val="14847F58"/>
    <w:rsid w:val="170D2487"/>
    <w:rsid w:val="1767588B"/>
    <w:rsid w:val="17F35B20"/>
    <w:rsid w:val="18D538B0"/>
    <w:rsid w:val="18E032C2"/>
    <w:rsid w:val="18F733EE"/>
    <w:rsid w:val="198C1D89"/>
    <w:rsid w:val="1B7927E1"/>
    <w:rsid w:val="1C1368FA"/>
    <w:rsid w:val="1C236647"/>
    <w:rsid w:val="1C3D55BC"/>
    <w:rsid w:val="1CCF110C"/>
    <w:rsid w:val="1DE11B57"/>
    <w:rsid w:val="212D2850"/>
    <w:rsid w:val="213B4094"/>
    <w:rsid w:val="21B552CB"/>
    <w:rsid w:val="22370462"/>
    <w:rsid w:val="23C2284B"/>
    <w:rsid w:val="2451716B"/>
    <w:rsid w:val="2483632E"/>
    <w:rsid w:val="249C7A08"/>
    <w:rsid w:val="25B05D49"/>
    <w:rsid w:val="270318A8"/>
    <w:rsid w:val="272730F1"/>
    <w:rsid w:val="29204714"/>
    <w:rsid w:val="29453D02"/>
    <w:rsid w:val="2A706BB3"/>
    <w:rsid w:val="2AE65071"/>
    <w:rsid w:val="2B04184D"/>
    <w:rsid w:val="2C2B5641"/>
    <w:rsid w:val="2E2B5E45"/>
    <w:rsid w:val="2E515D05"/>
    <w:rsid w:val="2EA64C1B"/>
    <w:rsid w:val="2ED867BE"/>
    <w:rsid w:val="2FC02FA6"/>
    <w:rsid w:val="2FF745A3"/>
    <w:rsid w:val="316450AF"/>
    <w:rsid w:val="31C61758"/>
    <w:rsid w:val="325B4596"/>
    <w:rsid w:val="335115F0"/>
    <w:rsid w:val="33C1667B"/>
    <w:rsid w:val="34A37D74"/>
    <w:rsid w:val="3546366F"/>
    <w:rsid w:val="357070B5"/>
    <w:rsid w:val="361F4396"/>
    <w:rsid w:val="36B14785"/>
    <w:rsid w:val="38FC7F68"/>
    <w:rsid w:val="3A754CC9"/>
    <w:rsid w:val="3B236456"/>
    <w:rsid w:val="3BA64AD4"/>
    <w:rsid w:val="3BEA370A"/>
    <w:rsid w:val="3EBE5A80"/>
    <w:rsid w:val="3ECD3124"/>
    <w:rsid w:val="3F10721A"/>
    <w:rsid w:val="3F732F1F"/>
    <w:rsid w:val="3F9A003D"/>
    <w:rsid w:val="401C5365"/>
    <w:rsid w:val="406B3BF6"/>
    <w:rsid w:val="40F164D7"/>
    <w:rsid w:val="418603E0"/>
    <w:rsid w:val="46767799"/>
    <w:rsid w:val="475F4422"/>
    <w:rsid w:val="47EE0514"/>
    <w:rsid w:val="4874505C"/>
    <w:rsid w:val="487D6E9C"/>
    <w:rsid w:val="49136AFE"/>
    <w:rsid w:val="49201968"/>
    <w:rsid w:val="4BB905DA"/>
    <w:rsid w:val="4CFB02DB"/>
    <w:rsid w:val="4D5D0D6B"/>
    <w:rsid w:val="4E0B709E"/>
    <w:rsid w:val="4EEE3B08"/>
    <w:rsid w:val="507C62DD"/>
    <w:rsid w:val="518774AC"/>
    <w:rsid w:val="54F97A07"/>
    <w:rsid w:val="563C6D66"/>
    <w:rsid w:val="565C4B5A"/>
    <w:rsid w:val="578E37A1"/>
    <w:rsid w:val="58694DA2"/>
    <w:rsid w:val="58C76ABA"/>
    <w:rsid w:val="5C9E0673"/>
    <w:rsid w:val="5D557CB0"/>
    <w:rsid w:val="5DC50992"/>
    <w:rsid w:val="5E5F1C11"/>
    <w:rsid w:val="5F0C5982"/>
    <w:rsid w:val="5F217E4A"/>
    <w:rsid w:val="5FFA54AB"/>
    <w:rsid w:val="635B32B1"/>
    <w:rsid w:val="63AD5DD7"/>
    <w:rsid w:val="63EE4D66"/>
    <w:rsid w:val="64104113"/>
    <w:rsid w:val="648D1ADE"/>
    <w:rsid w:val="64D92F75"/>
    <w:rsid w:val="65ED7F30"/>
    <w:rsid w:val="68A73B34"/>
    <w:rsid w:val="68C908E9"/>
    <w:rsid w:val="6A522671"/>
    <w:rsid w:val="6ACB22C2"/>
    <w:rsid w:val="6AE228CC"/>
    <w:rsid w:val="6C353187"/>
    <w:rsid w:val="6C6A0E2B"/>
    <w:rsid w:val="6C801864"/>
    <w:rsid w:val="6E2C7BFD"/>
    <w:rsid w:val="6E615BFD"/>
    <w:rsid w:val="6EFD5AB2"/>
    <w:rsid w:val="70BC6CFD"/>
    <w:rsid w:val="73F83CE1"/>
    <w:rsid w:val="74CA3F6B"/>
    <w:rsid w:val="75B74C0D"/>
    <w:rsid w:val="762F0C47"/>
    <w:rsid w:val="76791AEC"/>
    <w:rsid w:val="767C2482"/>
    <w:rsid w:val="769D02A6"/>
    <w:rsid w:val="78853E63"/>
    <w:rsid w:val="78A44204"/>
    <w:rsid w:val="7A3613CA"/>
    <w:rsid w:val="7A94551C"/>
    <w:rsid w:val="7C13753C"/>
    <w:rsid w:val="7CC266CD"/>
    <w:rsid w:val="7D18649F"/>
    <w:rsid w:val="7D2A54B9"/>
    <w:rsid w:val="7E357016"/>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firstLine="420" w:firstLineChars="200"/>
    </w:pPr>
  </w:style>
  <w:style w:type="character" w:styleId="10">
    <w:name w:val="page number"/>
    <w:basedOn w:val="9"/>
    <w:qFormat/>
    <w:uiPriority w:val="0"/>
  </w:style>
  <w:style w:type="character" w:customStyle="1" w:styleId="11">
    <w:name w:val="NormalCharacter"/>
    <w:link w:val="12"/>
    <w:qFormat/>
    <w:uiPriority w:val="0"/>
  </w:style>
  <w:style w:type="paragraph" w:customStyle="1" w:styleId="12">
    <w:name w:val="UserStyle_1"/>
    <w:basedOn w:val="13"/>
    <w:link w:val="11"/>
    <w:qFormat/>
    <w:uiPriority w:val="0"/>
    <w:pPr>
      <w:spacing w:after="160" w:line="240" w:lineRule="exact"/>
      <w:jc w:val="left"/>
    </w:pPr>
  </w:style>
  <w:style w:type="paragraph" w:customStyle="1" w:styleId="13">
    <w:name w:val="UserStyle_2"/>
    <w:qFormat/>
    <w:uiPriority w:val="0"/>
    <w:pPr>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3595</Words>
  <Characters>3895</Characters>
  <Lines>0</Lines>
  <Paragraphs>0</Paragraphs>
  <TotalTime>73</TotalTime>
  <ScaleCrop>false</ScaleCrop>
  <LinksUpToDate>false</LinksUpToDate>
  <CharactersWithSpaces>4028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2022-05-11T02:53:00Z</cp:lastPrinted>
  <dcterms:modified xsi:type="dcterms:W3CDTF">2022-08-19T07:48:36Z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FC4AD5B48165493FADE0A0374E14E380</vt:lpwstr>
  </property>
  <property fmtid="{D5CDD505-2E9C-101B-9397-08002B2CF9AE}" pid="4" name="commondata">
    <vt:lpwstr>eyJoZGlkIjoiMjQyZDM1OWI0OTZmZTZiZDQ5YzRiMzI1MTAxNzAwM2IifQ==</vt:lpwstr>
  </property>
</Properties>
</file>