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C6" w:rsidRDefault="00E231EE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5211C6" w:rsidRDefault="00E231EE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421"/>
        <w:gridCol w:w="960"/>
        <w:gridCol w:w="495"/>
        <w:gridCol w:w="850"/>
        <w:gridCol w:w="37"/>
      </w:tblGrid>
      <w:tr w:rsidR="005211C6">
        <w:trPr>
          <w:gridAfter w:val="1"/>
          <w:wAfter w:w="37" w:type="dxa"/>
          <w:trHeight w:val="480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1C6" w:rsidRDefault="00E231EE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2021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036"/>
          <w:jc w:val="center"/>
        </w:trPr>
        <w:tc>
          <w:tcPr>
            <w:tcW w:w="533" w:type="dxa"/>
            <w:vMerge w:val="restart"/>
            <w:vAlign w:val="center"/>
          </w:tcPr>
          <w:p w:rsidR="005211C6" w:rsidRDefault="00E231E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5211C6" w:rsidRDefault="00E231EE">
            <w:pPr>
              <w:spacing w:line="5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</w:t>
            </w:r>
            <w:r>
              <w:rPr>
                <w:rFonts w:ascii="楷体" w:eastAsia="楷体" w:hAnsi="楷体" w:cs="楷体" w:hint="eastAsia"/>
                <w:szCs w:val="21"/>
              </w:rPr>
              <w:t>供销社</w:t>
            </w:r>
          </w:p>
          <w:p w:rsidR="005211C6" w:rsidRDefault="005211C6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466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5211C6" w:rsidRDefault="00E231EE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5211C6" w:rsidRDefault="00E231EE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5211C6" w:rsidRDefault="00E231EE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13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867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 w:val="13"/>
                <w:szCs w:val="13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5211C6" w:rsidRDefault="005211C6">
            <w:pPr>
              <w:pStyle w:val="a6"/>
              <w:widowControl/>
              <w:spacing w:before="0" w:beforeAutospacing="0" w:after="0" w:afterAutospacing="0" w:line="360" w:lineRule="auto"/>
              <w:jc w:val="both"/>
              <w:rPr>
                <w:rFonts w:ascii="楷体" w:eastAsia="楷体" w:hAnsi="楷体" w:cs="楷体"/>
                <w:sz w:val="13"/>
                <w:szCs w:val="13"/>
              </w:rPr>
            </w:pPr>
          </w:p>
          <w:p w:rsidR="005211C6" w:rsidRDefault="00E231EE">
            <w:pPr>
              <w:spacing w:line="340" w:lineRule="exact"/>
              <w:jc w:val="left"/>
              <w:rPr>
                <w:rFonts w:ascii="楷体" w:eastAsia="楷体" w:hAnsi="楷体" w:cs="楷体"/>
                <w:sz w:val="13"/>
                <w:szCs w:val="13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宣传贯彻各级党委政府关于农村经济工作和社会发展的方针政策，实施“新网工程”，打造为“三农”服务平台，创办专业合作社、综合服务社和农民经济协会，指导、扶持成员社的发展，发挥供销社在组织农民进入市场、发展农业产业化经营等方面的积极作用，做好企业改制后的工作，完成县委、县政府交办的各项中心工作。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72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5211C6" w:rsidRDefault="00E231E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228.13</w:t>
            </w:r>
            <w:r>
              <w:rPr>
                <w:rFonts w:ascii="楷体" w:eastAsia="楷体" w:hAnsi="楷体" w:cs="楷体" w:hint="eastAsia"/>
                <w:szCs w:val="21"/>
              </w:rPr>
              <w:t>万</w:t>
            </w:r>
          </w:p>
        </w:tc>
        <w:tc>
          <w:tcPr>
            <w:tcW w:w="1413" w:type="dxa"/>
            <w:gridSpan w:val="2"/>
            <w:vAlign w:val="center"/>
          </w:tcPr>
          <w:p w:rsidR="005211C6" w:rsidRDefault="00E231E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960" w:type="dxa"/>
          </w:tcPr>
          <w:p w:rsidR="005211C6" w:rsidRDefault="005211C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5211C6" w:rsidRDefault="00E231E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887" w:type="dxa"/>
            <w:gridSpan w:val="2"/>
            <w:vMerge w:val="restart"/>
          </w:tcPr>
          <w:p w:rsidR="005211C6" w:rsidRDefault="00E231E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228.13</w:t>
            </w:r>
            <w:r>
              <w:rPr>
                <w:rFonts w:ascii="楷体" w:eastAsia="楷体" w:hAnsi="楷体" w:cs="楷体" w:hint="eastAsia"/>
                <w:szCs w:val="21"/>
              </w:rPr>
              <w:t>万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55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5211C6" w:rsidRDefault="005211C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5211C6" w:rsidRDefault="005211C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211C6" w:rsidRDefault="00E231EE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960" w:type="dxa"/>
          </w:tcPr>
          <w:p w:rsidR="005211C6" w:rsidRDefault="005211C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:rsidR="005211C6" w:rsidRDefault="005211C6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87" w:type="dxa"/>
            <w:gridSpan w:val="2"/>
            <w:vMerge/>
          </w:tcPr>
          <w:p w:rsidR="005211C6" w:rsidRDefault="005211C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0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163.14</w:t>
            </w:r>
            <w:r>
              <w:rPr>
                <w:rFonts w:ascii="楷体" w:eastAsia="楷体" w:hAnsi="楷体" w:cs="楷体" w:hint="eastAsia"/>
                <w:szCs w:val="21"/>
              </w:rPr>
              <w:t>万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60" w:type="dxa"/>
            <w:vMerge w:val="restart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64.99</w:t>
            </w:r>
            <w:r>
              <w:rPr>
                <w:rFonts w:ascii="楷体" w:eastAsia="楷体" w:hAnsi="楷体" w:cs="楷体" w:hint="eastAsia"/>
                <w:szCs w:val="21"/>
              </w:rPr>
              <w:t>万</w:t>
            </w:r>
          </w:p>
        </w:tc>
        <w:tc>
          <w:tcPr>
            <w:tcW w:w="495" w:type="dxa"/>
            <w:vMerge w:val="restart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228.13</w:t>
            </w:r>
            <w:r>
              <w:rPr>
                <w:rFonts w:ascii="楷体" w:eastAsia="楷体" w:hAnsi="楷体" w:cs="楷体" w:hint="eastAsia"/>
                <w:szCs w:val="21"/>
              </w:rPr>
              <w:t>万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708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5211C6" w:rsidRDefault="005211C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0.99</w:t>
            </w:r>
            <w:r>
              <w:rPr>
                <w:rFonts w:ascii="楷体" w:eastAsia="楷体" w:hAnsi="楷体" w:cs="楷体" w:hint="eastAsia"/>
                <w:szCs w:val="21"/>
              </w:rPr>
              <w:t>万</w:t>
            </w:r>
          </w:p>
        </w:tc>
        <w:tc>
          <w:tcPr>
            <w:tcW w:w="1413" w:type="dxa"/>
            <w:gridSpan w:val="2"/>
            <w:vMerge/>
          </w:tcPr>
          <w:p w:rsidR="005211C6" w:rsidRDefault="005211C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60" w:type="dxa"/>
            <w:vMerge/>
          </w:tcPr>
          <w:p w:rsidR="005211C6" w:rsidRDefault="005211C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:rsidR="005211C6" w:rsidRDefault="005211C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87" w:type="dxa"/>
            <w:gridSpan w:val="2"/>
            <w:vMerge/>
            <w:vAlign w:val="center"/>
          </w:tcPr>
          <w:p w:rsidR="005211C6" w:rsidRDefault="005211C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6"/>
          <w:jc w:val="center"/>
        </w:trPr>
        <w:tc>
          <w:tcPr>
            <w:tcW w:w="533" w:type="dxa"/>
            <w:vMerge w:val="restart"/>
            <w:vAlign w:val="center"/>
          </w:tcPr>
          <w:p w:rsidR="005211C6" w:rsidRDefault="00E231E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437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25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4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5211C6" w:rsidRDefault="00E231EE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5211C6" w:rsidRDefault="00E231EE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1.9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</w:t>
            </w:r>
            <w:r>
              <w:rPr>
                <w:rFonts w:ascii="楷体" w:eastAsia="楷体" w:hAnsi="楷体" w:cs="楷体" w:hint="eastAsia"/>
                <w:szCs w:val="21"/>
              </w:rPr>
              <w:t>2.14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740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5211C6" w:rsidRDefault="00E231E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 </w:t>
            </w:r>
            <w:r>
              <w:rPr>
                <w:rFonts w:ascii="楷体" w:eastAsia="楷体" w:hAnsi="楷体" w:cs="楷体" w:hint="eastAsia"/>
                <w:szCs w:val="21"/>
              </w:rPr>
              <w:t>2021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szCs w:val="21"/>
              </w:rPr>
              <w:t>25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5211C6" w:rsidRDefault="00E231E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5211C6" w:rsidRDefault="00E231EE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280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1"/>
          <w:jc w:val="center"/>
        </w:trPr>
        <w:tc>
          <w:tcPr>
            <w:tcW w:w="533" w:type="dxa"/>
            <w:vMerge/>
            <w:vAlign w:val="center"/>
          </w:tcPr>
          <w:p w:rsidR="005211C6" w:rsidRDefault="005211C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5211C6" w:rsidRDefault="00E231EE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5211C6" w:rsidRDefault="00E231E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5211C6" w:rsidRDefault="005211C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413"/>
          <w:jc w:val="center"/>
        </w:trPr>
        <w:tc>
          <w:tcPr>
            <w:tcW w:w="533" w:type="dxa"/>
            <w:vAlign w:val="center"/>
          </w:tcPr>
          <w:p w:rsidR="005211C6" w:rsidRDefault="00E231EE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5211C6" w:rsidRDefault="00E231EE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5211C6" w:rsidRDefault="00E231EE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：全面完成供销综合改革工作。</w:t>
            </w:r>
          </w:p>
          <w:p w:rsidR="005211C6" w:rsidRDefault="00E231EE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：创建省级供销惠农综合服务示范县。</w:t>
            </w:r>
          </w:p>
          <w:p w:rsidR="005211C6" w:rsidRDefault="00E231EE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3:</w:t>
            </w:r>
            <w:r>
              <w:rPr>
                <w:rFonts w:ascii="楷体" w:eastAsia="楷体" w:hAnsi="楷体" w:cs="楷体" w:hint="eastAsia"/>
                <w:szCs w:val="21"/>
              </w:rPr>
              <w:t>全面推进垃圾分类减量和再生资源回收工作，巩固脱贫攻坚成果，做好改制遗留问题处理和下岗职工服务工作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697"/>
          <w:jc w:val="center"/>
        </w:trPr>
        <w:tc>
          <w:tcPr>
            <w:tcW w:w="533" w:type="dxa"/>
            <w:vAlign w:val="center"/>
          </w:tcPr>
          <w:p w:rsidR="005211C6" w:rsidRDefault="00E231EE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5211C6" w:rsidRDefault="00E231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534"/>
          <w:jc w:val="center"/>
        </w:trPr>
        <w:tc>
          <w:tcPr>
            <w:tcW w:w="533" w:type="dxa"/>
            <w:vAlign w:val="center"/>
          </w:tcPr>
          <w:p w:rsidR="005211C6" w:rsidRDefault="00E231EE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、预算编制有待细化。细化预算编制工作，认真做好预算的编制。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、财务管理有待创新。</w:t>
            </w:r>
            <w:r>
              <w:rPr>
                <w:rFonts w:ascii="楷体" w:eastAsia="楷体" w:hAnsi="楷体" w:cs="楷体" w:hint="eastAsia"/>
                <w:szCs w:val="21"/>
              </w:rPr>
              <w:t>建立和完善财务制度</w:t>
            </w:r>
            <w:r>
              <w:rPr>
                <w:rFonts w:ascii="楷体" w:eastAsia="楷体" w:hAnsi="楷体" w:cs="楷体" w:hint="eastAsia"/>
                <w:szCs w:val="21"/>
              </w:rPr>
              <w:t>，严格财务审核。</w:t>
            </w:r>
          </w:p>
          <w:p w:rsidR="005211C6" w:rsidRDefault="00E231E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szCs w:val="21"/>
              </w:rPr>
              <w:t>、资产管理有待加强。完善资产管理，抓好“三公”经费控制。</w:t>
            </w:r>
          </w:p>
          <w:p w:rsidR="005211C6" w:rsidRDefault="005211C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52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974"/>
          <w:jc w:val="center"/>
        </w:trPr>
        <w:tc>
          <w:tcPr>
            <w:tcW w:w="533" w:type="dxa"/>
          </w:tcPr>
          <w:p w:rsidR="005211C6" w:rsidRDefault="00E231EE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5211C6" w:rsidRDefault="005211C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5211C6" w:rsidRDefault="005211C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5211C6" w:rsidRDefault="005211C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5211C6" w:rsidRDefault="005211C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5211C6" w:rsidRDefault="00E231E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5211C6" w:rsidRDefault="005211C6">
      <w:pPr>
        <w:rPr>
          <w:rFonts w:ascii="宋体"/>
          <w:szCs w:val="21"/>
        </w:rPr>
      </w:pPr>
    </w:p>
    <w:p w:rsidR="005211C6" w:rsidRDefault="00E231EE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刘红桃</w:t>
      </w:r>
      <w:r>
        <w:rPr>
          <w:rFonts w:ascii="宋体" w:hAnsi="宋体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 w:hint="eastAsia"/>
          <w:szCs w:val="21"/>
        </w:rPr>
        <w:t>18373935875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2022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>日</w:t>
      </w:r>
    </w:p>
    <w:p w:rsidR="005211C6" w:rsidRDefault="00E231EE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5211C6" w:rsidRDefault="005211C6">
      <w:pPr>
        <w:spacing w:line="560" w:lineRule="exact"/>
        <w:rPr>
          <w:rFonts w:eastAsia="黑体"/>
          <w:kern w:val="0"/>
        </w:rPr>
      </w:pPr>
    </w:p>
    <w:p w:rsidR="005211C6" w:rsidRDefault="005211C6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5211C6" w:rsidRDefault="00E231EE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5211C6" w:rsidRDefault="00E231EE">
      <w:pPr>
        <w:spacing w:line="600" w:lineRule="exact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隆回县供销社</w:t>
      </w:r>
    </w:p>
    <w:p w:rsidR="005211C6" w:rsidRDefault="00E231EE">
      <w:pPr>
        <w:spacing w:line="600" w:lineRule="exact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2021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年度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部门整体支出绩效自评报告</w:t>
      </w:r>
    </w:p>
    <w:p w:rsidR="005211C6" w:rsidRDefault="005211C6">
      <w:pPr>
        <w:ind w:firstLineChars="200" w:firstLine="420"/>
      </w:pPr>
    </w:p>
    <w:p w:rsidR="005211C6" w:rsidRDefault="00E231EE">
      <w:pPr>
        <w:spacing w:line="360" w:lineRule="auto"/>
        <w:ind w:firstLineChars="200" w:firstLine="643"/>
        <w:rPr>
          <w:rFonts w:ascii="Calibri Light" w:eastAsia="黑体" w:hAnsi="Calibri Light" w:cs="Calibri Light"/>
          <w:b/>
          <w:bCs/>
          <w:sz w:val="32"/>
          <w:szCs w:val="32"/>
        </w:rPr>
      </w:pPr>
      <w:r>
        <w:rPr>
          <w:rFonts w:ascii="Calibri Light" w:eastAsia="黑体" w:hAnsi="Calibri Light" w:cs="Calibri Light"/>
          <w:b/>
          <w:bCs/>
          <w:sz w:val="32"/>
          <w:szCs w:val="32"/>
        </w:rPr>
        <w:t>一、部门概况</w:t>
      </w:r>
    </w:p>
    <w:p w:rsidR="005211C6" w:rsidRDefault="00E231E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Calibri Light" w:eastAsia="华文仿宋" w:hAnsi="Calibri Light" w:cs="Calibri Light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一）部门基本情况</w:t>
      </w:r>
    </w:p>
    <w:p w:rsidR="005211C6" w:rsidRDefault="00E231EE">
      <w:pPr>
        <w:spacing w:line="360" w:lineRule="auto"/>
        <w:ind w:firstLineChars="200" w:firstLine="640"/>
        <w:jc w:val="left"/>
        <w:rPr>
          <w:rFonts w:ascii="仿宋" w:eastAsia="仿宋" w:hAnsi="仿宋" w:cs="仿宋"/>
          <w:kern w:val="3"/>
          <w:sz w:val="32"/>
          <w:szCs w:val="32"/>
        </w:rPr>
      </w:pPr>
      <w:r>
        <w:rPr>
          <w:rFonts w:ascii="仿宋" w:eastAsia="仿宋" w:hAnsi="仿宋" w:cs="仿宋" w:hint="eastAsia"/>
          <w:kern w:val="3"/>
          <w:sz w:val="32"/>
          <w:szCs w:val="32"/>
        </w:rPr>
        <w:t>隆回县供销社现有编制人数为</w:t>
      </w:r>
      <w:r>
        <w:rPr>
          <w:rFonts w:ascii="仿宋" w:eastAsia="仿宋" w:hAnsi="仿宋" w:cs="仿宋" w:hint="eastAsia"/>
          <w:kern w:val="3"/>
          <w:sz w:val="32"/>
          <w:szCs w:val="32"/>
        </w:rPr>
        <w:t>14</w:t>
      </w:r>
      <w:r>
        <w:rPr>
          <w:rFonts w:ascii="仿宋" w:eastAsia="仿宋" w:hAnsi="仿宋" w:cs="仿宋" w:hint="eastAsia"/>
          <w:kern w:val="3"/>
          <w:sz w:val="32"/>
          <w:szCs w:val="32"/>
        </w:rPr>
        <w:t>人，实际人数</w:t>
      </w:r>
      <w:r>
        <w:rPr>
          <w:rFonts w:ascii="仿宋" w:eastAsia="仿宋" w:hAnsi="仿宋" w:cs="仿宋" w:hint="eastAsia"/>
          <w:kern w:val="3"/>
          <w:sz w:val="32"/>
          <w:szCs w:val="32"/>
        </w:rPr>
        <w:t>4</w:t>
      </w:r>
      <w:r>
        <w:rPr>
          <w:rFonts w:ascii="仿宋" w:eastAsia="仿宋" w:hAnsi="仿宋" w:cs="仿宋" w:hint="eastAsia"/>
          <w:kern w:val="3"/>
          <w:sz w:val="32"/>
          <w:szCs w:val="32"/>
        </w:rPr>
        <w:t>3</w:t>
      </w:r>
      <w:r>
        <w:rPr>
          <w:rFonts w:ascii="仿宋" w:eastAsia="仿宋" w:hAnsi="仿宋" w:cs="仿宋" w:hint="eastAsia"/>
          <w:kern w:val="3"/>
          <w:sz w:val="32"/>
          <w:szCs w:val="32"/>
        </w:rPr>
        <w:t>人，其中：在职人员</w:t>
      </w:r>
      <w:r>
        <w:rPr>
          <w:rFonts w:ascii="仿宋" w:eastAsia="仿宋" w:hAnsi="仿宋" w:cs="仿宋" w:hint="eastAsia"/>
          <w:kern w:val="3"/>
          <w:sz w:val="32"/>
          <w:szCs w:val="32"/>
        </w:rPr>
        <w:t>1</w:t>
      </w:r>
      <w:r>
        <w:rPr>
          <w:rFonts w:ascii="仿宋" w:eastAsia="仿宋" w:hAnsi="仿宋" w:cs="仿宋" w:hint="eastAsia"/>
          <w:kern w:val="3"/>
          <w:sz w:val="32"/>
          <w:szCs w:val="32"/>
        </w:rPr>
        <w:t>3</w:t>
      </w:r>
      <w:r>
        <w:rPr>
          <w:rFonts w:ascii="仿宋" w:eastAsia="仿宋" w:hAnsi="仿宋" w:cs="仿宋" w:hint="eastAsia"/>
          <w:kern w:val="3"/>
          <w:sz w:val="32"/>
          <w:szCs w:val="32"/>
        </w:rPr>
        <w:t>人，离退休老同志</w:t>
      </w:r>
      <w:r>
        <w:rPr>
          <w:rFonts w:ascii="仿宋" w:eastAsia="仿宋" w:hAnsi="仿宋" w:cs="仿宋" w:hint="eastAsia"/>
          <w:kern w:val="3"/>
          <w:sz w:val="32"/>
          <w:szCs w:val="32"/>
        </w:rPr>
        <w:t>30</w:t>
      </w:r>
      <w:r>
        <w:rPr>
          <w:rFonts w:ascii="仿宋" w:eastAsia="仿宋" w:hAnsi="仿宋" w:cs="仿宋" w:hint="eastAsia"/>
          <w:kern w:val="3"/>
          <w:sz w:val="32"/>
          <w:szCs w:val="32"/>
        </w:rPr>
        <w:t>人，房屋面积</w:t>
      </w:r>
      <w:r>
        <w:rPr>
          <w:rFonts w:ascii="仿宋" w:eastAsia="仿宋" w:hAnsi="仿宋" w:cs="仿宋" w:hint="eastAsia"/>
          <w:kern w:val="3"/>
          <w:sz w:val="32"/>
          <w:szCs w:val="32"/>
        </w:rPr>
        <w:t>1000</w:t>
      </w:r>
      <w:r>
        <w:rPr>
          <w:rFonts w:ascii="仿宋" w:eastAsia="仿宋" w:hAnsi="仿宋" w:cs="仿宋" w:hint="eastAsia"/>
          <w:kern w:val="3"/>
          <w:sz w:val="32"/>
          <w:szCs w:val="32"/>
        </w:rPr>
        <w:t>平方米。本单位共设有四个股室：办公室、政工股、财会股、业务股，隆回县供销合作社联合社是本辖区供销合作经济组织的管理机构，其主要职责是；宣传贯彻各级党委政府关于农村经济工作和社会发展的方针政策，实施新网工程，打造为“三农”服务平台，创办专业合作社、综合服务社和农民经济协会，指导、扶持成员社的发展，发挥供销社在组织农民进入市场、发展农业产业化经营等方面的积极作用，做好企业改制后的维稳工作，承办本系统改制职工有关政策的落实。完成县委、县政府交办的各项中心工作。</w:t>
      </w:r>
    </w:p>
    <w:p w:rsidR="005211C6" w:rsidRDefault="00E231EE">
      <w:pPr>
        <w:spacing w:after="12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年的重点工作</w:t>
      </w:r>
    </w:p>
    <w:p w:rsidR="005211C6" w:rsidRDefault="00E231EE">
      <w:pPr>
        <w:spacing w:after="120" w:line="360" w:lineRule="auto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综合改革深入推进。一是综合改革取得实质进展。</w:t>
      </w:r>
      <w:r>
        <w:rPr>
          <w:rFonts w:ascii="仿宋" w:eastAsia="仿宋" w:hAnsi="仿宋" w:cs="仿宋" w:hint="eastAsia"/>
          <w:sz w:val="32"/>
          <w:szCs w:val="32"/>
        </w:rPr>
        <w:t>县社机构设置规范，县农合会完成注册登记发证、以县供销惠农服务有限公司为主体建设了县供销综合服务中心；全县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个乡镇（街道办事处）成立了乡镇供销合作社、乡镇供销惠农服务中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心、县农村经济合作组织联合会乡镇分会；全县</w:t>
      </w:r>
      <w:r>
        <w:rPr>
          <w:rFonts w:ascii="仿宋" w:eastAsia="仿宋" w:hAnsi="仿宋" w:cs="仿宋" w:hint="eastAsia"/>
          <w:sz w:val="32"/>
          <w:szCs w:val="32"/>
        </w:rPr>
        <w:t>572</w:t>
      </w:r>
      <w:r>
        <w:rPr>
          <w:rFonts w:ascii="仿宋" w:eastAsia="仿宋" w:hAnsi="仿宋" w:cs="仿宋" w:hint="eastAsia"/>
          <w:sz w:val="32"/>
          <w:szCs w:val="32"/>
        </w:rPr>
        <w:t>个村（社区）都成立了村级供销综合服务社，做到有场所、有人员、有供销标识和牌子。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年充实了监事会力量，监事会主任配备到位。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高标准召开了供销合作社第六次代表大会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按照省市要求，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日下午我县供销合作社第六次代表大会顺利召开，县委书记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刘军，市社党委书记、理事会主任汪庆春出席会议并讲话。这是从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1986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月召开第五届社员代表大会至今已有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年召开的社员代表大会，会议规格创历史之高。会议审议并表决通过了隆回县供销合作社理</w:t>
      </w:r>
      <w:r>
        <w:rPr>
          <w:rFonts w:ascii="仿宋" w:eastAsia="仿宋" w:hAnsi="仿宋" w:cs="仿宋" w:hint="eastAsia"/>
          <w:sz w:val="32"/>
          <w:szCs w:val="32"/>
        </w:rPr>
        <w:t>事会工作报告的决议案、监事会工作报告的决议案和《隆回县供销合作联社章程》修订草案的决议案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选举出第六届理事会成员和监事会成员。</w:t>
      </w:r>
    </w:p>
    <w:p w:rsidR="005211C6" w:rsidRDefault="00E231EE">
      <w:pPr>
        <w:spacing w:line="360" w:lineRule="auto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维护稳定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成效显著。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供销系统共有改制人员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2908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供销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社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始终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把安全生产和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信访维稳工作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作为头等大事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来抓。</w:t>
      </w:r>
      <w:r>
        <w:rPr>
          <w:rFonts w:ascii="仿宋" w:eastAsia="仿宋" w:hAnsi="仿宋" w:cs="仿宋" w:hint="eastAsia"/>
          <w:bCs/>
          <w:sz w:val="32"/>
          <w:szCs w:val="32"/>
        </w:rPr>
        <w:t>今年</w:t>
      </w:r>
      <w:r>
        <w:rPr>
          <w:rFonts w:ascii="仿宋" w:eastAsia="仿宋" w:hAnsi="仿宋" w:cs="仿宋" w:hint="eastAsia"/>
          <w:bCs/>
          <w:sz w:val="32"/>
          <w:szCs w:val="32"/>
        </w:rPr>
        <w:t>处理落实好秦林秀常年上访的积案，并签订了息访协议。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推进“五包一”工作制度，</w:t>
      </w:r>
      <w:r>
        <w:rPr>
          <w:rFonts w:ascii="仿宋" w:eastAsia="仿宋" w:hAnsi="仿宋" w:cs="仿宋" w:hint="eastAsia"/>
          <w:bCs/>
          <w:sz w:val="32"/>
          <w:szCs w:val="32"/>
        </w:rPr>
        <w:t>积极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开展社会稳定隐患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和矛盾纠纷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排查，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稳控重点对象，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确保本系统在特别防护期间社会稳定。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年接待来信来访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人次，无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一赴市以上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上访。</w:t>
      </w:r>
    </w:p>
    <w:p w:rsidR="005211C6" w:rsidRDefault="00E231EE">
      <w:pPr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党建引领推进机关建设。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一是开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展党史学习教育。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组织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机关支部全体党员开展集中党史学习、县社领导上党史讲党课，组织到城步南山党史教育基地、怀化洪江开展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学习教育，发扬红色传统、传承红色基因。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推进组织生活经常化。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经常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期开展中心组理论学习、“三会一课”、“主题党日”活动，结合庆祝建党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周年等主题党日活动，增强党组织的凝聚力和向心力，密切党群关系。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三是建设清廉机关单位。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通过清廉单位建设，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加强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宣传教育、警示教育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制度建设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严肃工作纪律，转变干部作风。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四是推进平安建设。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积极组织全体干部职工响应县委号召开展“敲门行动”，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确保辖区群众消防安全。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五是抓好结对帮扶。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全面巩固脱贫攻坚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成果，有效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衔接乡村全面振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兴。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供销社联点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虎形山水栗凼村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我们按照要求派出工作队长，扎实开展结对帮扶，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社结对帮扶已脱贫户和脱贫监测户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余户，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落实帮扶资金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万元，机关干部结对帮扶走访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深化供销综合改革，</w:t>
      </w:r>
      <w:r>
        <w:rPr>
          <w:rFonts w:ascii="仿宋" w:eastAsia="仿宋" w:hAnsi="仿宋" w:cs="仿宋" w:hint="eastAsia"/>
          <w:color w:val="2B2B2B"/>
          <w:sz w:val="32"/>
          <w:szCs w:val="32"/>
        </w:rPr>
        <w:t>息、宣传</w:t>
      </w:r>
      <w:r>
        <w:rPr>
          <w:rFonts w:ascii="仿宋" w:eastAsia="仿宋" w:hAnsi="仿宋" w:cs="仿宋" w:hint="eastAsia"/>
          <w:color w:val="2B2B2B"/>
          <w:sz w:val="32"/>
          <w:szCs w:val="32"/>
        </w:rPr>
        <w:t>相关</w:t>
      </w:r>
      <w:r>
        <w:rPr>
          <w:rFonts w:ascii="仿宋" w:eastAsia="仿宋" w:hAnsi="仿宋" w:cs="仿宋" w:hint="eastAsia"/>
          <w:color w:val="2B2B2B"/>
          <w:sz w:val="32"/>
          <w:szCs w:val="32"/>
        </w:rPr>
        <w:t>政策，确保政策无一遗漏</w:t>
      </w:r>
      <w:r>
        <w:rPr>
          <w:rFonts w:ascii="仿宋" w:eastAsia="仿宋" w:hAnsi="仿宋" w:cs="仿宋" w:hint="eastAsia"/>
          <w:color w:val="2B2B2B"/>
          <w:sz w:val="32"/>
          <w:szCs w:val="32"/>
        </w:rPr>
        <w:t>，</w:t>
      </w:r>
      <w:r>
        <w:rPr>
          <w:rFonts w:ascii="仿宋" w:eastAsia="仿宋" w:hAnsi="仿宋" w:cs="仿宋" w:hint="eastAsia"/>
          <w:color w:val="2B2B2B"/>
          <w:sz w:val="32"/>
          <w:szCs w:val="32"/>
        </w:rPr>
        <w:t>群众满意度得到极大提升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六是疫情防控措施得力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。我社坚决落实县委县政府关于疫情防控的总要求，是本社在职干部职工和直系亲属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100%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的接种疫苗，已退休的干部职工及其直系亲属做到应接尽接；对老汽车站家属楼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多户住户全部上门开展疫情排查，动员未按时接种疫苗的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人接种了疫苗。</w:t>
      </w:r>
    </w:p>
    <w:p w:rsidR="005211C6" w:rsidRDefault="00E231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（三）部门整体支出情况</w:t>
      </w:r>
    </w:p>
    <w:p w:rsidR="005211C6" w:rsidRDefault="00E231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年我社预算总收入</w:t>
      </w:r>
      <w:r>
        <w:rPr>
          <w:rFonts w:ascii="仿宋" w:eastAsia="仿宋" w:hAnsi="仿宋" w:cs="仿宋" w:hint="eastAsia"/>
          <w:sz w:val="32"/>
          <w:szCs w:val="32"/>
        </w:rPr>
        <w:t>228.13</w:t>
      </w:r>
      <w:r>
        <w:rPr>
          <w:rFonts w:ascii="仿宋" w:eastAsia="仿宋" w:hAnsi="仿宋" w:cs="仿宋" w:hint="eastAsia"/>
          <w:sz w:val="32"/>
          <w:szCs w:val="32"/>
        </w:rPr>
        <w:t>万元，其中：县财政预算拨款</w:t>
      </w:r>
      <w:r>
        <w:rPr>
          <w:rFonts w:ascii="仿宋" w:eastAsia="仿宋" w:hAnsi="仿宋" w:cs="仿宋" w:hint="eastAsia"/>
          <w:sz w:val="32"/>
          <w:szCs w:val="32"/>
        </w:rPr>
        <w:t>228.13</w:t>
      </w:r>
      <w:r>
        <w:rPr>
          <w:rFonts w:ascii="仿宋" w:eastAsia="仿宋" w:hAnsi="仿宋" w:cs="仿宋" w:hint="eastAsia"/>
          <w:sz w:val="32"/>
          <w:szCs w:val="32"/>
        </w:rPr>
        <w:t>万元；预算总支出</w:t>
      </w:r>
      <w:r>
        <w:rPr>
          <w:rFonts w:ascii="仿宋" w:eastAsia="仿宋" w:hAnsi="仿宋" w:cs="仿宋" w:hint="eastAsia"/>
          <w:sz w:val="32"/>
          <w:szCs w:val="32"/>
        </w:rPr>
        <w:t>228.13</w:t>
      </w:r>
      <w:r>
        <w:rPr>
          <w:rFonts w:ascii="仿宋" w:eastAsia="仿宋" w:hAnsi="仿宋" w:cs="仿宋" w:hint="eastAsia"/>
          <w:sz w:val="32"/>
          <w:szCs w:val="32"/>
        </w:rPr>
        <w:t>万元，其中：基本支出</w:t>
      </w:r>
      <w:r>
        <w:rPr>
          <w:rFonts w:ascii="仿宋" w:eastAsia="仿宋" w:hAnsi="仿宋" w:cs="仿宋" w:hint="eastAsia"/>
          <w:sz w:val="32"/>
          <w:szCs w:val="32"/>
        </w:rPr>
        <w:t>163.14</w:t>
      </w:r>
      <w:r>
        <w:rPr>
          <w:rFonts w:ascii="仿宋" w:eastAsia="仿宋" w:hAnsi="仿宋" w:cs="仿宋" w:hint="eastAsia"/>
          <w:sz w:val="32"/>
          <w:szCs w:val="32"/>
        </w:rPr>
        <w:t>万元，项目支出</w:t>
      </w:r>
      <w:r>
        <w:rPr>
          <w:rFonts w:ascii="仿宋" w:eastAsia="仿宋" w:hAnsi="仿宋" w:cs="仿宋" w:hint="eastAsia"/>
          <w:sz w:val="32"/>
          <w:szCs w:val="32"/>
        </w:rPr>
        <w:t>64.99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5211C6" w:rsidRDefault="00E231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二、部门整体支出管理及使用情况</w:t>
      </w:r>
    </w:p>
    <w:p w:rsidR="005211C6" w:rsidRDefault="00E231EE">
      <w:pPr>
        <w:pStyle w:val="a9"/>
        <w:spacing w:line="360" w:lineRule="auto"/>
        <w:ind w:firstLineChars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（一）基本支出情况</w:t>
      </w:r>
    </w:p>
    <w:p w:rsidR="005211C6" w:rsidRDefault="00E231EE">
      <w:pPr>
        <w:pStyle w:val="a9"/>
        <w:spacing w:line="360" w:lineRule="auto"/>
        <w:ind w:leftChars="133" w:left="279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年决算基本支出</w:t>
      </w:r>
      <w:r>
        <w:rPr>
          <w:rFonts w:ascii="仿宋" w:eastAsia="仿宋" w:hAnsi="仿宋" w:cs="仿宋" w:hint="eastAsia"/>
          <w:sz w:val="32"/>
          <w:szCs w:val="32"/>
        </w:rPr>
        <w:t>163.14</w:t>
      </w:r>
      <w:r>
        <w:rPr>
          <w:rFonts w:ascii="仿宋" w:eastAsia="仿宋" w:hAnsi="仿宋" w:cs="仿宋" w:hint="eastAsia"/>
          <w:sz w:val="32"/>
          <w:szCs w:val="32"/>
        </w:rPr>
        <w:t>万元，是指单位为完成机构正常运转、日常工作任务而发生的各项支出，</w:t>
      </w:r>
      <w:r>
        <w:rPr>
          <w:rFonts w:ascii="仿宋" w:eastAsia="仿宋" w:hAnsi="仿宋" w:cs="仿宋" w:hint="eastAsia"/>
          <w:sz w:val="32"/>
          <w:szCs w:val="32"/>
        </w:rPr>
        <w:t>主要</w:t>
      </w:r>
      <w:r>
        <w:rPr>
          <w:rFonts w:ascii="仿宋" w:eastAsia="仿宋" w:hAnsi="仿宋" w:cs="仿宋" w:hint="eastAsia"/>
          <w:sz w:val="32"/>
          <w:szCs w:val="32"/>
        </w:rPr>
        <w:t>用于基本工资、津贴补贴等人员经费</w:t>
      </w:r>
      <w:r>
        <w:rPr>
          <w:rFonts w:ascii="仿宋" w:eastAsia="仿宋" w:hAnsi="仿宋" w:cs="仿宋" w:hint="eastAsia"/>
          <w:sz w:val="32"/>
          <w:szCs w:val="32"/>
        </w:rPr>
        <w:t>151.3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办公费、印刷费、水电费</w:t>
      </w:r>
      <w:r>
        <w:rPr>
          <w:rFonts w:ascii="仿宋" w:eastAsia="仿宋" w:hAnsi="仿宋" w:cs="仿宋" w:hint="eastAsia"/>
          <w:sz w:val="32"/>
          <w:szCs w:val="32"/>
        </w:rPr>
        <w:t>等公用经费</w:t>
      </w:r>
      <w:r>
        <w:rPr>
          <w:rFonts w:ascii="仿宋" w:eastAsia="仿宋" w:hAnsi="仿宋" w:cs="仿宋" w:hint="eastAsia"/>
          <w:sz w:val="32"/>
          <w:szCs w:val="32"/>
        </w:rPr>
        <w:t>9.79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及办公设备购置</w:t>
      </w:r>
      <w:r>
        <w:rPr>
          <w:rFonts w:ascii="仿宋" w:eastAsia="仿宋" w:hAnsi="仿宋" w:cs="仿宋" w:hint="eastAsia"/>
          <w:sz w:val="32"/>
          <w:szCs w:val="32"/>
        </w:rPr>
        <w:t>费</w:t>
      </w:r>
      <w:r>
        <w:rPr>
          <w:rFonts w:ascii="仿宋" w:eastAsia="仿宋" w:hAnsi="仿宋" w:cs="仿宋" w:hint="eastAsia"/>
          <w:sz w:val="32"/>
          <w:szCs w:val="32"/>
        </w:rPr>
        <w:t>2.14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5211C6" w:rsidRDefault="00E231EE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项目支出情况</w:t>
      </w:r>
    </w:p>
    <w:p w:rsidR="005211C6" w:rsidRDefault="00E231EE" w:rsidP="003D06E2">
      <w:pPr>
        <w:pStyle w:val="a9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年度项目支出决算数为</w:t>
      </w:r>
      <w:r>
        <w:rPr>
          <w:rFonts w:ascii="仿宋" w:eastAsia="仿宋" w:hAnsi="仿宋" w:cs="仿宋" w:hint="eastAsia"/>
          <w:sz w:val="32"/>
          <w:szCs w:val="32"/>
        </w:rPr>
        <w:t>64.99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主要用于</w:t>
      </w:r>
      <w:r>
        <w:rPr>
          <w:rFonts w:ascii="仿宋" w:eastAsia="仿宋" w:hAnsi="仿宋" w:cs="仿宋" w:hint="eastAsia"/>
          <w:sz w:val="32"/>
          <w:szCs w:val="32"/>
        </w:rPr>
        <w:t>维稳、业务经费和流通服务网络建设经费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211C6" w:rsidRDefault="00E231EE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“三公”经费情况</w:t>
      </w:r>
    </w:p>
    <w:p w:rsidR="005211C6" w:rsidRDefault="00E231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．因公出国（境）费用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211C6" w:rsidRDefault="00E231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．公务接待费</w:t>
      </w:r>
      <w:r>
        <w:rPr>
          <w:rFonts w:ascii="仿宋" w:eastAsia="仿宋" w:hAnsi="仿宋" w:cs="仿宋" w:hint="eastAsia"/>
          <w:sz w:val="32"/>
          <w:szCs w:val="32"/>
        </w:rPr>
        <w:t>0.99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211C6" w:rsidRDefault="00E231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．公务用车购置及运行费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211C6" w:rsidRDefault="00E231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三、部门整体支出绩效情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况。</w:t>
      </w:r>
    </w:p>
    <w:p w:rsidR="005211C6" w:rsidRDefault="00E231EE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是积极争取省市的支持。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在县委政府领导的大力支持下，积极多次向省市汇报工作，争取省市的大力支持。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年我县被确定为全省供销改革“两个到户”示范创建县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省社拟将我县作为国家</w:t>
      </w:r>
      <w:r>
        <w:rPr>
          <w:rFonts w:ascii="仿宋" w:eastAsia="仿宋" w:hAnsi="仿宋" w:cs="仿宋" w:hint="eastAsia"/>
          <w:sz w:val="32"/>
          <w:szCs w:val="32"/>
        </w:rPr>
        <w:t>开展生产、供销、信用“三位一体”综合合作试点</w:t>
      </w:r>
      <w:r>
        <w:rPr>
          <w:rFonts w:ascii="仿宋" w:eastAsia="仿宋" w:hAnsi="仿宋" w:cs="仿宋" w:hint="eastAsia"/>
          <w:sz w:val="32"/>
          <w:szCs w:val="32"/>
        </w:rPr>
        <w:t>县。</w:t>
      </w:r>
    </w:p>
    <w:p w:rsidR="005211C6" w:rsidRDefault="00E231EE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农服务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不断提升。</w:t>
      </w:r>
      <w:r>
        <w:rPr>
          <w:rStyle w:val="a7"/>
          <w:rFonts w:ascii="仿宋" w:eastAsia="仿宋" w:hAnsi="仿宋" w:cs="仿宋" w:hint="eastAsia"/>
          <w:color w:val="000000" w:themeColor="text1"/>
          <w:sz w:val="32"/>
          <w:szCs w:val="32"/>
        </w:rPr>
        <w:t>一是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开展生产服务。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乡镇和村级供销系统利用社会生产服务资源，组建农机专业合作社、植保专业合作社等，开展大田托管、统防统治等生产服务，通过科学有效调度，提高利用效率，降低服务成本，增加农户收益。滩头镇狮子石村农机专业合作社，拥有各类农业机械、机具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烘干设备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台套，承接了全镇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30%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耕地面积的机械作业和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42%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的烤烟烘干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，减轻了农民群众的劳动负担，增加了广大农民增收入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。高平镇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农合会山峰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米业专业合作社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在农业社会化服务发挥了龙头企业的作用，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年土地流转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28000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多亩，吸取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2600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多农户参与，统一育秧、耕种、施肥、杀虫、收割，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套烘干机组和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㎡的仓库为广大农户和家庭农场提供低成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本的水稻烘干、储存服务，为农民烘干加工稻谷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多吨，增加了农民群众种粮的收入。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是打通最后一公里。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与社会资本合作的隆回县供销惠农服</w:t>
      </w:r>
      <w:r>
        <w:rPr>
          <w:rFonts w:ascii="仿宋" w:eastAsia="仿宋" w:hAnsi="仿宋" w:cs="仿宋" w:hint="eastAsia"/>
          <w:sz w:val="32"/>
          <w:szCs w:val="32"/>
        </w:rPr>
        <w:t>务公司各项业务发展较好。目前县供销惠农服务公司在县城拥有四个仓储中心，总面积达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多平方米，物流车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台，每天配送快递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余个，开展工业品配送、快递下乡、批发零售于一体的便民服务。服务网点辐射全县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个乡镇，开展工业品配送与快递合作业务的商店有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余个点，在村级综合服务平台中设立的营业网点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个、承办扶贫爱心超市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个，打通了农村日用消费品（工业品）下乡“最后一公里”和农产品销售“最初一公里”，方便了群众，增加了集体收入。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三是大力发展冷链保鲜服务。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县城南山坪建成一座大型冷链物流仓储中心，为特色农产</w:t>
      </w:r>
      <w:r>
        <w:rPr>
          <w:rFonts w:ascii="仿宋" w:eastAsia="仿宋" w:hAnsi="仿宋" w:cs="仿宋" w:hint="eastAsia"/>
          <w:sz w:val="32"/>
          <w:szCs w:val="32"/>
        </w:rPr>
        <w:t>品进城保鲜增值提供方便。</w:t>
      </w:r>
      <w:r>
        <w:rPr>
          <w:rFonts w:ascii="仿宋" w:eastAsia="仿宋" w:hAnsi="仿宋" w:cs="仿宋" w:hint="eastAsia"/>
          <w:sz w:val="32"/>
          <w:szCs w:val="32"/>
        </w:rPr>
        <w:t>鸭田镇建设“田头”供销社冷库，为水果合作社群众减少损失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多万元。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211C6" w:rsidRDefault="00E231EE">
      <w:pPr>
        <w:spacing w:line="360" w:lineRule="auto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垃圾分类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成绩斐然。</w:t>
      </w:r>
      <w:r>
        <w:rPr>
          <w:rFonts w:ascii="仿宋" w:eastAsia="仿宋" w:hAnsi="仿宋" w:cs="仿宋" w:hint="eastAsia"/>
          <w:sz w:val="32"/>
          <w:szCs w:val="32"/>
        </w:rPr>
        <w:t>全年</w:t>
      </w:r>
      <w:r>
        <w:rPr>
          <w:rFonts w:ascii="仿宋" w:eastAsia="仿宋" w:hAnsi="仿宋" w:cs="仿宋" w:hint="eastAsia"/>
          <w:sz w:val="32"/>
          <w:szCs w:val="32"/>
        </w:rPr>
        <w:t>举办到乡入村培训</w:t>
      </w:r>
      <w:r>
        <w:rPr>
          <w:rFonts w:ascii="仿宋" w:eastAsia="仿宋" w:hAnsi="仿宋" w:cs="仿宋" w:hint="eastAsia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余场，培训保洁员、镇村干部达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多人次，许多保洁员成为了再生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资源回收的行家理手，积极向群众宣传垃圾分类和再生资源回收知识。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建设好山界、桃花坪、花门、南岳庙、司门前、金石桥、七江、高平、六都寨、岩口、虎形山、麻塘山等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处再生资源分拣中心，建设村级回收站点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2500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余个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实现所有乡镇（街道）全覆盖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实现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政府投入很低，村级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集体经济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、合作企业、保洁员实现了各方受益。保洁员大部分为脱贫户，人均每年增加再生资源回收收入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余元，各分拣中心平均增加货源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多万元，实现收入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多万元，需要转运的垃圾量大幅减少。</w:t>
      </w:r>
    </w:p>
    <w:p w:rsidR="005211C6" w:rsidRDefault="00E231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存在的问题</w:t>
      </w:r>
    </w:p>
    <w:p w:rsidR="005211C6" w:rsidRDefault="00E231EE">
      <w:pPr>
        <w:spacing w:after="120" w:line="360" w:lineRule="auto"/>
        <w:ind w:firstLineChars="231" w:firstLine="7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、预算编制有待细化。预算编制不够明确和细化，预算编制的合理性需要提高，预算执行力度还要进一步加强。</w:t>
      </w:r>
    </w:p>
    <w:p w:rsidR="005211C6" w:rsidRDefault="00E231EE">
      <w:pPr>
        <w:spacing w:after="120" w:line="360" w:lineRule="auto"/>
        <w:ind w:firstLineChars="231" w:firstLine="7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、财务管理有待创新。财务管理水平和逐年上升的财务要求不匹配，相对落后。</w:t>
      </w:r>
    </w:p>
    <w:p w:rsidR="005211C6" w:rsidRDefault="00E231EE">
      <w:pPr>
        <w:spacing w:after="120" w:line="360" w:lineRule="auto"/>
        <w:ind w:firstLineChars="231" w:firstLine="7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、资产管理有待加强。</w:t>
      </w:r>
      <w:r>
        <w:rPr>
          <w:rFonts w:ascii="仿宋" w:eastAsia="仿宋" w:hAnsi="仿宋" w:cs="仿宋" w:hint="eastAsia"/>
          <w:sz w:val="32"/>
          <w:szCs w:val="32"/>
        </w:rPr>
        <w:t>部分固定资产已达到甚至超过使用年限，效能严重老化，因预算经费的紧缺不能够及时更新。</w:t>
      </w:r>
    </w:p>
    <w:p w:rsidR="005211C6" w:rsidRDefault="00E231EE">
      <w:pPr>
        <w:spacing w:after="120" w:line="360" w:lineRule="auto"/>
        <w:ind w:firstLineChars="231" w:firstLine="7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、收支矛盾突出，每年的绩效考</w:t>
      </w:r>
      <w:r>
        <w:rPr>
          <w:rFonts w:ascii="仿宋" w:eastAsia="仿宋" w:hAnsi="仿宋" w:cs="仿宋" w:hint="eastAsia"/>
          <w:sz w:val="32"/>
          <w:szCs w:val="32"/>
        </w:rPr>
        <w:t>核、</w:t>
      </w:r>
      <w:r>
        <w:rPr>
          <w:rFonts w:ascii="仿宋" w:eastAsia="仿宋" w:hAnsi="仿宋" w:cs="仿宋" w:hint="eastAsia"/>
          <w:sz w:val="32"/>
          <w:szCs w:val="32"/>
        </w:rPr>
        <w:t>供销综合改革、监事会工作开展</w:t>
      </w:r>
      <w:r>
        <w:rPr>
          <w:rFonts w:ascii="仿宋" w:eastAsia="仿宋" w:hAnsi="仿宋" w:cs="仿宋" w:hint="eastAsia"/>
          <w:sz w:val="32"/>
          <w:szCs w:val="32"/>
        </w:rPr>
        <w:t>未进预算经费，大大增加了单位的支出压力。</w:t>
      </w:r>
    </w:p>
    <w:p w:rsidR="005211C6" w:rsidRDefault="00E231EE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五、改进措施和有关建议</w:t>
      </w:r>
    </w:p>
    <w:p w:rsidR="005211C6" w:rsidRDefault="00E231EE">
      <w:pPr>
        <w:pStyle w:val="a9"/>
        <w:spacing w:line="360" w:lineRule="auto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、请求财政根据供销社的实际情况，提高年初部门预算额度，将</w:t>
      </w:r>
      <w:r>
        <w:rPr>
          <w:rFonts w:ascii="仿宋" w:eastAsia="仿宋" w:hAnsi="仿宋" w:cs="仿宋" w:hint="eastAsia"/>
          <w:sz w:val="32"/>
          <w:szCs w:val="32"/>
        </w:rPr>
        <w:t>乡村振兴</w:t>
      </w:r>
      <w:r>
        <w:rPr>
          <w:rFonts w:ascii="仿宋" w:eastAsia="仿宋" w:hAnsi="仿宋" w:cs="仿宋" w:hint="eastAsia"/>
          <w:sz w:val="32"/>
          <w:szCs w:val="32"/>
        </w:rPr>
        <w:t>、供销社综合改革等支出纳入年度预算，以确保机关的正常运转，顺利完成县委、县政府及上级部门下达的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各项任务。</w:t>
      </w:r>
    </w:p>
    <w:p w:rsidR="005211C6" w:rsidRDefault="00E231EE">
      <w:pPr>
        <w:pStyle w:val="a9"/>
        <w:spacing w:line="360" w:lineRule="auto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、加强固定资产管理，对已达到和超过使用年限的固定资产及时进行淘汰更新，请求县财政给予一定的资金保障。</w:t>
      </w:r>
    </w:p>
    <w:p w:rsidR="005211C6" w:rsidRDefault="005211C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11C6" w:rsidRDefault="005211C6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5211C6" w:rsidRDefault="00E231EE">
      <w:pPr>
        <w:pStyle w:val="20"/>
        <w:spacing w:line="360" w:lineRule="auto"/>
        <w:ind w:firstLineChars="1500" w:firstLine="480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隆回县供销社</w:t>
      </w:r>
    </w:p>
    <w:p w:rsidR="005211C6" w:rsidRDefault="00E231EE">
      <w:pPr>
        <w:wordWrap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5211C6" w:rsidRDefault="005211C6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</w:p>
    <w:p w:rsidR="005211C6" w:rsidRDefault="005211C6">
      <w:pPr>
        <w:rPr>
          <w:rFonts w:ascii="仿宋" w:eastAsia="仿宋" w:hAnsi="仿宋" w:cs="仿宋"/>
          <w:kern w:val="0"/>
          <w:sz w:val="32"/>
          <w:szCs w:val="32"/>
        </w:rPr>
      </w:pPr>
    </w:p>
    <w:p w:rsidR="005211C6" w:rsidRDefault="005211C6">
      <w:pPr>
        <w:rPr>
          <w:rFonts w:ascii="仿宋" w:eastAsia="仿宋" w:hAnsi="仿宋" w:cs="仿宋"/>
          <w:sz w:val="32"/>
          <w:szCs w:val="32"/>
        </w:rPr>
      </w:pPr>
    </w:p>
    <w:p w:rsidR="005211C6" w:rsidRDefault="005211C6">
      <w:pPr>
        <w:rPr>
          <w:rFonts w:ascii="仿宋" w:eastAsia="仿宋" w:hAnsi="仿宋" w:cs="仿宋"/>
          <w:sz w:val="32"/>
          <w:szCs w:val="32"/>
        </w:rPr>
      </w:pPr>
    </w:p>
    <w:p w:rsidR="005211C6" w:rsidRDefault="005211C6">
      <w:pPr>
        <w:rPr>
          <w:rFonts w:ascii="仿宋" w:eastAsia="仿宋" w:hAnsi="仿宋" w:cs="仿宋"/>
          <w:sz w:val="32"/>
          <w:szCs w:val="32"/>
        </w:rPr>
      </w:pPr>
    </w:p>
    <w:sectPr w:rsidR="005211C6" w:rsidSect="005211C6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EE" w:rsidRDefault="00E231EE" w:rsidP="005211C6">
      <w:r>
        <w:separator/>
      </w:r>
    </w:p>
  </w:endnote>
  <w:endnote w:type="continuationSeparator" w:id="0">
    <w:p w:rsidR="00E231EE" w:rsidRDefault="00E231EE" w:rsidP="00521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C6" w:rsidRDefault="005211C6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 w:rsidR="00E231EE">
      <w:rPr>
        <w:rStyle w:val="a8"/>
      </w:rPr>
      <w:instrText xml:space="preserve">PAGE  </w:instrText>
    </w:r>
    <w:r>
      <w:fldChar w:fldCharType="end"/>
    </w:r>
  </w:p>
  <w:p w:rsidR="005211C6" w:rsidRDefault="005211C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C6" w:rsidRDefault="005211C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5211C6" w:rsidRDefault="005211C6">
                <w:pPr>
                  <w:pStyle w:val="a4"/>
                  <w:jc w:val="right"/>
                </w:pPr>
                <w:r>
                  <w:fldChar w:fldCharType="begin"/>
                </w:r>
                <w:r w:rsidR="00E231EE">
                  <w:instrText xml:space="preserve"> PAGE  \* MERGEFORMAT </w:instrText>
                </w:r>
                <w:r>
                  <w:fldChar w:fldCharType="separate"/>
                </w:r>
                <w:r w:rsidR="003D06E2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EE" w:rsidRDefault="00E231EE" w:rsidP="005211C6">
      <w:r>
        <w:separator/>
      </w:r>
    </w:p>
  </w:footnote>
  <w:footnote w:type="continuationSeparator" w:id="0">
    <w:p w:rsidR="00E231EE" w:rsidRDefault="00E231EE" w:rsidP="00521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C6" w:rsidRDefault="005211C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CCFBC"/>
    <w:multiLevelType w:val="singleLevel"/>
    <w:tmpl w:val="C97CCFB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8D538B0"/>
    <w:rsid w:val="003D06E2"/>
    <w:rsid w:val="005211C6"/>
    <w:rsid w:val="00E231EE"/>
    <w:rsid w:val="01600BAC"/>
    <w:rsid w:val="018E17F6"/>
    <w:rsid w:val="02E1151B"/>
    <w:rsid w:val="09862E1C"/>
    <w:rsid w:val="09A64F5A"/>
    <w:rsid w:val="09D347BB"/>
    <w:rsid w:val="0A686BF6"/>
    <w:rsid w:val="0F39623B"/>
    <w:rsid w:val="0FDF15AA"/>
    <w:rsid w:val="117C2E73"/>
    <w:rsid w:val="11E9622E"/>
    <w:rsid w:val="12607728"/>
    <w:rsid w:val="12CF354F"/>
    <w:rsid w:val="13113C31"/>
    <w:rsid w:val="13C57FC2"/>
    <w:rsid w:val="13D90690"/>
    <w:rsid w:val="13EB2DF0"/>
    <w:rsid w:val="1767588B"/>
    <w:rsid w:val="18D538B0"/>
    <w:rsid w:val="18E032C2"/>
    <w:rsid w:val="1BED2887"/>
    <w:rsid w:val="1C142509"/>
    <w:rsid w:val="1C9F7BCD"/>
    <w:rsid w:val="1CCF110C"/>
    <w:rsid w:val="1E301AE7"/>
    <w:rsid w:val="1F8949AE"/>
    <w:rsid w:val="20847DE0"/>
    <w:rsid w:val="21B552CB"/>
    <w:rsid w:val="23177A6A"/>
    <w:rsid w:val="2483632E"/>
    <w:rsid w:val="249266C1"/>
    <w:rsid w:val="25B05D49"/>
    <w:rsid w:val="25C6698E"/>
    <w:rsid w:val="29FB2A1F"/>
    <w:rsid w:val="2A5E3D3D"/>
    <w:rsid w:val="2A706BB3"/>
    <w:rsid w:val="2C2B5641"/>
    <w:rsid w:val="2D555B94"/>
    <w:rsid w:val="2E2B5E45"/>
    <w:rsid w:val="2E515D05"/>
    <w:rsid w:val="2FC02FA6"/>
    <w:rsid w:val="2FCD4A51"/>
    <w:rsid w:val="2FF745A3"/>
    <w:rsid w:val="308E3DFE"/>
    <w:rsid w:val="30D81900"/>
    <w:rsid w:val="316450AF"/>
    <w:rsid w:val="335115F0"/>
    <w:rsid w:val="3546366F"/>
    <w:rsid w:val="357070B5"/>
    <w:rsid w:val="36CD5635"/>
    <w:rsid w:val="37AB5678"/>
    <w:rsid w:val="37EB3CC7"/>
    <w:rsid w:val="38FC7F68"/>
    <w:rsid w:val="3A754CC9"/>
    <w:rsid w:val="3ABA43A5"/>
    <w:rsid w:val="3BEA370A"/>
    <w:rsid w:val="3C2B322B"/>
    <w:rsid w:val="3E391C30"/>
    <w:rsid w:val="3ECD3124"/>
    <w:rsid w:val="3F9A003D"/>
    <w:rsid w:val="40F164D7"/>
    <w:rsid w:val="41354204"/>
    <w:rsid w:val="4141177F"/>
    <w:rsid w:val="41D57EC1"/>
    <w:rsid w:val="42EC3803"/>
    <w:rsid w:val="430204C6"/>
    <w:rsid w:val="4355293C"/>
    <w:rsid w:val="442F7757"/>
    <w:rsid w:val="44F3240C"/>
    <w:rsid w:val="45F454C1"/>
    <w:rsid w:val="46105193"/>
    <w:rsid w:val="46E36C16"/>
    <w:rsid w:val="475F4422"/>
    <w:rsid w:val="4874505C"/>
    <w:rsid w:val="49136AFE"/>
    <w:rsid w:val="49201968"/>
    <w:rsid w:val="4BB02E05"/>
    <w:rsid w:val="4BB905DA"/>
    <w:rsid w:val="4BF70576"/>
    <w:rsid w:val="4C4243A5"/>
    <w:rsid w:val="4E0B709E"/>
    <w:rsid w:val="507C62DD"/>
    <w:rsid w:val="52065B6D"/>
    <w:rsid w:val="54481AB6"/>
    <w:rsid w:val="563C6D66"/>
    <w:rsid w:val="565C4B5A"/>
    <w:rsid w:val="56FF1374"/>
    <w:rsid w:val="578E37A1"/>
    <w:rsid w:val="58C76ABA"/>
    <w:rsid w:val="606B2210"/>
    <w:rsid w:val="635B32B1"/>
    <w:rsid w:val="63671397"/>
    <w:rsid w:val="63AD5DD7"/>
    <w:rsid w:val="65ED7F30"/>
    <w:rsid w:val="679A69EC"/>
    <w:rsid w:val="689E69B8"/>
    <w:rsid w:val="68DF23A7"/>
    <w:rsid w:val="69DA3A17"/>
    <w:rsid w:val="6A522671"/>
    <w:rsid w:val="6A803DE7"/>
    <w:rsid w:val="6ACB22C2"/>
    <w:rsid w:val="6C6355CA"/>
    <w:rsid w:val="6C6A0E2B"/>
    <w:rsid w:val="6C801864"/>
    <w:rsid w:val="6CAC1DDC"/>
    <w:rsid w:val="6E294C8E"/>
    <w:rsid w:val="6E615BFD"/>
    <w:rsid w:val="6F221080"/>
    <w:rsid w:val="767C2482"/>
    <w:rsid w:val="78853E63"/>
    <w:rsid w:val="7908744B"/>
    <w:rsid w:val="7A3613CA"/>
    <w:rsid w:val="7D2A54B9"/>
    <w:rsid w:val="7FA6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rsid w:val="005211C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5211C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rsid w:val="005211C6"/>
    <w:pPr>
      <w:spacing w:before="100" w:beforeAutospacing="1" w:after="100" w:afterAutospacing="1"/>
      <w:ind w:firstLineChars="200" w:firstLine="420"/>
    </w:pPr>
  </w:style>
  <w:style w:type="paragraph" w:customStyle="1" w:styleId="BodyTextIndent">
    <w:name w:val="BodyTextIndent"/>
    <w:basedOn w:val="a"/>
    <w:qFormat/>
    <w:rsid w:val="005211C6"/>
    <w:pPr>
      <w:ind w:leftChars="200" w:left="420"/>
      <w:textAlignment w:val="baseline"/>
    </w:pPr>
    <w:rPr>
      <w:kern w:val="0"/>
      <w:sz w:val="24"/>
    </w:rPr>
  </w:style>
  <w:style w:type="paragraph" w:styleId="a3">
    <w:name w:val="Body Text Indent"/>
    <w:basedOn w:val="a"/>
    <w:qFormat/>
    <w:rsid w:val="005211C6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521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21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5211C6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paragraph" w:styleId="20">
    <w:name w:val="Body Text First Indent 2"/>
    <w:basedOn w:val="a3"/>
    <w:next w:val="a"/>
    <w:uiPriority w:val="99"/>
    <w:qFormat/>
    <w:rsid w:val="005211C6"/>
    <w:pPr>
      <w:ind w:firstLine="420"/>
    </w:pPr>
  </w:style>
  <w:style w:type="character" w:styleId="a7">
    <w:name w:val="Strong"/>
    <w:basedOn w:val="a0"/>
    <w:qFormat/>
    <w:rsid w:val="005211C6"/>
    <w:rPr>
      <w:b/>
      <w:bCs/>
    </w:rPr>
  </w:style>
  <w:style w:type="character" w:styleId="a8">
    <w:name w:val="page number"/>
    <w:basedOn w:val="a0"/>
    <w:qFormat/>
    <w:rsid w:val="005211C6"/>
  </w:style>
  <w:style w:type="paragraph" w:styleId="a9">
    <w:name w:val="List Paragraph"/>
    <w:basedOn w:val="a"/>
    <w:uiPriority w:val="34"/>
    <w:qFormat/>
    <w:rsid w:val="005211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694</Words>
  <Characters>3961</Characters>
  <Application>Microsoft Office Word</Application>
  <DocSecurity>0</DocSecurity>
  <Lines>33</Lines>
  <Paragraphs>9</Paragraphs>
  <ScaleCrop>false</ScaleCrop>
  <Company>P R C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Windows User</cp:lastModifiedBy>
  <cp:revision>2</cp:revision>
  <cp:lastPrinted>2022-04-20T08:19:00Z</cp:lastPrinted>
  <dcterms:created xsi:type="dcterms:W3CDTF">2022-08-16T07:32:00Z</dcterms:created>
  <dcterms:modified xsi:type="dcterms:W3CDTF">2022-08-16T07:32:00Z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486A48EC2F5549F185F2F9CCC3F0884F</vt:lpwstr>
  </property>
  <property fmtid="{D5CDD505-2E9C-101B-9397-08002B2CF9AE}" pid="4" name="commondata">
    <vt:lpwstr>eyJoZGlkIjoiZDk4MzIyY2JiZWY5NWY3YzdmNDRjYjA3OTE2NWI1MzAifQ==</vt:lpwstr>
  </property>
</Properties>
</file>