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高平镇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382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382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6378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6378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default" w:ascii="Arial" w:hAnsi="Arial" w:eastAsia="楷体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袁德晶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15273939677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21日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单位基本情况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隆回县高平镇</w:t>
      </w:r>
      <w:r>
        <w:rPr>
          <w:rFonts w:hint="eastAsia" w:ascii="楷体" w:hAnsi="楷体" w:eastAsia="楷体" w:cs="楷体"/>
          <w:sz w:val="28"/>
          <w:szCs w:val="28"/>
        </w:rPr>
        <w:t>中心学校202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年12月编制人数为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382</w:t>
      </w:r>
      <w:r>
        <w:rPr>
          <w:rFonts w:hint="eastAsia" w:ascii="楷体" w:hAnsi="楷体" w:eastAsia="楷体" w:cs="楷体"/>
          <w:sz w:val="28"/>
          <w:szCs w:val="28"/>
        </w:rPr>
        <w:t>人，实际在职人数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382</w:t>
      </w:r>
      <w:r>
        <w:rPr>
          <w:rFonts w:hint="eastAsia" w:ascii="楷体" w:hAnsi="楷体" w:eastAsia="楷体" w:cs="楷体"/>
          <w:sz w:val="28"/>
          <w:szCs w:val="28"/>
        </w:rPr>
        <w:t>人（其中在职在编教师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369</w:t>
      </w:r>
      <w:r>
        <w:rPr>
          <w:rFonts w:hint="eastAsia" w:ascii="楷体" w:hAnsi="楷体" w:eastAsia="楷体" w:cs="楷体"/>
          <w:sz w:val="28"/>
          <w:szCs w:val="28"/>
        </w:rPr>
        <w:t>人，特岗教师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28"/>
        </w:rPr>
        <w:t>人），退休教师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228</w:t>
      </w:r>
      <w:r>
        <w:rPr>
          <w:rFonts w:hint="eastAsia" w:ascii="楷体" w:hAnsi="楷体" w:eastAsia="楷体" w:cs="楷体"/>
          <w:sz w:val="28"/>
          <w:szCs w:val="28"/>
        </w:rPr>
        <w:t>人。小学教师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213</w:t>
      </w:r>
      <w:r>
        <w:rPr>
          <w:rFonts w:hint="eastAsia" w:ascii="楷体" w:hAnsi="楷体" w:eastAsia="楷体" w:cs="楷体"/>
          <w:sz w:val="28"/>
          <w:szCs w:val="28"/>
        </w:rPr>
        <w:t>人，初中教师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169</w:t>
      </w:r>
      <w:r>
        <w:rPr>
          <w:rFonts w:hint="eastAsia" w:ascii="楷体" w:hAnsi="楷体" w:eastAsia="楷体" w:cs="楷体"/>
          <w:sz w:val="28"/>
          <w:szCs w:val="28"/>
        </w:rPr>
        <w:t>人，学生总人数为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6644</w:t>
      </w:r>
      <w:r>
        <w:rPr>
          <w:rFonts w:hint="eastAsia" w:ascii="楷体" w:hAnsi="楷体" w:eastAsia="楷体" w:cs="楷体"/>
          <w:sz w:val="28"/>
          <w:szCs w:val="28"/>
        </w:rPr>
        <w:t>人，小学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生人数为4462</w:t>
      </w:r>
      <w:r>
        <w:rPr>
          <w:rFonts w:hint="eastAsia" w:ascii="楷体" w:hAnsi="楷体" w:eastAsia="楷体" w:cs="楷体"/>
          <w:sz w:val="28"/>
          <w:szCs w:val="28"/>
        </w:rPr>
        <w:t>人，初中生人数为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2182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520" w:lineRule="exact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</w:rPr>
        <w:t>年的重点工作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年度决算支出为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6378</w:t>
      </w:r>
      <w:r>
        <w:rPr>
          <w:rFonts w:hint="eastAsia" w:ascii="楷体" w:hAnsi="楷体" w:eastAsia="楷体" w:cs="楷体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年度决算数为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6378</w:t>
      </w:r>
      <w:r>
        <w:rPr>
          <w:rFonts w:hint="eastAsia" w:ascii="楷体" w:hAnsi="楷体" w:eastAsia="楷体" w:cs="楷体"/>
          <w:sz w:val="28"/>
          <w:szCs w:val="28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年年度决算数为0万元，是指单位为完成选定行政工作或事业发展目标而发生的支出，包括有关事业发展专项、专项业务费、基本建设支出等。我单位项目支出由县教育局统一上报。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年我单位“三公”经费 0万元。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1、因公出国(境)费0元；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2、公务接待费0万元；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</w:rPr>
        <w:t>3、公务用车费0万元（公务用车运行维护费0万元，公务用车购置费 0 元）。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预决算公开：及时在县人民政府门户网站上进行了预决算公开。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hint="eastAsia" w:ascii="黑体" w:hAnsi="黑体" w:eastAsia="黑体"/>
          <w:b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1、预算编制工作有待细化。预算编制不够明确和细化，预算编制的合理性需要提高，预算执行力度还要进一步加强。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2、公用经费的支出数大于预算数。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3、工会经费等人头经费严重不足。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  <w:bookmarkStart w:id="0" w:name="_GoBack"/>
      <w:bookmarkEnd w:id="0"/>
    </w:p>
    <w:p>
      <w:pPr>
        <w:pStyle w:val="2"/>
        <w:ind w:firstLine="640"/>
      </w:pP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4、希望财政管理部门能落实好单位的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社保缺口</w:t>
      </w:r>
      <w:r>
        <w:rPr>
          <w:rFonts w:hint="eastAsia" w:ascii="楷体" w:hAnsi="楷体" w:eastAsia="楷体" w:cs="楷体"/>
          <w:sz w:val="28"/>
          <w:szCs w:val="28"/>
        </w:rPr>
        <w:t>经费及工会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缺口</w:t>
      </w:r>
      <w:r>
        <w:rPr>
          <w:rFonts w:hint="eastAsia" w:ascii="楷体" w:hAnsi="楷体" w:eastAsia="楷体" w:cs="楷体"/>
          <w:sz w:val="28"/>
          <w:szCs w:val="28"/>
        </w:rPr>
        <w:t>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高平镇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中心学校</w:t>
      </w: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center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 xml:space="preserve">                                        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年4月21日</w:t>
      </w:r>
    </w:p>
    <w:p>
      <w:pPr>
        <w:spacing w:line="600" w:lineRule="exact"/>
        <w:jc w:val="center"/>
        <w:rPr>
          <w:rFonts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057C7B"/>
    <w:rsid w:val="0016226A"/>
    <w:rsid w:val="00267812"/>
    <w:rsid w:val="003B7D59"/>
    <w:rsid w:val="00427905"/>
    <w:rsid w:val="004809DC"/>
    <w:rsid w:val="004900AD"/>
    <w:rsid w:val="008A0037"/>
    <w:rsid w:val="00947949"/>
    <w:rsid w:val="00AA356E"/>
    <w:rsid w:val="00B776E5"/>
    <w:rsid w:val="00BE00C6"/>
    <w:rsid w:val="00CA57FD"/>
    <w:rsid w:val="01E67FD2"/>
    <w:rsid w:val="02153F91"/>
    <w:rsid w:val="02DA2291"/>
    <w:rsid w:val="07CB7A51"/>
    <w:rsid w:val="16B34BE9"/>
    <w:rsid w:val="1FE344F5"/>
    <w:rsid w:val="266C025E"/>
    <w:rsid w:val="31830071"/>
    <w:rsid w:val="44F91E86"/>
    <w:rsid w:val="550D2870"/>
    <w:rsid w:val="5B930B8F"/>
    <w:rsid w:val="5CB21B90"/>
    <w:rsid w:val="5CDA4DE2"/>
    <w:rsid w:val="630C5145"/>
    <w:rsid w:val="7614275D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2143</Words>
  <Characters>2240</Characters>
  <Lines>18</Lines>
  <Paragraphs>5</Paragraphs>
  <TotalTime>2</TotalTime>
  <ScaleCrop>false</ScaleCrop>
  <LinksUpToDate>false</LinksUpToDate>
  <CharactersWithSpaces>2413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Administrator</cp:lastModifiedBy>
  <cp:lastPrinted>2022-04-21T08:52:37Z</cp:lastPrinted>
  <dcterms:modified xsi:type="dcterms:W3CDTF">2022-04-21T08:53:13Z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E23D3F215B3541C79A128521CF2135D7</vt:lpwstr>
  </property>
</Properties>
</file>