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小标宋简体" w:eastAsia="方正小标宋简体"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bCs/>
          <w:kern w:val="0"/>
          <w:sz w:val="36"/>
          <w:szCs w:val="36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4"/>
        <w:tblW w:w="9285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923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201</w:t>
            </w:r>
            <w:r>
              <w:rPr>
                <w:rFonts w:hint="eastAsia" w:ascii="黑体" w:hAnsi="黑体" w:eastAsia="黑体" w:cs="黑体"/>
                <w:sz w:val="24"/>
              </w:rPr>
              <w:t>9年度）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513" w:type="dxa"/>
            <w:gridSpan w:val="9"/>
            <w:noWrap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</w:tcPr>
          <w:p>
            <w:pPr>
              <w:spacing w:line="540" w:lineRule="exact"/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163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977" w:type="dxa"/>
            <w:gridSpan w:val="5"/>
            <w:noWrap/>
          </w:tcPr>
          <w:p>
            <w:pPr>
              <w:spacing w:line="540" w:lineRule="exact"/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673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513" w:type="dxa"/>
            <w:gridSpan w:val="9"/>
            <w:noWrap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一、担负全县所辖的国道、省道及部分县道的日常保养和维护工作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二、公路建设工作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三、依据《公路法》等法律法规行使路政管理职能，保障辖区内公路安全畅通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四、负责国防公路战备工作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五 、负责上级主管部门和县委、县政府交办的其他工作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3765.89</w:t>
            </w:r>
          </w:p>
        </w:tc>
        <w:tc>
          <w:tcPr>
            <w:tcW w:w="1552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285.7</w:t>
            </w:r>
          </w:p>
        </w:tc>
        <w:tc>
          <w:tcPr>
            <w:tcW w:w="494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23" w:type="dxa"/>
            <w:vMerge w:val="restart"/>
            <w:noWrap/>
          </w:tcPr>
          <w:p>
            <w:pPr>
              <w:spacing w:line="5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5647.5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936.2</w:t>
            </w:r>
          </w:p>
        </w:tc>
        <w:tc>
          <w:tcPr>
            <w:tcW w:w="1552" w:type="dxa"/>
            <w:gridSpan w:val="2"/>
            <w:noWrap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659.71</w:t>
            </w:r>
          </w:p>
        </w:tc>
        <w:tc>
          <w:tcPr>
            <w:tcW w:w="494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23" w:type="dxa"/>
            <w:vMerge w:val="continue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3272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2590.2</w:t>
            </w:r>
          </w:p>
        </w:tc>
        <w:tc>
          <w:tcPr>
            <w:tcW w:w="494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23" w:type="dxa"/>
            <w:vMerge w:val="restart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5862.2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44</w:t>
            </w:r>
            <w:r>
              <w:rPr>
                <w:rFonts w:hint="eastAsia" w:ascii="楷体" w:hAnsi="楷体" w:eastAsia="楷体" w:cs="楷体"/>
                <w:szCs w:val="21"/>
              </w:rPr>
              <w:t>.</w:t>
            </w:r>
            <w:r>
              <w:rPr>
                <w:rFonts w:ascii="楷体" w:hAnsi="楷体" w:eastAsia="楷体" w:cs="楷体"/>
                <w:szCs w:val="21"/>
              </w:rPr>
              <w:t>57</w:t>
            </w:r>
          </w:p>
        </w:tc>
        <w:tc>
          <w:tcPr>
            <w:tcW w:w="1559" w:type="dxa"/>
            <w:gridSpan w:val="3"/>
            <w:vMerge w:val="continue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23" w:type="dxa"/>
            <w:vMerge w:val="continue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有□无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应采购金额67.49万元，实际采购金额67.49万元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</w:rPr>
              <w:t xml:space="preserve"> 2020年2月20日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单位内部□其它□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资金使用是否存在违规使用资金、乱发津补贴奖金现象：是□否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513" w:type="dxa"/>
            <w:gridSpan w:val="9"/>
            <w:noWrap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681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一、完成本县所辖范围内国道65.92KM、省道277.71KM、县道23.75KM的养护，保证所养公路的安全、畅通。其中：桥梁81座、涵洞425个。完成公路绿化50万元。其中：G320线K24.8-K25.8樟树246棵、S242线K90-K98樟树720棵，共29.84万元；S242线K3-6银杏树304棵、茶树615棵，共20.16万元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二、维护所管养公路的路产路权、对违反《公路法》的行为进行阻止和处罚；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三、安全生产工作，对各路段隐患点进行了处治，确保道路安全畅通。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四、工程项目建设。</w:t>
            </w:r>
            <w:r>
              <w:rPr>
                <w:rFonts w:ascii="楷体" w:hAnsi="楷体" w:eastAsia="楷体" w:cs="楷体"/>
                <w:szCs w:val="21"/>
              </w:rPr>
              <w:t>S322</w:t>
            </w:r>
            <w:r>
              <w:rPr>
                <w:rFonts w:hint="eastAsia" w:ascii="楷体" w:hAnsi="楷体" w:eastAsia="楷体" w:cs="楷体"/>
                <w:szCs w:val="21"/>
              </w:rPr>
              <w:t>第一批大中修（</w:t>
            </w:r>
            <w:r>
              <w:rPr>
                <w:rFonts w:ascii="楷体" w:hAnsi="楷体" w:eastAsia="楷体" w:cs="楷体"/>
                <w:szCs w:val="21"/>
              </w:rPr>
              <w:t>5</w:t>
            </w:r>
            <w:r>
              <w:rPr>
                <w:rFonts w:hint="eastAsia" w:ascii="楷体" w:hAnsi="楷体" w:eastAsia="楷体" w:cs="楷体"/>
                <w:szCs w:val="21"/>
              </w:rPr>
              <w:t>公里）正在施工建设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已完成</w:t>
            </w:r>
            <w:r>
              <w:rPr>
                <w:rFonts w:ascii="楷体" w:hAnsi="楷体" w:eastAsia="楷体" w:cs="楷体"/>
                <w:szCs w:val="21"/>
              </w:rPr>
              <w:t>3.2</w:t>
            </w:r>
            <w:r>
              <w:rPr>
                <w:rFonts w:hint="eastAsia" w:ascii="楷体" w:hAnsi="楷体" w:eastAsia="楷体" w:cs="楷体"/>
                <w:szCs w:val="21"/>
              </w:rPr>
              <w:t>公里水稳层。投入</w:t>
            </w:r>
            <w:r>
              <w:rPr>
                <w:rFonts w:ascii="楷体" w:hAnsi="楷体" w:eastAsia="楷体" w:cs="楷体"/>
                <w:szCs w:val="21"/>
              </w:rPr>
              <w:t>100</w:t>
            </w:r>
            <w:r>
              <w:rPr>
                <w:rFonts w:hint="eastAsia" w:ascii="楷体" w:hAnsi="楷体" w:eastAsia="楷体" w:cs="楷体"/>
                <w:szCs w:val="21"/>
              </w:rPr>
              <w:t>万元对</w:t>
            </w:r>
            <w:r>
              <w:rPr>
                <w:rFonts w:ascii="楷体" w:hAnsi="楷体" w:eastAsia="楷体" w:cs="楷体"/>
                <w:szCs w:val="21"/>
              </w:rPr>
              <w:t>S243</w:t>
            </w:r>
            <w:r>
              <w:rPr>
                <w:rFonts w:hint="eastAsia" w:ascii="楷体" w:hAnsi="楷体" w:eastAsia="楷体" w:cs="楷体"/>
                <w:szCs w:val="21"/>
              </w:rPr>
              <w:t>（原</w:t>
            </w:r>
            <w:r>
              <w:rPr>
                <w:rFonts w:ascii="楷体" w:hAnsi="楷体" w:eastAsia="楷体" w:cs="楷体"/>
                <w:szCs w:val="21"/>
              </w:rPr>
              <w:t>X055</w:t>
            </w:r>
            <w:r>
              <w:rPr>
                <w:rFonts w:hint="eastAsia" w:ascii="楷体" w:hAnsi="楷体" w:eastAsia="楷体" w:cs="楷体"/>
                <w:szCs w:val="21"/>
              </w:rPr>
              <w:t>）线湖桥村段</w:t>
            </w:r>
            <w:r>
              <w:rPr>
                <w:rFonts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公里、投入</w:t>
            </w:r>
            <w:r>
              <w:rPr>
                <w:rFonts w:ascii="楷体" w:hAnsi="楷体" w:eastAsia="楷体" w:cs="楷体"/>
                <w:szCs w:val="21"/>
              </w:rPr>
              <w:t>40</w:t>
            </w:r>
            <w:r>
              <w:rPr>
                <w:rFonts w:hint="eastAsia" w:ascii="楷体" w:hAnsi="楷体" w:eastAsia="楷体" w:cs="楷体"/>
                <w:szCs w:val="21"/>
              </w:rPr>
              <w:t>万元对车田村段进行大修、投入</w:t>
            </w:r>
            <w:r>
              <w:rPr>
                <w:rFonts w:ascii="楷体" w:hAnsi="楷体" w:eastAsia="楷体" w:cs="楷体"/>
                <w:szCs w:val="21"/>
              </w:rPr>
              <w:t>90</w:t>
            </w:r>
            <w:r>
              <w:rPr>
                <w:rFonts w:hint="eastAsia" w:ascii="楷体" w:hAnsi="楷体" w:eastAsia="楷体" w:cs="楷体"/>
                <w:szCs w:val="21"/>
              </w:rPr>
              <w:t>万元对</w:t>
            </w:r>
            <w:r>
              <w:rPr>
                <w:rFonts w:ascii="楷体" w:hAnsi="楷体" w:eastAsia="楷体" w:cs="楷体"/>
                <w:szCs w:val="21"/>
              </w:rPr>
              <w:t>S332</w:t>
            </w:r>
            <w:r>
              <w:rPr>
                <w:rFonts w:hint="eastAsia" w:ascii="楷体" w:hAnsi="楷体" w:eastAsia="楷体" w:cs="楷体"/>
                <w:szCs w:val="21"/>
              </w:rPr>
              <w:t>高平路段及</w:t>
            </w:r>
            <w:r>
              <w:rPr>
                <w:rFonts w:ascii="楷体" w:hAnsi="楷体" w:eastAsia="楷体" w:cs="楷体"/>
                <w:szCs w:val="21"/>
              </w:rPr>
              <w:t>S243</w:t>
            </w:r>
            <w:r>
              <w:rPr>
                <w:rFonts w:hint="eastAsia" w:ascii="楷体" w:hAnsi="楷体" w:eastAsia="楷体" w:cs="楷体"/>
                <w:szCs w:val="21"/>
              </w:rPr>
              <w:t>苏河路段水泥路面进行了修补和换板。生命安全防护工程干线公路生命安全防护工程Ｇ</w:t>
            </w:r>
            <w:r>
              <w:rPr>
                <w:rFonts w:ascii="楷体" w:hAnsi="楷体" w:eastAsia="楷体" w:cs="楷体"/>
                <w:szCs w:val="21"/>
              </w:rPr>
              <w:t>320</w:t>
            </w:r>
            <w:r>
              <w:rPr>
                <w:rFonts w:hint="eastAsia" w:ascii="楷体" w:hAnsi="楷体" w:eastAsia="楷体" w:cs="楷体"/>
                <w:szCs w:val="21"/>
              </w:rPr>
              <w:t>、Ｇ</w:t>
            </w:r>
            <w:r>
              <w:rPr>
                <w:rFonts w:ascii="楷体" w:hAnsi="楷体" w:eastAsia="楷体" w:cs="楷体"/>
                <w:szCs w:val="21"/>
              </w:rPr>
              <w:t>356</w:t>
            </w:r>
            <w:r>
              <w:rPr>
                <w:rFonts w:hint="eastAsia" w:ascii="楷体" w:hAnsi="楷体" w:eastAsia="楷体" w:cs="楷体"/>
                <w:szCs w:val="21"/>
              </w:rPr>
              <w:t>（原</w:t>
            </w:r>
            <w:r>
              <w:rPr>
                <w:rFonts w:ascii="楷体" w:hAnsi="楷体" w:eastAsia="楷体" w:cs="楷体"/>
                <w:szCs w:val="21"/>
              </w:rPr>
              <w:t>S317</w:t>
            </w:r>
            <w:r>
              <w:rPr>
                <w:rFonts w:hint="eastAsia" w:ascii="楷体" w:hAnsi="楷体" w:eastAsia="楷体" w:cs="楷体"/>
                <w:szCs w:val="21"/>
              </w:rPr>
              <w:t>）、Ｘ</w:t>
            </w:r>
            <w:r>
              <w:rPr>
                <w:rFonts w:ascii="楷体" w:hAnsi="楷体" w:eastAsia="楷体" w:cs="楷体"/>
                <w:szCs w:val="21"/>
              </w:rPr>
              <w:t>104</w:t>
            </w:r>
            <w:r>
              <w:rPr>
                <w:rFonts w:hint="eastAsia" w:ascii="楷体" w:hAnsi="楷体" w:eastAsia="楷体" w:cs="楷体"/>
                <w:szCs w:val="21"/>
              </w:rPr>
              <w:t>（原</w:t>
            </w:r>
            <w:r>
              <w:rPr>
                <w:rFonts w:ascii="楷体" w:hAnsi="楷体" w:eastAsia="楷体" w:cs="楷体"/>
                <w:szCs w:val="21"/>
              </w:rPr>
              <w:t>X054</w:t>
            </w:r>
            <w:r>
              <w:rPr>
                <w:rFonts w:hint="eastAsia" w:ascii="楷体" w:hAnsi="楷体" w:eastAsia="楷体" w:cs="楷体"/>
                <w:szCs w:val="21"/>
              </w:rPr>
              <w:t>草原到小沙江）线，共</w:t>
            </w:r>
            <w:r>
              <w:rPr>
                <w:rFonts w:ascii="楷体" w:hAnsi="楷体" w:eastAsia="楷体" w:cs="楷体"/>
                <w:szCs w:val="21"/>
              </w:rPr>
              <w:t>6950</w:t>
            </w:r>
            <w:r>
              <w:rPr>
                <w:rFonts w:hint="eastAsia" w:ascii="楷体" w:hAnsi="楷体" w:eastAsia="楷体" w:cs="楷体"/>
                <w:szCs w:val="21"/>
              </w:rPr>
              <w:t>米。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五、公路应急抢险，积极开展公路应急抢险，全力保障公路安全畅通和过往司乘人员安全。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010" w:hRule="atLeast"/>
        </w:trPr>
        <w:tc>
          <w:tcPr>
            <w:tcW w:w="5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681" w:type="dxa"/>
            <w:gridSpan w:val="10"/>
            <w:noWrap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714" w:hRule="atLeast"/>
        </w:trPr>
        <w:tc>
          <w:tcPr>
            <w:tcW w:w="53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681" w:type="dxa"/>
            <w:gridSpan w:val="10"/>
            <w:noWrap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是人员支出预算中，预算与支出比较，缺口很大;公路养护投入方面，预算投入不足，机械化养护程度低，难以达到畅、洁、舒、美的养护效果。建议县委、政府和县财政局将公路日常养护支出纳入单位部门预算，不作专项经费单独下达。同时根据公路养护实际资金需要，适当提高公路日常养护资金预算标准，工程项目预算尽量按年初预算安排资金，确保公路工作正常有序进行，使得公路路况不断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832" w:hRule="atLeast"/>
        </w:trPr>
        <w:tc>
          <w:tcPr>
            <w:tcW w:w="533" w:type="dxa"/>
            <w:noWrap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681" w:type="dxa"/>
            <w:gridSpan w:val="10"/>
            <w:noWrap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填报人：尹莉        联系电话：13973975645       时间：2020年4月3日</w:t>
      </w:r>
    </w:p>
    <w:p>
      <w:pPr>
        <w:ind w:firstLine="420" w:firstLineChars="200"/>
      </w:pPr>
      <w:r>
        <w:rPr>
          <w:rFonts w:hint="eastAsia" w:eastAsia="黑体"/>
          <w:kern w:val="0"/>
        </w:rPr>
        <w:t>注：自评结论填“优、良、中、差”。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0694"/>
    <w:rsid w:val="0AEB0694"/>
    <w:rsid w:val="1174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2020-04-20T03:01:00Z</dcterms:created>
  <dc:creator>流年若倾颜，夏末点残阳</dc:creator>
  <cp:lastModifiedBy>流年若倾颜，夏末点残阳</cp:lastModifiedBy>
  <dcterms:modified xsi:type="dcterms:W3CDTF">2020-04-20T03:01:43Z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