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sz w:val="32"/>
          <w:szCs w:val="32"/>
        </w:rPr>
      </w:pPr>
      <w:r>
        <w:rPr>
          <w:rFonts w:hint="eastAsia" w:ascii="黑体" w:hAnsi="黑体" w:eastAsia="黑体" w:cs="黑体"/>
          <w:sz w:val="32"/>
          <w:szCs w:val="32"/>
        </w:rPr>
        <w:t>隆回县发展和改革局部门</w:t>
      </w:r>
      <w:r>
        <w:rPr>
          <w:rFonts w:hint="eastAsia" w:ascii="黑体" w:hAnsi="黑体" w:eastAsia="黑体" w:cs="黑体"/>
          <w:sz w:val="32"/>
          <w:szCs w:val="32"/>
          <w:lang w:val="en-US" w:eastAsia="zh-CN"/>
        </w:rPr>
        <w:t>2021年度</w:t>
      </w:r>
      <w:r>
        <w:rPr>
          <w:rFonts w:hint="eastAsia" w:ascii="黑体" w:hAnsi="黑体" w:eastAsia="黑体" w:cs="黑体"/>
          <w:sz w:val="32"/>
          <w:szCs w:val="32"/>
        </w:rPr>
        <w:t>整体支出绩效自评报告</w:t>
      </w:r>
    </w:p>
    <w:p>
      <w:pPr>
        <w:spacing w:line="600" w:lineRule="exact"/>
        <w:rPr>
          <w:sz w:val="32"/>
          <w:szCs w:val="32"/>
        </w:rPr>
      </w:pPr>
    </w:p>
    <w:p>
      <w:pPr>
        <w:spacing w:line="600" w:lineRule="exact"/>
        <w:ind w:firstLine="960" w:firstLineChars="300"/>
        <w:rPr>
          <w:rFonts w:ascii="黑体" w:hAnsi="黑体" w:eastAsia="黑体" w:cs="黑体"/>
          <w:sz w:val="32"/>
          <w:szCs w:val="32"/>
        </w:rPr>
      </w:pPr>
      <w:r>
        <w:rPr>
          <w:rFonts w:hint="eastAsia" w:ascii="黑体" w:hAnsi="黑体" w:eastAsia="黑体" w:cs="黑体"/>
          <w:sz w:val="32"/>
          <w:szCs w:val="32"/>
        </w:rPr>
        <w:t>一、部门概况</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（一）部门基本情况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ascii="仿宋" w:hAnsi="仿宋" w:eastAsia="仿宋_GB2312" w:cs="仿宋"/>
          <w:sz w:val="32"/>
          <w:szCs w:val="32"/>
        </w:rPr>
        <w:t>1.</w:t>
      </w:r>
      <w:r>
        <w:rPr>
          <w:rFonts w:hint="eastAsia" w:ascii="仿宋" w:hAnsi="仿宋" w:eastAsia="仿宋_GB2312" w:cs="仿宋"/>
          <w:sz w:val="32"/>
          <w:szCs w:val="32"/>
        </w:rPr>
        <w:t>部门职责：</w:t>
      </w:r>
      <w:r>
        <w:rPr>
          <w:rFonts w:hint="eastAsia" w:ascii="仿宋_GB2312" w:hAnsi="仿宋_GB2312" w:eastAsia="仿宋_GB2312" w:cs="仿宋_GB2312"/>
          <w:kern w:val="2"/>
          <w:sz w:val="32"/>
          <w:szCs w:val="32"/>
          <w:lang w:val="en-US" w:eastAsia="zh-CN" w:bidi="ar-SA"/>
        </w:rPr>
        <w:t>拟订并组织实施全县国民经济和社会发展战略、中长期规划和年度计划，统筹协调相关总体规划与专项规划；提出全县国民经济发展、价格总水平调控和优化重大经济结构的目标、政策，提出综合运用各种经济手段和政策的建议，受县人民政府委托向县人民代表大会提交国民经济和社会发展运行情况和执行计划的报告；研究全县宏观经济运行、总量平衡、经济安全和总体产业安全等重要问题并提出宏观调控政策建议，协调解决经济运行中的重大问题，调节国民经济运行；汇总社会资金总体运行情况，参与制定财政、金融、土地政策并综合分析政策执行效果；会同有关部门完善宏观调控协调机制，统筹推进产业、创业等投资基金的发展、制度建设及资金监管；指导推进和综合协调全县经济体制改革，研究全县经济体制改革和对外开放重大问题；组织拟订综合性经济体制改革方案，协调有关专项改革方案，会同有关部门搞好专项改革之间的衔接；指导经济体制改革试点和改革试验区工作，组织协调推进“两型社会”建设综合配套改革工作；拟订全县全社会固定资产投资总规模和投资结构的调控目标、政策及措施；统筹安排县级财政性建设资金和投资项目，编制下达政府投资年度计划；规划全县重大建设项目和生产力布局，按规定权限审批、核准、审核、备案重大建设项目、外资项目；研究提出全县利用外资和境外投资的战略、规划、总量平衡和结构优化的目标和政策；指导和监督国外贷款建设资金的使用，引导民间投资方向；牵头组织编制特重大自然灾害的灾后恢复重建规划，协调有关重大问题；研究提出县重点建设项目和重大前期项目计划；负责政府投资项目代建制实施的指导、协调和监督管理；指导工程咨询业发展；组织拟订综合性产业政策，负责协调第一、二、三产业发展的重大问题并衔接平衡相关发展规划和重大政策，负责综合交通运输体系规划与国民经济和社会发展规划的衔接平衡；协调农业和农村经济社会发展的重大问题；负责制定发展战略性新兴产业规划，研究提出新型工业化和产业集群发展的政策措施；会同有关部门研究拟订高新技术产业、服务业发展规划和重大政策，实施高新技术产业发展的宏观指导，协调解决重大技术装备推广应用等方面的重大问题；贯彻落实国家中部崛起比照西部开发、长江经济带开发建设和湘西地区开发的政策措施；落实武陵山片区开发和扶贫攻坚规划；组织编制区域规划、城乡规划并协调实施；研究制定统筹促进老少边穷地区加快发展的战略、规划和重大政策，拟订并组织实施全县以工代赈规划和计划；参与研究拟订全县城镇化发展战略和重大政策措施；负责制定开发园区发展规划和相关政策的落实；统筹协调区域合作，承担县对口支援有关工作；承担重要商品总量平衡和宏观调控，编制重要农产品、工业品和原材料进出口总量平衡计划并监督执行，根据经济运行情况对计划进行调整；拟订重要战略物资储备规划，负责组织收储、动用、轮换和管理，会同有关部门管理粮食、棉花和食糖等储备；牵头负责全县物流发展工作，拟订现代物流业发展战略、规划，协调物流业发展重大布局；负责社会发展与国民经济发展的政策衔接；组织拟订社会发展战略、总体规划和年度计划；拟订人口发展战略、规划及人口政策；参与拟订科学技术、教育、文化、卫生、民政等发展政策；统筹推进基本公共服务体系建设和收入分配制度改革；研究提出促进就业、完善社会保障与经济协调发展的政策建议；协调社会事业发展和改革中的重大问题及政策；研究经济社会与资源、环境协调发展的重大问题；组织拟订发展循环经济、能源资源节约和综合利用规划、政策措施并协调实施；参与编制生态文明建设、环境保护规划，协调生态建设、能源资源节约和综合利用的重大问题，会同有关部门提出建立健全生态补偿机制的政策措施；综合协调环保产业和清洁生产促进有关工作；组织推进铁路、机场建设工作。拟定全县铁路、机场建设发展战略规划；组织和会同县直相关部门争取铁路、机场建设项目，做好项目前期申报工作；协调解决铁路、机场建设中的重大问题和矛盾；拟订并组织实施全县能源发展战略、规划和政策，牵头拟定能源消费总量控制工作方案并组织实施；负责全县能源行业节能和资源综合利用；组织拟订煤炭、石油、天然气、电力、新能源和可再生能源等能源，以及炼油、煤制燃料和燃料乙醇的产业政策及相关标准，实施对煤电油气等能源和新能源的管理；审批、核准、备案、审核上报全县能源固定资产投资项目，指导协调农村能源发展工作；承担煤炭体制改革、煤矿瓦斯防治能力评估和开发利用等有关工作，协调有关部门推进煤层气开发、淘汰煤炭落后产能工作；负责能源预测预警，发布能源信息，参与能源运行调节和应急保障，负责县内石油和天然气储备管理工作；组织推进全县能源重大设备研发及相关重大科技项目；协助开展核电有关前期工作；组织推进全县能源对外合作，协调能源合作中的重大问题；参与制定与能源相关的资源、财税、环保及应对气候变化等政策，提出能源价格调整建议。承担县能源委员会具体工作；编制和执行全县价格改革规划，拟订并组织实施价格政策；监测、分析市场价格形势，组织实施价格总水平调控；管理国家和省、市列名管理的商品和服务价格，监管实行市场调节价的商品和服务价格，承担行政事业性收费管理工作；负责县本级价格调节基金的征收、管理、使用工作，组织实施价格调节基金政策，依法对重大自然灾害和特殊时期实施临时价格干预措施，负责价格公共服务工作；指导并组织实施价格监督检查和反垄断工作，依法查处价格违法和垄断行为；负责价格成本调查和监审；协调推进经济发展环境的优化，牵头落实国家和省、市、县有关鼓励市场主体投资，保护投资者权益，促进市场公平竞争，维护市场正常秩序的政务、法制、商务、信用等环境，优化重点项目建设环境；指导全县优化经济发展环境的相关工作；研究制定推进社会信用体系建设的规划、政策措施，统筹推进统一的信用信息平台建设，促进信用信息资源的整合与运用，协调社会信用体系建设的重大问题；研究拟订推进经济建设与国防建设协调发展的战略和规划，协调有关重大问题。组织编制全县国民经济动员和装备动员规划、计划，并组织实施有关工作；牵头整合建设统一规范的公共资源交易平台，指导和协调全县公共资源交易平台建设。整合工程建设项目招投标、土地使用权和矿业权出让、国有产权交易、政府采购等平台，建立健全统一规范、上下衔接的公共资源交易平台,将其他分散的各类公共资源交易逐步纳入县公共资源交易平台；监督公共资源交易活动。指导和协调全县招标投标工作，负责重大建设项目建设过程中工程招投标的监督检查；拟订粮食流通和物资储备管理的地方性法规草案和有关规定并监督执行。拟订粮食流通和物资储备体制改革方案并组织实施。根据全县储备总体发展规划和品种目录,组织实施全县战略和应急储备物资的收储、轮换和日常管理,落实有关动用计划和指令。管理全县重要消费品储备和救灾物资储备,负责县级储备行政管理。指导协调政策性粮食购销和粮食产销合作,保障军队粮食供应。承担粮食安全省长责任制考核日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90" w:lineRule="atLeast"/>
        <w:ind w:right="0" w:firstLine="360" w:firstLineChars="200"/>
        <w:rPr>
          <w:rFonts w:hint="eastAsia" w:ascii="仿宋_GB2312" w:hAnsi="仿宋_GB2312" w:eastAsia="仿宋_GB2312" w:cs="仿宋_GB2312"/>
          <w:i w:val="0"/>
          <w:caps w:val="0"/>
          <w:color w:val="333333"/>
          <w:spacing w:val="0"/>
          <w:sz w:val="32"/>
          <w:szCs w:val="32"/>
          <w:shd w:val="clear" w:color="auto" w:fill="FFFFFF"/>
        </w:rPr>
      </w:pPr>
      <w:bookmarkStart w:id="0" w:name="_GoBack"/>
      <w:bookmarkEnd w:id="0"/>
      <w:r>
        <w:rPr>
          <w:rFonts w:ascii="宋体" w:eastAsia="仿宋_GB2312" w:cs="宋体"/>
          <w:color w:val="030301"/>
          <w:kern w:val="0"/>
          <w:sz w:val="18"/>
          <w:szCs w:val="18"/>
        </w:rPr>
        <w:t xml:space="preserve">   </w:t>
      </w:r>
      <w:r>
        <w:rPr>
          <w:rFonts w:ascii="仿宋" w:hAnsi="仿宋" w:eastAsia="仿宋_GB2312" w:cs="仿宋"/>
          <w:sz w:val="32"/>
          <w:szCs w:val="32"/>
        </w:rPr>
        <w:t>2.</w:t>
      </w:r>
      <w:r>
        <w:rPr>
          <w:rFonts w:hint="eastAsia" w:ascii="仿宋" w:hAnsi="仿宋" w:eastAsia="仿宋_GB2312" w:cs="仿宋"/>
          <w:sz w:val="32"/>
          <w:szCs w:val="32"/>
        </w:rPr>
        <w:t>机构设置：我局内设</w:t>
      </w:r>
      <w:r>
        <w:rPr>
          <w:rFonts w:hint="eastAsia" w:ascii="仿宋" w:hAnsi="仿宋" w:eastAsia="仿宋_GB2312" w:cs="仿宋"/>
          <w:sz w:val="32"/>
          <w:szCs w:val="32"/>
          <w:lang w:val="en-US" w:eastAsia="zh-CN"/>
        </w:rPr>
        <w:t>15</w:t>
      </w:r>
      <w:r>
        <w:rPr>
          <w:rFonts w:hint="eastAsia" w:ascii="仿宋" w:hAnsi="仿宋" w:eastAsia="仿宋_GB2312" w:cs="仿宋"/>
          <w:sz w:val="32"/>
          <w:szCs w:val="32"/>
        </w:rPr>
        <w:t>个职能股室，</w:t>
      </w:r>
      <w:r>
        <w:rPr>
          <w:rFonts w:hint="eastAsia" w:ascii="仿宋" w:hAnsi="仿宋" w:eastAsia="仿宋_GB2312" w:cs="仿宋"/>
          <w:sz w:val="32"/>
          <w:szCs w:val="32"/>
          <w:lang w:val="en-US" w:eastAsia="zh-CN"/>
        </w:rPr>
        <w:t>3</w:t>
      </w:r>
      <w:r>
        <w:rPr>
          <w:rFonts w:hint="eastAsia" w:ascii="仿宋" w:hAnsi="仿宋" w:eastAsia="仿宋_GB2312" w:cs="仿宋"/>
          <w:sz w:val="32"/>
          <w:szCs w:val="32"/>
        </w:rPr>
        <w:t>个二级机构。职能股室是：</w:t>
      </w:r>
      <w:r>
        <w:rPr>
          <w:rFonts w:hint="eastAsia" w:ascii="仿宋_GB2312" w:hAnsi="仿宋_GB2312" w:eastAsia="仿宋_GB2312" w:cs="仿宋_GB2312"/>
          <w:i w:val="0"/>
          <w:caps w:val="0"/>
          <w:color w:val="333333"/>
          <w:spacing w:val="0"/>
          <w:sz w:val="32"/>
          <w:szCs w:val="32"/>
          <w:shd w:val="clear" w:color="auto" w:fill="FFFFFF"/>
        </w:rPr>
        <w:t>办公室、财务股、综合改革和投资股、农村经济股、工交环资能源股、社会发展和服务业股、财贸金融和信用建设股、招投标和法规股、湘西地区开发股、价格管理和收费股、行政审批股、优化经济环境股、项目建设管理股、粮食管理股、物资储</w:t>
      </w:r>
      <w:r>
        <w:rPr>
          <w:rFonts w:hint="eastAsia" w:ascii="仿宋_GB2312" w:hAnsi="仿宋_GB2312" w:eastAsia="仿宋_GB2312" w:cs="仿宋_GB2312"/>
          <w:i w:val="0"/>
          <w:caps w:val="0"/>
          <w:color w:val="333333"/>
          <w:spacing w:val="0"/>
          <w:sz w:val="32"/>
          <w:szCs w:val="32"/>
          <w:shd w:val="clear" w:color="auto" w:fill="FFFFFF"/>
          <w:lang w:eastAsia="zh-CN"/>
        </w:rPr>
        <w:t>备</w:t>
      </w:r>
      <w:r>
        <w:rPr>
          <w:rFonts w:hint="eastAsia" w:ascii="仿宋_GB2312" w:hAnsi="仿宋_GB2312" w:eastAsia="仿宋_GB2312" w:cs="仿宋_GB2312"/>
          <w:i w:val="0"/>
          <w:caps w:val="0"/>
          <w:color w:val="333333"/>
          <w:spacing w:val="0"/>
          <w:sz w:val="32"/>
          <w:szCs w:val="32"/>
          <w:shd w:val="clear" w:color="auto" w:fill="FFFFFF"/>
        </w:rPr>
        <w:t>股。二级机构，分别是：县发展</w:t>
      </w:r>
      <w:r>
        <w:rPr>
          <w:rFonts w:hint="eastAsia" w:ascii="仿宋_GB2312" w:hAnsi="仿宋_GB2312" w:eastAsia="仿宋_GB2312" w:cs="仿宋_GB2312"/>
          <w:i w:val="0"/>
          <w:caps w:val="0"/>
          <w:color w:val="333333"/>
          <w:spacing w:val="0"/>
          <w:sz w:val="32"/>
          <w:szCs w:val="32"/>
          <w:shd w:val="clear" w:color="auto" w:fill="FFFFFF"/>
          <w:lang w:eastAsia="zh-CN"/>
        </w:rPr>
        <w:t>和</w:t>
      </w:r>
      <w:r>
        <w:rPr>
          <w:rFonts w:hint="eastAsia" w:ascii="仿宋_GB2312" w:hAnsi="仿宋_GB2312" w:eastAsia="仿宋_GB2312" w:cs="仿宋_GB2312"/>
          <w:i w:val="0"/>
          <w:caps w:val="0"/>
          <w:color w:val="333333"/>
          <w:spacing w:val="0"/>
          <w:sz w:val="32"/>
          <w:szCs w:val="32"/>
          <w:shd w:val="clear" w:color="auto" w:fill="FFFFFF"/>
        </w:rPr>
        <w:t>改革事务中心，价格认证中心，军粮供应站。</w:t>
      </w:r>
    </w:p>
    <w:p>
      <w:pPr>
        <w:widowControl/>
        <w:shd w:val="clear" w:color="auto" w:fill="FFFFFF"/>
        <w:spacing w:before="100" w:beforeAutospacing="1" w:after="100" w:afterAutospacing="1" w:line="270" w:lineRule="atLeast"/>
        <w:jc w:val="left"/>
        <w:rPr>
          <w:rFonts w:ascii="宋体" w:eastAsia="仿宋_GB2312" w:cs="宋体"/>
          <w:color w:val="030301"/>
          <w:kern w:val="0"/>
          <w:sz w:val="32"/>
          <w:szCs w:val="32"/>
        </w:rPr>
      </w:pPr>
      <w:r>
        <w:rPr>
          <w:rFonts w:ascii="仿宋" w:hAnsi="仿宋" w:eastAsia="仿宋_GB2312" w:cs="仿宋"/>
          <w:sz w:val="32"/>
          <w:szCs w:val="32"/>
        </w:rPr>
        <w:t xml:space="preserve">   </w:t>
      </w:r>
      <w:r>
        <w:rPr>
          <w:rFonts w:hint="eastAsia" w:ascii="仿宋" w:hAnsi="仿宋" w:eastAsia="仿宋_GB2312" w:cs="仿宋"/>
          <w:sz w:val="32"/>
          <w:szCs w:val="32"/>
          <w:lang w:val="en-US" w:eastAsia="zh-CN"/>
        </w:rPr>
        <w:t xml:space="preserve"> </w:t>
      </w:r>
      <w:r>
        <w:rPr>
          <w:rFonts w:ascii="仿宋" w:hAnsi="仿宋" w:eastAsia="仿宋_GB2312" w:cs="仿宋"/>
          <w:sz w:val="32"/>
          <w:szCs w:val="32"/>
        </w:rPr>
        <w:t>3.</w:t>
      </w:r>
      <w:r>
        <w:rPr>
          <w:rFonts w:hint="eastAsia" w:ascii="仿宋" w:hAnsi="仿宋" w:eastAsia="仿宋_GB2312" w:cs="仿宋"/>
          <w:sz w:val="32"/>
          <w:szCs w:val="32"/>
        </w:rPr>
        <w:t>单位基本情况：我局编制人数为</w:t>
      </w:r>
      <w:r>
        <w:rPr>
          <w:rFonts w:ascii="仿宋" w:hAnsi="仿宋" w:eastAsia="仿宋_GB2312" w:cs="仿宋"/>
          <w:sz w:val="32"/>
          <w:szCs w:val="32"/>
        </w:rPr>
        <w:t>35</w:t>
      </w:r>
      <w:r>
        <w:rPr>
          <w:rFonts w:hint="eastAsia" w:ascii="仿宋" w:hAnsi="仿宋" w:eastAsia="仿宋_GB2312" w:cs="仿宋"/>
          <w:sz w:val="32"/>
          <w:szCs w:val="32"/>
        </w:rPr>
        <w:t>人，实际人数</w:t>
      </w:r>
      <w:r>
        <w:rPr>
          <w:rFonts w:hint="eastAsia" w:ascii="仿宋" w:hAnsi="仿宋" w:eastAsia="仿宋_GB2312" w:cs="仿宋"/>
          <w:sz w:val="32"/>
          <w:szCs w:val="32"/>
          <w:lang w:val="en-US" w:eastAsia="zh-CN"/>
        </w:rPr>
        <w:t>138</w:t>
      </w:r>
      <w:r>
        <w:rPr>
          <w:rFonts w:hint="eastAsia" w:ascii="仿宋" w:hAnsi="仿宋" w:eastAsia="仿宋_GB2312" w:cs="仿宋"/>
          <w:sz w:val="32"/>
          <w:szCs w:val="32"/>
        </w:rPr>
        <w:t>人，其中在职</w:t>
      </w:r>
      <w:r>
        <w:rPr>
          <w:rFonts w:hint="eastAsia" w:ascii="仿宋" w:hAnsi="仿宋" w:eastAsia="仿宋_GB2312" w:cs="仿宋"/>
          <w:sz w:val="32"/>
          <w:szCs w:val="32"/>
          <w:lang w:val="en-US" w:eastAsia="zh-CN"/>
        </w:rPr>
        <w:t>73</w:t>
      </w:r>
      <w:r>
        <w:rPr>
          <w:rFonts w:hint="eastAsia" w:ascii="仿宋" w:hAnsi="仿宋" w:eastAsia="仿宋_GB2312" w:cs="仿宋"/>
          <w:sz w:val="32"/>
          <w:szCs w:val="32"/>
        </w:rPr>
        <w:t>人，离退休</w:t>
      </w:r>
      <w:r>
        <w:rPr>
          <w:rFonts w:hint="eastAsia" w:ascii="仿宋" w:hAnsi="仿宋" w:eastAsia="仿宋_GB2312" w:cs="仿宋"/>
          <w:sz w:val="32"/>
          <w:szCs w:val="32"/>
          <w:lang w:val="en-US" w:eastAsia="zh-CN"/>
        </w:rPr>
        <w:t>65</w:t>
      </w:r>
      <w:r>
        <w:rPr>
          <w:rFonts w:hint="eastAsia" w:ascii="仿宋" w:hAnsi="仿宋" w:eastAsia="仿宋_GB2312" w:cs="仿宋"/>
          <w:sz w:val="32"/>
          <w:szCs w:val="32"/>
        </w:rPr>
        <w:t>人。遗属补助人数</w:t>
      </w:r>
      <w:r>
        <w:rPr>
          <w:rFonts w:hint="eastAsia" w:ascii="仿宋" w:hAnsi="仿宋" w:eastAsia="仿宋_GB2312" w:cs="仿宋"/>
          <w:sz w:val="32"/>
          <w:szCs w:val="32"/>
          <w:lang w:val="en-US" w:eastAsia="zh-CN"/>
        </w:rPr>
        <w:t>3</w:t>
      </w:r>
      <w:r>
        <w:rPr>
          <w:rFonts w:hint="eastAsia" w:ascii="仿宋" w:hAnsi="仿宋" w:eastAsia="仿宋_GB2312" w:cs="仿宋"/>
          <w:sz w:val="32"/>
          <w:szCs w:val="32"/>
        </w:rPr>
        <w:t>人；小车编制数</w:t>
      </w:r>
      <w:r>
        <w:rPr>
          <w:rFonts w:ascii="仿宋" w:hAnsi="仿宋" w:eastAsia="仿宋_GB2312" w:cs="仿宋"/>
          <w:sz w:val="32"/>
          <w:szCs w:val="32"/>
        </w:rPr>
        <w:t>0</w:t>
      </w:r>
      <w:r>
        <w:rPr>
          <w:rFonts w:hint="eastAsia" w:ascii="仿宋" w:hAnsi="仿宋" w:eastAsia="仿宋_GB2312" w:cs="仿宋"/>
          <w:sz w:val="32"/>
          <w:szCs w:val="32"/>
        </w:rPr>
        <w:t>台，实际</w:t>
      </w:r>
      <w:r>
        <w:rPr>
          <w:rFonts w:ascii="仿宋" w:hAnsi="仿宋" w:eastAsia="仿宋_GB2312" w:cs="仿宋"/>
          <w:sz w:val="32"/>
          <w:szCs w:val="32"/>
        </w:rPr>
        <w:t>0</w:t>
      </w:r>
      <w:r>
        <w:rPr>
          <w:rFonts w:hint="eastAsia" w:ascii="仿宋" w:hAnsi="仿宋" w:eastAsia="仿宋_GB2312" w:cs="仿宋"/>
          <w:sz w:val="32"/>
          <w:szCs w:val="32"/>
        </w:rPr>
        <w:t>台；固定资</w:t>
      </w:r>
      <w:r>
        <w:rPr>
          <w:rFonts w:hint="eastAsia" w:ascii="仿宋" w:hAnsi="仿宋" w:eastAsia="仿宋_GB2312" w:cs="仿宋"/>
          <w:sz w:val="32"/>
          <w:szCs w:val="32"/>
          <w:lang w:eastAsia="zh-CN"/>
        </w:rPr>
        <w:t>产原值</w:t>
      </w:r>
      <w:r>
        <w:rPr>
          <w:rFonts w:hint="eastAsia" w:ascii="仿宋" w:hAnsi="仿宋" w:eastAsia="仿宋_GB2312" w:cs="仿宋"/>
          <w:sz w:val="32"/>
          <w:szCs w:val="32"/>
          <w:lang w:val="en-US" w:eastAsia="zh-CN"/>
        </w:rPr>
        <w:t>121.30</w:t>
      </w:r>
      <w:r>
        <w:rPr>
          <w:rFonts w:hint="eastAsia" w:ascii="仿宋" w:hAnsi="仿宋" w:eastAsia="仿宋_GB2312" w:cs="仿宋"/>
          <w:sz w:val="32"/>
          <w:szCs w:val="32"/>
        </w:rPr>
        <w:t>万元</w:t>
      </w:r>
      <w:r>
        <w:rPr>
          <w:rFonts w:hint="eastAsia" w:ascii="仿宋" w:hAnsi="仿宋" w:eastAsia="仿宋_GB2312" w:cs="仿宋"/>
          <w:sz w:val="32"/>
          <w:szCs w:val="32"/>
          <w:lang w:eastAsia="zh-CN"/>
        </w:rPr>
        <w:t>，其中</w:t>
      </w:r>
      <w:r>
        <w:rPr>
          <w:rFonts w:hint="eastAsia" w:ascii="仿宋" w:hAnsi="仿宋" w:eastAsia="仿宋_GB2312" w:cs="仿宋"/>
          <w:sz w:val="32"/>
          <w:szCs w:val="32"/>
        </w:rPr>
        <w:t>房屋面积</w:t>
      </w:r>
      <w:r>
        <w:rPr>
          <w:rFonts w:hint="eastAsia" w:ascii="仿宋" w:hAnsi="仿宋" w:eastAsia="仿宋_GB2312" w:cs="仿宋"/>
          <w:sz w:val="32"/>
          <w:szCs w:val="32"/>
          <w:lang w:val="en-US" w:eastAsia="zh-CN"/>
        </w:rPr>
        <w:t>105</w:t>
      </w:r>
      <w:r>
        <w:rPr>
          <w:rFonts w:hint="eastAsia" w:ascii="仿宋" w:hAnsi="仿宋" w:eastAsia="仿宋_GB2312" w:cs="仿宋"/>
          <w:sz w:val="32"/>
          <w:szCs w:val="32"/>
        </w:rPr>
        <w:t>平方米，</w:t>
      </w:r>
      <w:r>
        <w:rPr>
          <w:rFonts w:hint="eastAsia" w:ascii="仿宋" w:hAnsi="仿宋" w:eastAsia="仿宋_GB2312" w:cs="仿宋"/>
          <w:sz w:val="32"/>
          <w:szCs w:val="32"/>
          <w:lang w:eastAsia="zh-CN"/>
        </w:rPr>
        <w:t>房屋原值</w:t>
      </w:r>
      <w:r>
        <w:rPr>
          <w:rFonts w:hint="eastAsia" w:ascii="仿宋" w:hAnsi="仿宋" w:eastAsia="仿宋_GB2312" w:cs="仿宋"/>
          <w:sz w:val="32"/>
          <w:szCs w:val="32"/>
          <w:lang w:val="en-US" w:eastAsia="zh-CN"/>
        </w:rPr>
        <w:t>13.06万元</w:t>
      </w:r>
      <w:r>
        <w:rPr>
          <w:rFonts w:hint="eastAsia" w:ascii="仿宋" w:hAnsi="仿宋" w:eastAsia="仿宋_GB2312" w:cs="仿宋"/>
          <w:sz w:val="32"/>
          <w:szCs w:val="32"/>
        </w:rPr>
        <w:t>。</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val="en-US" w:eastAsia="zh-CN"/>
        </w:rPr>
        <w:t>2021</w:t>
      </w:r>
      <w:r>
        <w:rPr>
          <w:rFonts w:hint="eastAsia" w:ascii="楷体" w:hAnsi="楷体" w:eastAsia="楷体" w:cs="楷体"/>
          <w:b/>
          <w:bCs/>
          <w:sz w:val="32"/>
          <w:szCs w:val="32"/>
        </w:rPr>
        <w:t>年的重点工作</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ascii="黑体" w:hAnsi="黑体" w:eastAsia="黑体"/>
          <w:b w:val="0"/>
          <w:bCs w:val="0"/>
          <w:sz w:val="32"/>
          <w:szCs w:val="32"/>
        </w:rPr>
      </w:pPr>
      <w:r>
        <w:rPr>
          <w:rFonts w:hint="eastAsia" w:ascii="楷体" w:hAnsi="楷体" w:eastAsia="楷体" w:cs="楷体"/>
          <w:b w:val="0"/>
          <w:bCs w:val="0"/>
          <w:color w:val="000000"/>
          <w:sz w:val="32"/>
          <w:szCs w:val="32"/>
          <w:lang w:val="en-US" w:eastAsia="zh-CN"/>
        </w:rPr>
        <w:t>（一）</w:t>
      </w:r>
      <w:r>
        <w:rPr>
          <w:rFonts w:hint="eastAsia" w:ascii="楷体" w:hAnsi="楷体" w:eastAsia="楷体" w:cs="楷体"/>
          <w:b/>
          <w:bCs/>
          <w:color w:val="000000"/>
          <w:kern w:val="0"/>
          <w:sz w:val="32"/>
          <w:szCs w:val="32"/>
          <w:highlight w:val="none"/>
          <w:lang w:val="en-US" w:eastAsia="zh-CN" w:bidi="ar-SA"/>
        </w:rPr>
        <w:t>着力保持经济平稳增长。</w:t>
      </w:r>
      <w:r>
        <w:rPr>
          <w:rFonts w:hint="eastAsia" w:ascii="仿宋_GB2312" w:hAnsi="仿宋_GB2312" w:eastAsia="仿宋_GB2312" w:cs="仿宋_GB2312"/>
          <w:bCs/>
          <w:sz w:val="32"/>
          <w:szCs w:val="32"/>
          <w:shd w:val="clear" w:color="auto" w:fill="FFFFFF"/>
        </w:rPr>
        <w:t>始终立</w:t>
      </w:r>
      <w:r>
        <w:rPr>
          <w:rFonts w:hint="eastAsia" w:ascii="仿宋_GB2312" w:hAnsi="仿宋_GB2312" w:eastAsia="仿宋_GB2312" w:cs="仿宋_GB2312"/>
          <w:sz w:val="32"/>
          <w:szCs w:val="32"/>
        </w:rPr>
        <w:t>足新发展阶段，贯彻新发展理念，融入新发展格局</w:t>
      </w:r>
      <w:r>
        <w:rPr>
          <w:rFonts w:hint="eastAsia" w:ascii="仿宋_GB2312" w:hAnsi="仿宋_GB2312" w:eastAsia="仿宋_GB2312" w:cs="仿宋_GB2312"/>
          <w:sz w:val="32"/>
          <w:szCs w:val="32"/>
          <w:lang w:val="en-US" w:eastAsia="zh-CN"/>
        </w:rPr>
        <w:t>，各项经济指标稳中向好。</w:t>
      </w:r>
      <w:r>
        <w:rPr>
          <w:rFonts w:hint="eastAsia" w:ascii="仿宋_GB2312" w:hAnsi="仿宋_GB2312" w:eastAsia="仿宋_GB2312" w:cs="仿宋_GB2312"/>
          <w:color w:val="auto"/>
          <w:sz w:val="32"/>
          <w:szCs w:val="32"/>
        </w:rPr>
        <w:t>全年完成地区生产总值256亿元，增长9.5%；固定资产投资20</w:t>
      </w:r>
      <w:r>
        <w:rPr>
          <w:rFonts w:hint="eastAsia" w:ascii="仿宋_GB2312" w:hAnsi="仿宋_GB2312" w:eastAsia="仿宋_GB2312" w:cs="仿宋_GB2312"/>
          <w:sz w:val="32"/>
          <w:szCs w:val="32"/>
        </w:rPr>
        <w:t>7亿元，增长16%；规模工业增加值56.9亿元，增长14%；</w:t>
      </w:r>
      <w:r>
        <w:rPr>
          <w:rFonts w:hint="eastAsia" w:ascii="仿宋_GB2312" w:hAnsi="仿宋_GB2312" w:eastAsia="仿宋_GB2312" w:cs="仿宋_GB2312"/>
          <w:sz w:val="32"/>
          <w:szCs w:val="32"/>
          <w:lang w:eastAsia="zh-CN"/>
        </w:rPr>
        <w:t>新增规模服务企业</w:t>
      </w:r>
      <w:r>
        <w:rPr>
          <w:rFonts w:hint="eastAsia" w:ascii="仿宋_GB2312" w:hAnsi="仿宋_GB2312" w:eastAsia="仿宋_GB2312" w:cs="仿宋_GB2312"/>
          <w:sz w:val="32"/>
          <w:szCs w:val="32"/>
          <w:lang w:val="en-US" w:eastAsia="zh-CN"/>
        </w:rPr>
        <w:t>15家，同比增长37.9%，排名全市第一；</w:t>
      </w:r>
      <w:r>
        <w:rPr>
          <w:rFonts w:hint="eastAsia" w:ascii="仿宋_GB2312" w:hAnsi="仿宋_GB2312" w:eastAsia="仿宋_GB2312" w:cs="仿宋_GB2312"/>
          <w:sz w:val="32"/>
          <w:szCs w:val="32"/>
        </w:rPr>
        <w:t>全体居民人</w:t>
      </w:r>
      <w:r>
        <w:rPr>
          <w:rFonts w:hint="eastAsia" w:ascii="仿宋_GB2312" w:hAnsi="仿宋_GB2312" w:eastAsia="仿宋_GB2312" w:cs="仿宋_GB2312"/>
          <w:color w:val="auto"/>
          <w:sz w:val="32"/>
          <w:szCs w:val="32"/>
        </w:rPr>
        <w:t>均可支配收入19224元，增长</w:t>
      </w:r>
      <w:r>
        <w:rPr>
          <w:rFonts w:ascii="仿宋_GB2312" w:hAnsi="仿宋_GB2312" w:eastAsia="仿宋_GB2312" w:cs="仿宋_GB2312"/>
          <w:color w:val="auto"/>
          <w:sz w:val="32"/>
          <w:szCs w:val="32"/>
        </w:rPr>
        <w:t>10.5</w:t>
      </w:r>
      <w:r>
        <w:rPr>
          <w:rFonts w:hint="eastAsia" w:ascii="仿宋_GB2312" w:hAnsi="仿宋_GB2312" w:eastAsia="仿宋_GB2312" w:cs="仿宋_GB2312"/>
          <w:color w:val="auto"/>
          <w:sz w:val="32"/>
          <w:szCs w:val="32"/>
        </w:rPr>
        <w:t>%，其中城镇居民人均可支配收入31152元，同比增长10%，农村居民人均可支配收入14251元，同比增长13.2%；财政总收入16.</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5亿元，增长7</w:t>
      </w:r>
      <w:r>
        <w:rPr>
          <w:rFonts w:ascii="仿宋_GB2312" w:hAnsi="仿宋_GB2312" w:eastAsia="仿宋_GB2312" w:cs="仿宋_GB2312"/>
          <w:color w:val="auto"/>
          <w:sz w:val="32"/>
          <w:szCs w:val="32"/>
        </w:rPr>
        <w:t>.78</w:t>
      </w:r>
      <w:r>
        <w:rPr>
          <w:rFonts w:hint="eastAsia" w:ascii="仿宋_GB2312" w:hAnsi="仿宋_GB2312" w:eastAsia="仿宋_GB2312" w:cs="仿宋_GB2312"/>
          <w:color w:val="auto"/>
          <w:sz w:val="32"/>
          <w:szCs w:val="32"/>
        </w:rPr>
        <w:t>%，其中地方财政收</w:t>
      </w:r>
      <w:r>
        <w:rPr>
          <w:rFonts w:hint="eastAsia" w:ascii="仿宋_GB2312" w:hAnsi="仿宋_GB2312" w:eastAsia="仿宋_GB2312" w:cs="仿宋_GB2312"/>
          <w:sz w:val="32"/>
          <w:szCs w:val="32"/>
        </w:rPr>
        <w:t>入首次突破10亿元大关，完成10.42亿元，增长11.69%，非税占比34.1%。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textAlignment w:val="auto"/>
        <w:rPr>
          <w:rFonts w:hint="default" w:ascii="仿宋_GB2312" w:hAnsi="仿宋_GB2312" w:eastAsia="仿宋_GB2312" w:cs="仿宋_GB2312"/>
          <w:color w:val="auto"/>
          <w:spacing w:val="-4"/>
          <w:kern w:val="2"/>
          <w:sz w:val="32"/>
          <w:szCs w:val="32"/>
          <w:highlight w:val="none"/>
          <w:lang w:val="en-US" w:eastAsia="zh-CN" w:bidi="ar-SA"/>
        </w:rPr>
      </w:pPr>
      <w:r>
        <w:rPr>
          <w:rFonts w:hint="eastAsia" w:ascii="Times New Roman" w:hAnsi="Times New Roman" w:eastAsia="楷体" w:cs="楷体"/>
          <w:b/>
          <w:bCs w:val="0"/>
          <w:color w:val="000000"/>
          <w:kern w:val="2"/>
          <w:sz w:val="32"/>
          <w:szCs w:val="32"/>
          <w:lang w:val="en-US" w:eastAsia="zh-CN" w:bidi="ar-SA"/>
        </w:rPr>
        <w:t>（二）</w:t>
      </w:r>
      <w:r>
        <w:rPr>
          <w:rFonts w:hint="eastAsia" w:ascii="楷体" w:hAnsi="楷体" w:eastAsia="楷体" w:cs="楷体"/>
          <w:b/>
          <w:bCs/>
          <w:color w:val="000000"/>
          <w:kern w:val="0"/>
          <w:sz w:val="32"/>
          <w:szCs w:val="32"/>
          <w:highlight w:val="none"/>
          <w:lang w:val="en-US" w:eastAsia="zh-CN" w:bidi="ar-SA"/>
        </w:rPr>
        <w:t>着力扩大有效投资。</w:t>
      </w:r>
      <w:r>
        <w:rPr>
          <w:rFonts w:hint="eastAsia" w:ascii="仿宋" w:hAnsi="Calibri" w:eastAsia="仿宋" w:cs="仿宋"/>
          <w:b/>
          <w:bCs/>
          <w:kern w:val="0"/>
          <w:sz w:val="32"/>
          <w:szCs w:val="32"/>
          <w:lang w:val="en-US" w:eastAsia="zh-CN"/>
        </w:rPr>
        <w:t>一是要素保障有力有效。</w:t>
      </w:r>
      <w:r>
        <w:rPr>
          <w:rFonts w:hint="eastAsia" w:ascii="Times New Roman" w:hAnsi="仿宋" w:eastAsia="仿宋_GB2312" w:cs="仿宋"/>
          <w:color w:val="auto"/>
          <w:kern w:val="0"/>
          <w:sz w:val="32"/>
          <w:szCs w:val="32"/>
          <w:shd w:val="clear" w:color="auto" w:fill="FFFFFF"/>
          <w:lang w:val="en-US" w:eastAsia="zh-CN"/>
        </w:rPr>
        <w:t>全年向上申报资</w:t>
      </w:r>
      <w:r>
        <w:rPr>
          <w:rFonts w:hint="eastAsia" w:ascii="仿宋_GB2312" w:hAnsi="仿宋_GB2312" w:eastAsia="仿宋_GB2312" w:cs="仿宋_GB2312"/>
          <w:kern w:val="0"/>
          <w:sz w:val="32"/>
          <w:szCs w:val="32"/>
          <w:lang w:val="en-US" w:eastAsia="zh-CN" w:bidi="ar"/>
        </w:rPr>
        <w:t>金</w:t>
      </w:r>
      <w:r>
        <w:rPr>
          <w:rFonts w:hint="eastAsia" w:ascii="仿宋_GB2312" w:hAnsi="仿宋_GB2312" w:eastAsia="仿宋_GB2312" w:cs="仿宋_GB2312"/>
          <w:kern w:val="0"/>
          <w:sz w:val="32"/>
          <w:szCs w:val="32"/>
          <w:highlight w:val="none"/>
          <w:lang w:val="en-US" w:eastAsia="zh-CN" w:bidi="ar"/>
        </w:rPr>
        <w:t>25批次80多</w:t>
      </w:r>
      <w:r>
        <w:rPr>
          <w:rFonts w:hint="eastAsia" w:ascii="仿宋_GB2312" w:hAnsi="仿宋_GB2312" w:eastAsia="仿宋_GB2312" w:cs="仿宋_GB2312"/>
          <w:kern w:val="0"/>
          <w:sz w:val="32"/>
          <w:szCs w:val="32"/>
          <w:lang w:val="en-US" w:eastAsia="zh-CN" w:bidi="ar"/>
        </w:rPr>
        <w:t>个项目，涉及基础设施建设、保障性安居工程等多个领域，目前已到位中央、省预算内资</w:t>
      </w:r>
      <w:r>
        <w:rPr>
          <w:rFonts w:hint="eastAsia" w:ascii="仿宋_GB2312" w:hAnsi="仿宋_GB2312" w:eastAsia="仿宋_GB2312" w:cs="仿宋_GB2312"/>
          <w:kern w:val="0"/>
          <w:sz w:val="32"/>
          <w:szCs w:val="32"/>
          <w:highlight w:val="none"/>
          <w:lang w:val="en-US" w:eastAsia="zh-CN" w:bidi="ar"/>
        </w:rPr>
        <w:t>金5.2</w:t>
      </w:r>
      <w:r>
        <w:rPr>
          <w:rFonts w:hint="eastAsia" w:ascii="仿宋_GB2312" w:hAnsi="仿宋_GB2312" w:eastAsia="仿宋_GB2312" w:cs="仿宋_GB2312"/>
          <w:kern w:val="0"/>
          <w:sz w:val="32"/>
          <w:szCs w:val="32"/>
          <w:lang w:val="en-US" w:eastAsia="zh-CN" w:bidi="ar"/>
        </w:rPr>
        <w:t>亿元，发行</w:t>
      </w:r>
      <w:r>
        <w:rPr>
          <w:rFonts w:hint="eastAsia" w:ascii="仿宋_GB2312" w:hAnsi="仿宋_GB2312" w:eastAsia="仿宋_GB2312" w:cs="仿宋_GB2312"/>
          <w:sz w:val="32"/>
          <w:szCs w:val="32"/>
          <w:lang w:eastAsia="zh-CN"/>
        </w:rPr>
        <w:t>地方政府专项债</w:t>
      </w:r>
      <w:r>
        <w:rPr>
          <w:rFonts w:hint="eastAsia" w:ascii="仿宋_GB2312" w:hAnsi="仿宋_GB2312" w:eastAsia="仿宋_GB2312" w:cs="仿宋_GB2312"/>
          <w:sz w:val="32"/>
          <w:szCs w:val="32"/>
          <w:lang w:val="en-US" w:eastAsia="zh-CN"/>
        </w:rPr>
        <w:t>8.5亿元。</w:t>
      </w:r>
      <w:r>
        <w:rPr>
          <w:rFonts w:hint="eastAsia" w:ascii="仿宋" w:hAnsi="Calibri" w:eastAsia="仿宋" w:cs="仿宋"/>
          <w:b/>
          <w:bCs/>
          <w:kern w:val="0"/>
          <w:sz w:val="32"/>
          <w:szCs w:val="32"/>
          <w:lang w:val="en-US" w:eastAsia="zh-CN"/>
        </w:rPr>
        <w:t>二是重大项目建设成效明显。</w:t>
      </w:r>
      <w:r>
        <w:rPr>
          <w:rFonts w:hint="eastAsia" w:ascii="仿宋_GB2312" w:hAnsi="仿宋_GB2312" w:eastAsia="仿宋_GB2312" w:cs="仿宋_GB2312"/>
          <w:kern w:val="0"/>
          <w:sz w:val="32"/>
          <w:szCs w:val="32"/>
          <w:lang w:val="zh-CN" w:eastAsia="zh-CN" w:bidi="ar"/>
        </w:rPr>
        <w:t>牵头举行</w:t>
      </w:r>
      <w:r>
        <w:rPr>
          <w:rFonts w:hint="eastAsia" w:ascii="仿宋_GB2312" w:hAnsi="仿宋_GB2312" w:eastAsia="仿宋_GB2312" w:cs="仿宋_GB2312"/>
          <w:kern w:val="0"/>
          <w:sz w:val="32"/>
          <w:szCs w:val="32"/>
          <w:lang w:val="en-US" w:eastAsia="zh-CN" w:bidi="ar"/>
        </w:rPr>
        <w:t>3次重点</w:t>
      </w:r>
      <w:r>
        <w:rPr>
          <w:rFonts w:hint="eastAsia" w:ascii="仿宋_GB2312" w:hAnsi="仿宋_GB2312" w:eastAsia="仿宋_GB2312" w:cs="仿宋_GB2312"/>
          <w:kern w:val="0"/>
          <w:sz w:val="32"/>
          <w:szCs w:val="32"/>
          <w:lang w:val="zh-CN" w:eastAsia="zh-CN" w:bidi="ar"/>
        </w:rPr>
        <w:t>项目集中</w:t>
      </w:r>
      <w:r>
        <w:rPr>
          <w:rFonts w:hint="eastAsia" w:ascii="仿宋_GB2312" w:hAnsi="仿宋_GB2312" w:eastAsia="仿宋_GB2312" w:cs="仿宋_GB2312"/>
          <w:kern w:val="0"/>
          <w:sz w:val="32"/>
          <w:szCs w:val="32"/>
          <w:lang w:val="en-US" w:eastAsia="zh-CN" w:bidi="ar"/>
        </w:rPr>
        <w:t>开竣工</w:t>
      </w:r>
      <w:r>
        <w:rPr>
          <w:rFonts w:hint="eastAsia" w:ascii="仿宋_GB2312" w:hAnsi="仿宋_GB2312" w:eastAsia="仿宋_GB2312" w:cs="仿宋_GB2312"/>
          <w:kern w:val="0"/>
          <w:sz w:val="32"/>
          <w:szCs w:val="32"/>
          <w:lang w:val="zh-CN" w:eastAsia="zh-CN" w:bidi="ar"/>
        </w:rPr>
        <w:t>仪式，</w:t>
      </w:r>
      <w:r>
        <w:rPr>
          <w:rFonts w:hint="eastAsia" w:ascii="仿宋_GB2312" w:hAnsi="仿宋_GB2312" w:eastAsia="仿宋_GB2312" w:cs="仿宋_GB2312"/>
          <w:kern w:val="0"/>
          <w:sz w:val="32"/>
          <w:szCs w:val="32"/>
          <w:highlight w:val="none"/>
          <w:lang w:val="en-US" w:eastAsia="zh-CN" w:bidi="ar"/>
        </w:rPr>
        <w:t>总投资40.6亿元</w:t>
      </w:r>
      <w:r>
        <w:rPr>
          <w:rFonts w:hint="eastAsia" w:ascii="仿宋_GB2312" w:hAnsi="仿宋_GB2312" w:eastAsia="仿宋_GB2312" w:cs="仿宋_GB2312"/>
          <w:kern w:val="0"/>
          <w:sz w:val="32"/>
          <w:szCs w:val="32"/>
          <w:lang w:val="zh-CN" w:eastAsia="zh-CN" w:bidi="ar"/>
        </w:rPr>
        <w:t>。</w:t>
      </w:r>
      <w:r>
        <w:rPr>
          <w:rFonts w:hint="eastAsia" w:ascii="Times New Roman" w:hAnsi="仿宋" w:eastAsia="仿宋_GB2312" w:cs="仿宋"/>
          <w:color w:val="auto"/>
          <w:kern w:val="0"/>
          <w:sz w:val="32"/>
          <w:szCs w:val="32"/>
          <w:shd w:val="clear" w:color="auto" w:fill="FFFFFF"/>
          <w:lang w:val="en-US" w:eastAsia="zh-CN"/>
        </w:rPr>
        <w:t>2021年</w:t>
      </w:r>
      <w:r>
        <w:rPr>
          <w:rFonts w:hint="eastAsia" w:ascii="Times New Roman" w:hAnsi="仿宋" w:eastAsia="仿宋_GB2312" w:cs="仿宋"/>
          <w:color w:val="auto"/>
          <w:kern w:val="0"/>
          <w:sz w:val="32"/>
          <w:szCs w:val="32"/>
          <w:shd w:val="clear" w:color="auto" w:fill="FFFFFF"/>
          <w:lang w:val="zh-CN" w:eastAsia="zh-CN"/>
        </w:rPr>
        <w:t>计划新、续建重点项目162个，年度计划投资144.7亿元；</w:t>
      </w:r>
      <w:r>
        <w:rPr>
          <w:rFonts w:hint="eastAsia" w:ascii="Times New Roman" w:hAnsi="仿宋" w:eastAsia="仿宋_GB2312" w:cs="仿宋"/>
          <w:color w:val="auto"/>
          <w:kern w:val="0"/>
          <w:sz w:val="32"/>
          <w:szCs w:val="32"/>
          <w:shd w:val="clear" w:color="auto" w:fill="FFFFFF"/>
          <w:lang w:val="en-US" w:eastAsia="zh-CN"/>
        </w:rPr>
        <w:t>1个</w:t>
      </w:r>
      <w:r>
        <w:rPr>
          <w:rFonts w:hint="eastAsia" w:ascii="Times New Roman" w:hAnsi="仿宋" w:eastAsia="仿宋_GB2312" w:cs="仿宋"/>
          <w:color w:val="auto"/>
          <w:kern w:val="0"/>
          <w:sz w:val="32"/>
          <w:szCs w:val="32"/>
          <w:shd w:val="clear" w:color="auto" w:fill="FFFFFF"/>
          <w:lang w:val="zh-CN" w:eastAsia="zh-CN"/>
        </w:rPr>
        <w:t>省重点项目</w:t>
      </w:r>
      <w:r>
        <w:rPr>
          <w:rFonts w:hint="eastAsia" w:ascii="仿宋_GB2312" w:hAnsi="仿宋_GB2312" w:eastAsia="仿宋_GB2312" w:cs="仿宋_GB2312"/>
          <w:color w:val="000000"/>
          <w:kern w:val="2"/>
          <w:sz w:val="32"/>
          <w:szCs w:val="32"/>
          <w:lang w:val="en-US" w:eastAsia="zh-CN" w:bidi="ar-SA"/>
        </w:rPr>
        <w:t>完成投资6.74亿元，占年度计划的134.8%；2</w:t>
      </w:r>
      <w:r>
        <w:rPr>
          <w:rFonts w:hint="eastAsia" w:ascii="仿宋_GB2312" w:hAnsi="仿宋_GB2312" w:eastAsia="仿宋_GB2312" w:cs="仿宋_GB2312"/>
          <w:color w:val="000000"/>
          <w:spacing w:val="0"/>
          <w:kern w:val="2"/>
          <w:sz w:val="32"/>
          <w:szCs w:val="32"/>
          <w:lang w:val="en-US" w:eastAsia="zh-CN" w:bidi="ar-SA"/>
        </w:rPr>
        <w:t>2个市重点项目</w:t>
      </w:r>
      <w:r>
        <w:rPr>
          <w:rFonts w:hint="eastAsia" w:ascii="Times New Roman" w:hAnsi="仿宋" w:eastAsia="仿宋_GB2312" w:cs="仿宋"/>
          <w:color w:val="auto"/>
          <w:spacing w:val="0"/>
          <w:kern w:val="0"/>
          <w:sz w:val="32"/>
          <w:szCs w:val="32"/>
          <w:shd w:val="clear" w:color="auto" w:fill="FFFFFF"/>
          <w:lang w:val="en-US" w:eastAsia="zh-CN"/>
        </w:rPr>
        <w:t>完成</w:t>
      </w:r>
      <w:r>
        <w:rPr>
          <w:rFonts w:hint="eastAsia" w:ascii="Times New Roman" w:hAnsi="仿宋" w:eastAsia="仿宋_GB2312" w:cs="仿宋"/>
          <w:color w:val="auto"/>
          <w:spacing w:val="0"/>
          <w:kern w:val="0"/>
          <w:sz w:val="32"/>
          <w:szCs w:val="32"/>
          <w:shd w:val="clear" w:color="auto" w:fill="FFFFFF"/>
          <w:lang w:val="zh-CN" w:eastAsia="zh-CN"/>
        </w:rPr>
        <w:t>投资</w:t>
      </w:r>
      <w:r>
        <w:rPr>
          <w:rFonts w:hint="eastAsia" w:ascii="仿宋_GB2312" w:hAnsi="仿宋_GB2312" w:eastAsia="仿宋_GB2312" w:cs="仿宋_GB2312"/>
          <w:color w:val="000000"/>
          <w:spacing w:val="0"/>
          <w:kern w:val="2"/>
          <w:sz w:val="32"/>
          <w:szCs w:val="32"/>
          <w:lang w:val="en-US" w:eastAsia="zh-CN" w:bidi="ar-SA"/>
        </w:rPr>
        <w:t>42.82</w:t>
      </w:r>
      <w:r>
        <w:rPr>
          <w:rFonts w:hint="eastAsia" w:ascii="Times New Roman" w:hAnsi="仿宋" w:eastAsia="仿宋_GB2312" w:cs="仿宋"/>
          <w:color w:val="auto"/>
          <w:spacing w:val="0"/>
          <w:kern w:val="0"/>
          <w:sz w:val="32"/>
          <w:szCs w:val="32"/>
          <w:shd w:val="clear" w:color="auto" w:fill="FFFFFF"/>
          <w:lang w:val="zh-CN" w:eastAsia="zh-CN"/>
        </w:rPr>
        <w:t>亿元，占年度计划的</w:t>
      </w:r>
      <w:r>
        <w:rPr>
          <w:rFonts w:hint="eastAsia" w:ascii="仿宋_GB2312" w:hAnsi="仿宋_GB2312" w:eastAsia="仿宋_GB2312" w:cs="仿宋_GB2312"/>
          <w:color w:val="000000"/>
          <w:spacing w:val="0"/>
          <w:kern w:val="2"/>
          <w:sz w:val="32"/>
          <w:szCs w:val="32"/>
          <w:lang w:val="en-US" w:eastAsia="zh-CN" w:bidi="ar-SA"/>
        </w:rPr>
        <w:t>122.6%，排名全市第一；162个县重点项目</w:t>
      </w:r>
      <w:r>
        <w:rPr>
          <w:rFonts w:hint="eastAsia" w:ascii="仿宋_GB2312" w:hAnsi="仿宋_GB2312" w:eastAsia="仿宋_GB2312" w:cs="仿宋_GB2312"/>
          <w:color w:val="000000"/>
          <w:kern w:val="2"/>
          <w:sz w:val="32"/>
          <w:szCs w:val="32"/>
          <w:lang w:val="en-US" w:eastAsia="zh-CN" w:bidi="ar-SA"/>
        </w:rPr>
        <w:t>完成</w:t>
      </w:r>
      <w:r>
        <w:rPr>
          <w:rFonts w:hint="eastAsia" w:ascii="仿宋_GB2312" w:hAnsi="仿宋_GB2312" w:eastAsia="仿宋_GB2312" w:cs="仿宋_GB2312"/>
          <w:color w:val="000000"/>
          <w:kern w:val="2"/>
          <w:sz w:val="32"/>
          <w:szCs w:val="32"/>
          <w:lang w:val="zh-CN" w:eastAsia="zh-CN" w:bidi="ar-SA"/>
        </w:rPr>
        <w:t>投资</w:t>
      </w:r>
      <w:r>
        <w:rPr>
          <w:rFonts w:hint="eastAsia" w:ascii="仿宋_GB2312" w:hAnsi="仿宋_GB2312" w:eastAsia="仿宋_GB2312" w:cs="仿宋_GB2312"/>
          <w:color w:val="000000"/>
          <w:kern w:val="2"/>
          <w:sz w:val="32"/>
          <w:szCs w:val="32"/>
          <w:lang w:val="en-US" w:eastAsia="zh-CN" w:bidi="ar-SA"/>
        </w:rPr>
        <w:t>146.2</w:t>
      </w:r>
      <w:r>
        <w:rPr>
          <w:rFonts w:hint="eastAsia" w:ascii="仿宋_GB2312" w:hAnsi="仿宋_GB2312" w:eastAsia="仿宋_GB2312" w:cs="仿宋_GB2312"/>
          <w:color w:val="000000"/>
          <w:kern w:val="2"/>
          <w:sz w:val="32"/>
          <w:szCs w:val="32"/>
          <w:lang w:val="zh-CN" w:eastAsia="zh-CN" w:bidi="ar-SA"/>
        </w:rPr>
        <w:t>亿元，占年度计划</w:t>
      </w:r>
      <w:r>
        <w:rPr>
          <w:rFonts w:hint="eastAsia" w:ascii="仿宋_GB2312" w:hAnsi="仿宋_GB2312" w:eastAsia="仿宋_GB2312" w:cs="仿宋_GB2312"/>
          <w:kern w:val="0"/>
          <w:sz w:val="32"/>
          <w:szCs w:val="32"/>
          <w:lang w:val="zh-CN" w:eastAsia="zh-CN" w:bidi="ar"/>
        </w:rPr>
        <w:t>的</w:t>
      </w:r>
      <w:r>
        <w:rPr>
          <w:rFonts w:hint="eastAsia" w:ascii="仿宋_GB2312" w:hAnsi="仿宋_GB2312" w:eastAsia="仿宋_GB2312" w:cs="仿宋_GB2312"/>
          <w:kern w:val="0"/>
          <w:sz w:val="32"/>
          <w:szCs w:val="32"/>
          <w:lang w:val="en-US" w:eastAsia="zh-CN" w:bidi="ar"/>
        </w:rPr>
        <w:t>101</w:t>
      </w:r>
      <w:r>
        <w:rPr>
          <w:rFonts w:hint="eastAsia" w:ascii="仿宋_GB2312" w:hAnsi="仿宋_GB2312" w:eastAsia="仿宋_GB2312" w:cs="仿宋_GB2312"/>
          <w:kern w:val="0"/>
          <w:sz w:val="32"/>
          <w:szCs w:val="32"/>
          <w:lang w:val="zh-CN" w:eastAsia="zh-CN" w:bidi="ar"/>
        </w:rPr>
        <w:t>%。</w:t>
      </w:r>
    </w:p>
    <w:p>
      <w:pPr>
        <w:keepNext w:val="0"/>
        <w:keepLines w:val="0"/>
        <w:pageBreakBefore w:val="0"/>
        <w:numPr>
          <w:ilvl w:val="0"/>
          <w:numId w:val="0"/>
        </w:numPr>
        <w:kinsoku/>
        <w:wordWrap/>
        <w:overflowPunct/>
        <w:topLinePunct w:val="0"/>
        <w:autoSpaceDE/>
        <w:autoSpaceDN/>
        <w:bidi w:val="0"/>
        <w:spacing w:line="240" w:lineRule="auto"/>
        <w:ind w:firstLine="643"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楷体" w:cs="楷体"/>
          <w:b/>
          <w:bCs w:val="0"/>
          <w:color w:val="000000"/>
          <w:kern w:val="2"/>
          <w:sz w:val="32"/>
          <w:szCs w:val="32"/>
          <w:lang w:val="en-US" w:eastAsia="zh-CN" w:bidi="ar-SA"/>
        </w:rPr>
        <w:t>（三）</w:t>
      </w:r>
      <w:r>
        <w:rPr>
          <w:rFonts w:ascii="Times New Roman" w:hAnsi="Times New Roman" w:eastAsia="楷体_GB2312"/>
          <w:b/>
          <w:bCs/>
          <w:color w:val="000000"/>
          <w:sz w:val="32"/>
          <w:szCs w:val="32"/>
          <w:lang w:val="en"/>
        </w:rPr>
        <w:t>是着力促进产业发展</w:t>
      </w:r>
      <w:r>
        <w:rPr>
          <w:rFonts w:hint="eastAsia" w:ascii="Times New Roman" w:hAnsi="Times New Roman" w:eastAsia="楷体_GB2312"/>
          <w:b/>
          <w:bCs/>
          <w:color w:val="000000"/>
          <w:sz w:val="32"/>
          <w:szCs w:val="32"/>
          <w:lang w:val="en" w:eastAsia="zh-CN"/>
        </w:rPr>
        <w:t>。</w:t>
      </w:r>
      <w:r>
        <w:rPr>
          <w:rFonts w:hint="eastAsia" w:ascii="仿宋_GB2312" w:hAnsi="仿宋" w:eastAsia="仿宋_GB2312" w:cs="仿宋"/>
          <w:sz w:val="32"/>
          <w:szCs w:val="32"/>
          <w:lang w:eastAsia="zh-CN"/>
        </w:rPr>
        <w:t>大力实施产业链</w:t>
      </w:r>
      <w:r>
        <w:rPr>
          <w:rFonts w:hint="eastAsia" w:ascii="仿宋_GB2312" w:hAnsi="仿宋" w:eastAsia="仿宋_GB2312" w:cs="仿宋"/>
          <w:sz w:val="32"/>
          <w:szCs w:val="32"/>
        </w:rPr>
        <w:t>“链长制”</w:t>
      </w:r>
      <w:r>
        <w:rPr>
          <w:rFonts w:hint="eastAsia" w:ascii="仿宋_GB2312" w:hAnsi="仿宋" w:eastAsia="仿宋_GB2312" w:cs="仿宋"/>
          <w:sz w:val="32"/>
          <w:szCs w:val="32"/>
          <w:lang w:eastAsia="zh-CN"/>
        </w:rPr>
        <w:t>，认真做好</w:t>
      </w:r>
      <w:r>
        <w:rPr>
          <w:rFonts w:hint="eastAsia" w:ascii="仿宋_GB2312" w:hAnsi="仿宋" w:eastAsia="仿宋_GB2312" w:cs="仿宋"/>
          <w:sz w:val="32"/>
          <w:szCs w:val="32"/>
        </w:rPr>
        <w:t>“五好园区”创建，产业发展新格局加快形成。</w:t>
      </w:r>
      <w:r>
        <w:rPr>
          <w:rFonts w:hint="eastAsia" w:ascii="仿宋_GB2312" w:hAnsi="仿宋" w:eastAsia="仿宋_GB2312" w:cs="仿宋"/>
          <w:b/>
          <w:bCs/>
          <w:sz w:val="32"/>
          <w:szCs w:val="32"/>
          <w:lang w:eastAsia="zh-CN"/>
        </w:rPr>
        <w:t>一是稳步推进产业链“链长制”。</w:t>
      </w:r>
      <w:r>
        <w:rPr>
          <w:rFonts w:hint="eastAsia" w:ascii="仿宋_GB2312" w:hAnsi="仿宋_GB2312" w:eastAsia="仿宋_GB2312" w:cs="仿宋_GB2312"/>
          <w:b/>
          <w:sz w:val="32"/>
          <w:szCs w:val="32"/>
        </w:rPr>
        <w:t>生态文化旅游产业链方面</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val="0"/>
          <w:bCs/>
          <w:sz w:val="32"/>
          <w:szCs w:val="32"/>
          <w:lang w:eastAsia="zh-CN"/>
        </w:rPr>
        <w:t>有序推进</w:t>
      </w:r>
      <w:r>
        <w:rPr>
          <w:rFonts w:hint="eastAsia" w:ascii="仿宋_GB2312" w:hAnsi="仿宋_GB2312" w:eastAsia="仿宋_GB2312" w:cs="仿宋_GB2312"/>
          <w:b w:val="0"/>
          <w:bCs/>
          <w:sz w:val="32"/>
          <w:szCs w:val="32"/>
        </w:rPr>
        <w:t>大</w:t>
      </w:r>
      <w:r>
        <w:rPr>
          <w:rFonts w:hint="eastAsia" w:ascii="仿宋_GB2312" w:hAnsi="仿宋" w:eastAsia="仿宋_GB2312" w:cs="仿宋"/>
          <w:b w:val="0"/>
          <w:bCs/>
          <w:sz w:val="32"/>
          <w:szCs w:val="32"/>
        </w:rPr>
        <w:t>花瑶5A景区、向家村4A景区创建工作</w:t>
      </w:r>
      <w:r>
        <w:rPr>
          <w:rFonts w:hint="eastAsia" w:ascii="仿宋_GB2312" w:hAnsi="仿宋" w:eastAsia="仿宋_GB2312" w:cs="仿宋"/>
          <w:sz w:val="32"/>
          <w:szCs w:val="32"/>
        </w:rPr>
        <w:t>。湘窖洞藏酒庄成功创建国家3A级景区；虎形山瑶族乡被命名为“中国民间文化艺术之乡”；崇木凼村被评为第三批湖南省乡村旅游重点村。</w:t>
      </w:r>
      <w:r>
        <w:rPr>
          <w:rFonts w:hint="eastAsia" w:ascii="仿宋_GB2312" w:hAnsi="仿宋_GB2312" w:eastAsia="仿宋_GB2312" w:cs="仿宋_GB2312"/>
          <w:b/>
          <w:sz w:val="32"/>
          <w:szCs w:val="32"/>
        </w:rPr>
        <w:t>中药材产业链方面</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引进了总投资10亿元的广东大参林道地药材生态产业园项目；</w:t>
      </w:r>
      <w:r>
        <w:rPr>
          <w:rFonts w:ascii="仿宋_GB2312" w:hAnsi="仿宋_GB2312" w:eastAsia="仿宋_GB2312" w:cs="仿宋_GB2312"/>
          <w:sz w:val="32"/>
          <w:szCs w:val="32"/>
        </w:rPr>
        <w:t>鸿利药业</w:t>
      </w:r>
      <w:r>
        <w:rPr>
          <w:rFonts w:hint="eastAsia" w:ascii="仿宋_GB2312" w:hAnsi="仿宋_GB2312" w:eastAsia="仿宋_GB2312" w:cs="仿宋_GB2312"/>
          <w:sz w:val="32"/>
          <w:szCs w:val="32"/>
        </w:rPr>
        <w:t>实施完成</w:t>
      </w:r>
      <w:r>
        <w:rPr>
          <w:rFonts w:ascii="仿宋_GB2312" w:hAnsi="仿宋_GB2312" w:eastAsia="仿宋_GB2312" w:cs="仿宋_GB2312"/>
          <w:sz w:val="32"/>
          <w:szCs w:val="32"/>
        </w:rPr>
        <w:t>省</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物流标准化项目建设</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富硒农产品产业链方面</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Cs/>
          <w:sz w:val="32"/>
          <w:szCs w:val="32"/>
        </w:rPr>
        <w:t>做好“富硒+”文章，获评湖南省富硒产业重点县。</w:t>
      </w:r>
      <w:r>
        <w:rPr>
          <w:rFonts w:hint="eastAsia" w:ascii="仿宋_GB2312" w:hAnsi="仿宋_GB2312" w:eastAsia="仿宋_GB2312" w:cs="仿宋_GB2312"/>
          <w:sz w:val="32"/>
          <w:szCs w:val="32"/>
        </w:rPr>
        <w:t>军杰公司开发新产品16个，年产量12万吨，销售收入7.2亿元。</w:t>
      </w:r>
      <w:r>
        <w:rPr>
          <w:rFonts w:hint="eastAsia" w:ascii="仿宋_GB2312" w:hAnsi="仿宋_GB2312" w:eastAsia="仿宋_GB2312" w:cs="仿宋_GB2312"/>
          <w:b/>
          <w:sz w:val="32"/>
          <w:szCs w:val="32"/>
        </w:rPr>
        <w:t>医养康养产业链</w:t>
      </w:r>
      <w:r>
        <w:rPr>
          <w:rFonts w:hint="eastAsia" w:ascii="仿宋_GB2312" w:hAnsi="仿宋_GB2312" w:eastAsia="仿宋_GB2312" w:cs="仿宋_GB2312"/>
          <w:b/>
          <w:bCs/>
          <w:sz w:val="32"/>
          <w:szCs w:val="32"/>
        </w:rPr>
        <w:t>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推进公建民营养老服务改革试点，魏源医院新址建成投用，被评为全国“敬老文明号”。</w:t>
      </w:r>
      <w:r>
        <w:rPr>
          <w:rFonts w:hint="eastAsia" w:ascii="仿宋_GB2312" w:hAnsi="仿宋_GB2312" w:eastAsia="仿宋_GB2312" w:cs="仿宋_GB2312"/>
          <w:b/>
          <w:sz w:val="32"/>
          <w:szCs w:val="32"/>
        </w:rPr>
        <w:t>轻工智能制造产业链方面</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kern w:val="0"/>
          <w:sz w:val="32"/>
          <w:szCs w:val="32"/>
        </w:rPr>
        <w:t>引进全自动局部UV上光机等产业项目14个，总投资15.6亿元</w:t>
      </w:r>
      <w:r>
        <w:rPr>
          <w:rFonts w:hint="eastAsia" w:ascii="仿宋_GB2312" w:hAnsi="仿宋_GB2312" w:eastAsia="仿宋_GB2312" w:cs="仿宋_GB2312"/>
          <w:bCs/>
          <w:sz w:val="32"/>
          <w:szCs w:val="32"/>
        </w:rPr>
        <w:t>。</w:t>
      </w:r>
      <w:r>
        <w:rPr>
          <w:rFonts w:hint="eastAsia" w:ascii="仿宋_GB2312" w:hAnsi="仿宋_GB2312" w:eastAsia="仿宋_GB2312" w:cs="仿宋_GB2312"/>
          <w:b/>
          <w:sz w:val="32"/>
          <w:szCs w:val="32"/>
        </w:rPr>
        <w:t>新能源产业链方面</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维山风电、金石桥冷溪山风电、金石桥二期风电共70台风机并网发电，</w:t>
      </w:r>
      <w:r>
        <w:rPr>
          <w:rFonts w:hint="eastAsia" w:ascii="仿宋_GB2312" w:hAnsi="仿宋" w:eastAsia="仿宋_GB2312" w:cs="仿宋"/>
          <w:bCs/>
          <w:sz w:val="32"/>
          <w:szCs w:val="32"/>
        </w:rPr>
        <w:t>投资10亿元的</w:t>
      </w:r>
      <w:r>
        <w:rPr>
          <w:rStyle w:val="13"/>
          <w:rFonts w:hint="eastAsia" w:ascii="仿宋_GB2312" w:hAnsi="仿宋_GB2312" w:eastAsia="仿宋_GB2312" w:cs="仿宋_GB2312"/>
          <w:sz w:val="32"/>
          <w:szCs w:val="32"/>
        </w:rPr>
        <w:t>整县屋顶分布式光伏开发项目开工建设</w:t>
      </w:r>
      <w:r>
        <w:rPr>
          <w:rFonts w:hint="eastAsia" w:ascii="仿宋_GB2312" w:hAnsi="仿宋_GB2312" w:eastAsia="仿宋_GB2312" w:cs="仿宋_GB2312"/>
          <w:sz w:val="32"/>
          <w:szCs w:val="32"/>
        </w:rPr>
        <w:t>，</w:t>
      </w:r>
      <w:r>
        <w:rPr>
          <w:rStyle w:val="13"/>
          <w:rFonts w:hint="eastAsia" w:ascii="仿宋_GB2312" w:hAnsi="仿宋_GB2312" w:eastAsia="仿宋_GB2312" w:cs="仿宋_GB2312"/>
          <w:b w:val="0"/>
          <w:i w:val="0"/>
          <w:caps w:val="0"/>
          <w:spacing w:val="0"/>
          <w:w w:val="100"/>
          <w:kern w:val="2"/>
          <w:sz w:val="32"/>
          <w:szCs w:val="32"/>
          <w:lang w:val="en-US" w:eastAsia="zh-CN" w:bidi="ar-SA"/>
        </w:rPr>
        <w:t>获批国家级整县屋顶分布式光伏开发试点县，</w:t>
      </w:r>
      <w:r>
        <w:rPr>
          <w:rFonts w:hint="eastAsia" w:ascii="仿宋_GB2312" w:hAnsi="仿宋_GB2312" w:eastAsia="仿宋_GB2312" w:cs="仿宋_GB2312"/>
          <w:sz w:val="32"/>
          <w:szCs w:val="32"/>
        </w:rPr>
        <w:t>引进了投资72亿元的抽水蓄能项目</w:t>
      </w:r>
      <w:r>
        <w:rPr>
          <w:rStyle w:val="13"/>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京能新能源获评第一届新湖南贡献奖。</w:t>
      </w:r>
      <w:r>
        <w:rPr>
          <w:rFonts w:hint="eastAsia" w:ascii="仿宋_GB2312" w:hAnsi="仿宋_GB2312" w:eastAsia="仿宋_GB2312" w:cs="仿宋_GB2312"/>
          <w:b/>
          <w:bCs/>
          <w:sz w:val="32"/>
          <w:szCs w:val="32"/>
          <w:lang w:eastAsia="zh-CN"/>
        </w:rPr>
        <w:t>二是大力推进“五好园区创建”。</w:t>
      </w:r>
      <w:r>
        <w:rPr>
          <w:rStyle w:val="13"/>
          <w:rFonts w:hint="eastAsia" w:ascii="仿宋_GB2312" w:hAnsi="仿宋_GB2312" w:eastAsia="仿宋_GB2312" w:cs="仿宋_GB2312"/>
          <w:b w:val="0"/>
          <w:i w:val="0"/>
          <w:caps w:val="0"/>
          <w:spacing w:val="0"/>
          <w:w w:val="100"/>
          <w:kern w:val="2"/>
          <w:sz w:val="32"/>
          <w:szCs w:val="32"/>
          <w:lang w:val="en-US" w:eastAsia="zh-CN" w:bidi="ar-SA"/>
        </w:rPr>
        <w:t>预计全年完成规模工业总产值218亿元，规模工业总产值125亿元，实现规模工业增加值58亿元；</w:t>
      </w:r>
      <w:r>
        <w:rPr>
          <w:rFonts w:hint="eastAsia" w:ascii="仿宋_GB2312" w:hAnsi="仿宋_GB2312" w:eastAsia="仿宋_GB2312" w:cs="仿宋_GB2312"/>
          <w:color w:val="auto"/>
          <w:sz w:val="32"/>
          <w:szCs w:val="32"/>
        </w:rPr>
        <w:t>新增规模工业企业40家；新增高新技术企业12家，总数达37家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rPr>
        <w:t>完成中小企业“上云上平台”110家，完成率全市第一。</w:t>
      </w:r>
      <w:r>
        <w:rPr>
          <w:rStyle w:val="13"/>
          <w:rFonts w:hint="eastAsia" w:ascii="仿宋_GB2312" w:hAnsi="仿宋_GB2312" w:eastAsia="仿宋_GB2312" w:cs="仿宋_GB2312"/>
          <w:b w:val="0"/>
          <w:i w:val="0"/>
          <w:caps w:val="0"/>
          <w:spacing w:val="0"/>
          <w:w w:val="100"/>
          <w:kern w:val="2"/>
          <w:sz w:val="32"/>
          <w:szCs w:val="32"/>
          <w:lang w:val="en-US" w:eastAsia="zh-CN" w:bidi="ar-SA"/>
        </w:rPr>
        <w:t>“135”工程升级版建设圆满收官，2021年完成开工面积15.8万平方米，竣工面积15.8万平方米，投产面积9万平方米。发放奖补资金2136万元。</w:t>
      </w:r>
      <w:r>
        <w:rPr>
          <w:rFonts w:hint="eastAsia" w:ascii="仿宋_GB2312" w:hAnsi="仿宋_GB2312" w:eastAsia="仿宋_GB2312" w:cs="仿宋_GB2312"/>
          <w:color w:val="auto"/>
          <w:sz w:val="32"/>
          <w:szCs w:val="32"/>
        </w:rPr>
        <w:t>隆回高新区连续2年获评“全省产业高质量发展园区”，在全省高新区绩效评价中排名第19位。</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default" w:ascii="仿宋_GB2312" w:hAnsi="仿宋_GB2312" w:eastAsia="仿宋_GB2312" w:cs="仿宋_GB2312"/>
          <w:color w:val="auto"/>
          <w:spacing w:val="-4"/>
          <w:kern w:val="2"/>
          <w:sz w:val="32"/>
          <w:szCs w:val="32"/>
          <w:highlight w:val="yellow"/>
          <w:lang w:val="en-US" w:eastAsia="zh-CN" w:bidi="ar-SA"/>
        </w:rPr>
      </w:pPr>
      <w:r>
        <w:rPr>
          <w:rFonts w:hint="eastAsia" w:ascii="Times New Roman" w:hAnsi="Times New Roman" w:eastAsia="楷体" w:cs="楷体"/>
          <w:b/>
          <w:bCs w:val="0"/>
          <w:color w:val="000000"/>
          <w:kern w:val="2"/>
          <w:sz w:val="32"/>
          <w:szCs w:val="32"/>
          <w:lang w:val="en-US" w:eastAsia="zh-CN" w:bidi="ar-SA"/>
        </w:rPr>
        <w:t>（四）</w:t>
      </w:r>
      <w:r>
        <w:rPr>
          <w:rFonts w:hint="eastAsia" w:ascii="楷体" w:hAnsi="楷体" w:eastAsia="楷体" w:cs="楷体"/>
          <w:b/>
          <w:bCs/>
          <w:color w:val="000000"/>
          <w:kern w:val="0"/>
          <w:sz w:val="32"/>
          <w:szCs w:val="32"/>
          <w:highlight w:val="none"/>
          <w:lang w:val="en-US" w:eastAsia="zh-CN" w:bidi="ar-SA"/>
        </w:rPr>
        <w:t>着力改善城乡面貌。</w:t>
      </w:r>
      <w:r>
        <w:rPr>
          <w:rFonts w:hint="eastAsia" w:ascii="仿宋_GB2312" w:hAnsi="仿宋" w:eastAsia="仿宋_GB2312" w:cs="Times New Roman"/>
          <w:b/>
          <w:sz w:val="32"/>
          <w:szCs w:val="32"/>
          <w:lang w:val="en-US" w:eastAsia="zh-CN"/>
        </w:rPr>
        <w:t>一是</w:t>
      </w:r>
      <w:r>
        <w:rPr>
          <w:rFonts w:hint="eastAsia" w:ascii="仿宋_GB2312" w:hAnsi="仿宋" w:eastAsia="仿宋_GB2312" w:cs="Times New Roman"/>
          <w:b/>
          <w:sz w:val="32"/>
          <w:szCs w:val="32"/>
        </w:rPr>
        <w:t>县城扩容提质增速。</w:t>
      </w:r>
      <w:r>
        <w:rPr>
          <w:rFonts w:hint="eastAsia" w:ascii="仿宋_GB2312" w:hAnsi="仿宋" w:eastAsia="仿宋_GB2312" w:cs="Times New Roman"/>
          <w:sz w:val="32"/>
          <w:szCs w:val="32"/>
        </w:rPr>
        <w:t>白沙湾大桥、紫霞园大桥、白里至伏龙江路竣工通车，龙门路基本完工；朝阳市场防水排涝工程、九龙广场改造及老旧小区改造工程有望春节前完工；城东、城北、城南三个片区安置区基础设施加快推进，金门安置区和花门安置区主体工程完工。顺利通过省级卫生县城复查和省级森林城市评估验收。</w:t>
      </w:r>
      <w:r>
        <w:rPr>
          <w:rFonts w:hint="eastAsia" w:ascii="仿宋_GB2312" w:hAnsi="仿宋" w:eastAsia="仿宋_GB2312" w:cs="Times New Roman"/>
          <w:b/>
          <w:sz w:val="32"/>
          <w:szCs w:val="32"/>
        </w:rPr>
        <w:t>基础设施逐步完善</w:t>
      </w:r>
      <w:r>
        <w:rPr>
          <w:rFonts w:hint="eastAsia" w:ascii="仿宋_GB2312" w:hAnsi="仿宋" w:eastAsia="仿宋_GB2312" w:cs="Times New Roman"/>
          <w:sz w:val="32"/>
          <w:szCs w:val="32"/>
        </w:rPr>
        <w:t>。三阁司等6个建制镇污水处理厂通水试运行。新、扩建农村饮水工程58处，沙坪保护圈河段治理工程开工建设。</w:t>
      </w:r>
      <w:r>
        <w:rPr>
          <w:rFonts w:hint="eastAsia" w:ascii="仿宋_GB2312" w:hAnsi="仿宋_GB2312" w:eastAsia="仿宋_GB2312" w:cs="仿宋_GB2312"/>
          <w:color w:val="auto"/>
          <w:sz w:val="32"/>
          <w:szCs w:val="32"/>
        </w:rPr>
        <w:t>贯通县境南北的新新</w:t>
      </w:r>
      <w:r>
        <w:rPr>
          <w:rFonts w:hint="eastAsia" w:ascii="仿宋_GB2312" w:hAnsi="仿宋_GB2312" w:eastAsia="仿宋_GB2312" w:cs="仿宋_GB2312"/>
          <w:color w:val="000000"/>
          <w:spacing w:val="0"/>
          <w:kern w:val="2"/>
          <w:sz w:val="32"/>
          <w:szCs w:val="32"/>
          <w:lang w:val="en-US" w:eastAsia="zh-CN" w:bidi="ar-SA"/>
        </w:rPr>
        <w:t>高速进入征拆阶段，建成后将大幅改善隆回区位条件，融入全国统一大市</w:t>
      </w:r>
      <w:r>
        <w:rPr>
          <w:rFonts w:hint="eastAsia" w:ascii="仿宋_GB2312" w:hAnsi="仿宋_GB2312" w:eastAsia="仿宋_GB2312" w:cs="仿宋_GB2312"/>
          <w:color w:val="auto"/>
          <w:sz w:val="32"/>
          <w:szCs w:val="32"/>
        </w:rPr>
        <w:t>场</w:t>
      </w:r>
      <w:r>
        <w:rPr>
          <w:rFonts w:hint="eastAsia" w:ascii="仿宋_GB2312" w:hAnsi="仿宋" w:eastAsia="仿宋_GB2312" w:cs="Times New Roman"/>
          <w:sz w:val="32"/>
          <w:szCs w:val="32"/>
        </w:rPr>
        <w:t>；周滩公路、芒花坪至旺溪旅游公路基本完工，完成农村公路建设任务，获评“四好农村路”省级示范县。完成5G基站建设254个。完成三阁司35千伏变、西洋江110千伏变改扩建工程，高平110千伏输变电工程即将投用。</w:t>
      </w:r>
      <w:r>
        <w:rPr>
          <w:rFonts w:hint="eastAsia" w:ascii="仿宋_GB2312" w:hAnsi="仿宋" w:eastAsia="仿宋_GB2312" w:cs="Times New Roman"/>
          <w:b/>
          <w:sz w:val="32"/>
          <w:szCs w:val="32"/>
        </w:rPr>
        <w:t>人居环境明显改观。</w:t>
      </w:r>
      <w:r>
        <w:rPr>
          <w:rFonts w:hint="eastAsia" w:ascii="仿宋_GB2312" w:hAnsi="仿宋" w:eastAsia="仿宋_GB2312" w:cs="Times New Roman"/>
          <w:sz w:val="32"/>
          <w:szCs w:val="32"/>
        </w:rPr>
        <w:t>“蓝天碧水净土”保卫战取得积极成效，中央环保督察交办件全部销号。“三清三化”活动扎实推进，完成农村改厕10229座，拆除空心房1269座。新创建省级美丽乡村示范村4个，九牛坳村获评省级特色精品乡村。交通顽瘴痼疾整治工作经验在全市推介。</w:t>
      </w:r>
      <w:r>
        <w:rPr>
          <w:rFonts w:hint="eastAsia" w:ascii="仿宋_GB2312" w:hAnsi="仿宋" w:eastAsia="仿宋_GB2312" w:cs="仿宋"/>
          <w:sz w:val="32"/>
          <w:szCs w:val="32"/>
        </w:rPr>
        <w:t>我县被推荐为全省人居环境卫生提升先进县。</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val="0"/>
          <w:bCs w:val="0"/>
          <w:color w:val="auto"/>
          <w:spacing w:val="-4"/>
          <w:kern w:val="2"/>
          <w:sz w:val="32"/>
          <w:szCs w:val="32"/>
          <w:highlight w:val="none"/>
          <w:lang w:val="en-US" w:eastAsia="zh-CN" w:bidi="ar-SA"/>
        </w:rPr>
      </w:pPr>
      <w:r>
        <w:rPr>
          <w:rFonts w:hint="eastAsia" w:ascii="Times New Roman" w:hAnsi="Times New Roman" w:eastAsia="楷体" w:cs="楷体"/>
          <w:b/>
          <w:bCs w:val="0"/>
          <w:color w:val="000000"/>
          <w:kern w:val="2"/>
          <w:sz w:val="32"/>
          <w:szCs w:val="32"/>
          <w:lang w:val="en-US" w:eastAsia="zh-CN" w:bidi="ar-SA"/>
        </w:rPr>
        <w:t>（五）</w:t>
      </w:r>
      <w:r>
        <w:rPr>
          <w:rFonts w:ascii="Times New Roman" w:hAnsi="Times New Roman" w:eastAsia="楷体_GB2312"/>
          <w:b/>
          <w:bCs/>
          <w:color w:val="000000"/>
          <w:sz w:val="32"/>
          <w:szCs w:val="32"/>
          <w:lang w:val="en"/>
        </w:rPr>
        <w:t>着力深化改革开放</w:t>
      </w:r>
      <w:r>
        <w:rPr>
          <w:rFonts w:hint="eastAsia" w:ascii="Times New Roman" w:hAnsi="Times New Roman" w:eastAsia="楷体" w:cs="楷体"/>
          <w:b/>
          <w:bCs w:val="0"/>
          <w:color w:val="000000"/>
          <w:kern w:val="2"/>
          <w:sz w:val="32"/>
          <w:szCs w:val="32"/>
          <w:lang w:val="en-US" w:eastAsia="zh-CN" w:bidi="ar-SA"/>
        </w:rPr>
        <w:t>。</w:t>
      </w:r>
      <w:r>
        <w:rPr>
          <w:rFonts w:hint="eastAsia" w:ascii="仿宋_GB2312" w:hAnsi="仿宋_GB2312" w:eastAsia="仿宋_GB2312" w:cs="仿宋_GB2312"/>
          <w:b/>
          <w:bCs/>
          <w:color w:val="auto"/>
          <w:spacing w:val="-4"/>
          <w:kern w:val="2"/>
          <w:sz w:val="32"/>
          <w:szCs w:val="32"/>
          <w:highlight w:val="none"/>
          <w:lang w:val="en-US" w:eastAsia="zh-CN" w:bidi="ar-SA"/>
        </w:rPr>
        <w:t>一是营商环境不断优化。</w:t>
      </w:r>
      <w:r>
        <w:rPr>
          <w:rFonts w:hint="eastAsia" w:ascii="仿宋_GB2312" w:hAnsi="仿宋_GB2312" w:eastAsia="仿宋_GB2312" w:cs="仿宋_GB2312"/>
          <w:sz w:val="32"/>
          <w:szCs w:val="32"/>
        </w:rPr>
        <w:t>完成了首批100件“一件事一次办”全部落地，实现了事项办理“一门受理、一次告知、一表申请、一窗收费、一网办结”工作模式的构建，办结量达到27万余件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第二批100件“一件事一次办”完成6万余件的办结。</w:t>
      </w:r>
      <w:r>
        <w:rPr>
          <w:rFonts w:hint="eastAsia" w:ascii="仿宋_GB2312" w:hAnsi="仿宋_GB2312" w:eastAsia="仿宋_GB2312" w:cs="仿宋_GB2312"/>
          <w:b/>
          <w:bCs/>
          <w:color w:val="auto"/>
          <w:spacing w:val="-4"/>
          <w:kern w:val="2"/>
          <w:sz w:val="32"/>
          <w:szCs w:val="32"/>
          <w:highlight w:val="none"/>
          <w:lang w:val="en-US" w:eastAsia="zh-CN" w:bidi="ar-SA"/>
        </w:rPr>
        <w:t>二是</w:t>
      </w:r>
      <w:r>
        <w:rPr>
          <w:rFonts w:ascii="Times New Roman" w:hAnsi="Times New Roman" w:eastAsia="仿宋_GB2312"/>
          <w:b/>
          <w:bCs/>
          <w:color w:val="000000"/>
          <w:sz w:val="32"/>
          <w:szCs w:val="32"/>
          <w:lang w:eastAsia="zh-Hans" w:bidi="ar"/>
        </w:rPr>
        <w:t>信用体系</w:t>
      </w:r>
      <w:r>
        <w:rPr>
          <w:rFonts w:hint="eastAsia" w:ascii="Times New Roman" w:hAnsi="Times New Roman" w:eastAsia="仿宋_GB2312"/>
          <w:b/>
          <w:bCs/>
          <w:color w:val="000000"/>
          <w:sz w:val="32"/>
          <w:szCs w:val="32"/>
          <w:lang w:eastAsia="zh-CN" w:bidi="ar"/>
        </w:rPr>
        <w:t>不断健全</w:t>
      </w:r>
      <w:r>
        <w:rPr>
          <w:rFonts w:hint="eastAsia" w:ascii="仿宋_GB2312" w:hAnsi="仿宋_GB2312" w:eastAsia="仿宋_GB2312" w:cs="仿宋_GB2312"/>
          <w:b/>
          <w:bCs/>
          <w:color w:val="auto"/>
          <w:spacing w:val="-4"/>
          <w:kern w:val="2"/>
          <w:sz w:val="32"/>
          <w:szCs w:val="32"/>
          <w:highlight w:val="none"/>
          <w:lang w:val="en-US" w:eastAsia="zh-CN" w:bidi="ar-SA"/>
        </w:rPr>
        <w:t>。</w:t>
      </w:r>
      <w:r>
        <w:rPr>
          <w:rFonts w:hint="eastAsia" w:ascii="仿宋_GB2312" w:hAnsi="仿宋_GB2312" w:eastAsia="仿宋_GB2312" w:cs="仿宋_GB2312"/>
          <w:b w:val="0"/>
          <w:bCs w:val="0"/>
          <w:color w:val="auto"/>
          <w:spacing w:val="-4"/>
          <w:kern w:val="2"/>
          <w:sz w:val="32"/>
          <w:szCs w:val="32"/>
          <w:highlight w:val="none"/>
          <w:lang w:val="en-US" w:eastAsia="zh-CN" w:bidi="ar-SA"/>
        </w:rPr>
        <w:t>对工程建设领域中介机构、重点项目建设环境状况进行调查摸底，建立建筑行业信用企业名单库，接入市信用体系平台，加强数据共享，努力营造“让诚信者畅通无阻，让失信者寸步难行”的良好环境。</w:t>
      </w:r>
      <w:r>
        <w:rPr>
          <w:rFonts w:hint="eastAsia" w:ascii="仿宋_GB2312" w:hAnsi="仿宋_GB2312" w:eastAsia="仿宋_GB2312" w:cs="仿宋_GB2312"/>
          <w:b/>
          <w:bCs/>
          <w:color w:val="auto"/>
          <w:spacing w:val="-4"/>
          <w:kern w:val="2"/>
          <w:sz w:val="32"/>
          <w:szCs w:val="32"/>
          <w:highlight w:val="none"/>
          <w:lang w:val="en-US" w:eastAsia="zh-CN" w:bidi="ar-SA"/>
        </w:rPr>
        <w:t>三是开放合作不断推进。</w:t>
      </w:r>
      <w:r>
        <w:rPr>
          <w:rFonts w:hint="eastAsia" w:ascii="仿宋_GB2312" w:hAnsi="仿宋_GB2312" w:eastAsia="仿宋_GB2312" w:cs="仿宋_GB2312"/>
          <w:sz w:val="32"/>
          <w:szCs w:val="32"/>
        </w:rPr>
        <w:t>新增外贸企业8家，全县外贸进出口总额15亿元。积极做大电商平台，实现电商交易额27亿元。</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Times New Roman" w:hAnsi="Times New Roman" w:eastAsia="楷体" w:cs="楷体"/>
          <w:b/>
          <w:bCs w:val="0"/>
          <w:color w:val="000000"/>
          <w:kern w:val="2"/>
          <w:sz w:val="32"/>
          <w:szCs w:val="32"/>
          <w:lang w:val="en-US" w:eastAsia="zh-CN" w:bidi="ar-SA"/>
        </w:rPr>
        <w:t>（六）</w:t>
      </w:r>
      <w:r>
        <w:rPr>
          <w:rFonts w:ascii="Times New Roman" w:hAnsi="Times New Roman" w:eastAsia="楷体_GB2312"/>
          <w:b/>
          <w:bCs/>
          <w:color w:val="000000"/>
          <w:sz w:val="32"/>
          <w:szCs w:val="32"/>
          <w:lang w:val="en"/>
        </w:rPr>
        <w:t>着力</w:t>
      </w:r>
      <w:r>
        <w:rPr>
          <w:rFonts w:hint="eastAsia" w:ascii="Times New Roman" w:hAnsi="Times New Roman" w:eastAsia="楷体_GB2312"/>
          <w:b/>
          <w:bCs/>
          <w:color w:val="000000"/>
          <w:sz w:val="32"/>
          <w:szCs w:val="32"/>
          <w:lang w:val="en-US" w:eastAsia="zh-CN"/>
        </w:rPr>
        <w:t>强化</w:t>
      </w:r>
      <w:r>
        <w:rPr>
          <w:rFonts w:ascii="Times New Roman" w:hAnsi="Times New Roman" w:eastAsia="楷体_GB2312"/>
          <w:b/>
          <w:bCs/>
          <w:color w:val="000000"/>
          <w:sz w:val="32"/>
          <w:szCs w:val="32"/>
          <w:lang w:val="en"/>
        </w:rPr>
        <w:t>民生</w:t>
      </w:r>
      <w:r>
        <w:rPr>
          <w:rFonts w:hint="eastAsia" w:ascii="Times New Roman" w:hAnsi="Times New Roman" w:eastAsia="楷体_GB2312"/>
          <w:b/>
          <w:bCs/>
          <w:color w:val="000000"/>
          <w:sz w:val="32"/>
          <w:szCs w:val="32"/>
          <w:lang w:val="en-US" w:eastAsia="zh-CN"/>
        </w:rPr>
        <w:t>保障</w:t>
      </w:r>
      <w:r>
        <w:rPr>
          <w:rFonts w:hint="eastAsia" w:ascii="Times New Roman" w:hAnsi="Times New Roman" w:eastAsia="楷体" w:cs="楷体"/>
          <w:b/>
          <w:bCs w:val="0"/>
          <w:color w:val="000000"/>
          <w:kern w:val="2"/>
          <w:sz w:val="32"/>
          <w:szCs w:val="32"/>
          <w:lang w:val="en-US" w:eastAsia="zh-CN" w:bidi="ar-SA"/>
        </w:rPr>
        <w:t>。</w:t>
      </w:r>
      <w:r>
        <w:rPr>
          <w:rFonts w:hint="eastAsia" w:ascii="仿宋_GB2312" w:hAnsi="仿宋" w:eastAsia="仿宋_GB2312" w:cs="仿宋_GB2312"/>
          <w:b/>
          <w:sz w:val="32"/>
          <w:szCs w:val="32"/>
          <w:lang w:val="en-US" w:eastAsia="zh-CN"/>
        </w:rPr>
        <w:t>一是强化能源支撑。</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新能源建设加速推进，建成风电场7个，总装机规模35万kW，总年发电量达6亿度。</w:t>
      </w:r>
      <w:r>
        <w:rPr>
          <w:rFonts w:hint="eastAsia" w:ascii="仿宋_GB2312" w:hAnsi="仿宋" w:eastAsia="仿宋_GB2312" w:cs="仿宋_GB2312"/>
          <w:b/>
          <w:sz w:val="32"/>
          <w:szCs w:val="32"/>
          <w:lang w:val="en-US" w:eastAsia="zh-CN"/>
        </w:rPr>
        <w:t>二是抓牢粮食安全。</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按照“先检后收、分仓储存、优粮优价”和粮食溯源登记制度，全面完成轮换粮收储任务。认真做好临储粮收购</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；积极开展粮食购销领域腐败问题专项治理；大力推进3万吨粮食储备库建设</w:t>
      </w:r>
      <w:r>
        <w:rPr>
          <w:rFonts w:hint="eastAsia" w:ascii="仿宋_GB2312" w:hAnsi="仿宋_GB2312" w:eastAsia="仿宋_GB2312" w:cs="仿宋_GB2312"/>
          <w:color w:val="auto"/>
          <w:spacing w:val="-4"/>
          <w:kern w:val="2"/>
          <w:sz w:val="32"/>
          <w:szCs w:val="32"/>
          <w:highlight w:val="none"/>
          <w:lang w:val="en-US" w:eastAsia="zh-CN" w:bidi="ar-SA"/>
        </w:rPr>
        <w:t>。</w:t>
      </w:r>
      <w:r>
        <w:rPr>
          <w:rFonts w:hint="eastAsia" w:ascii="仿宋_GB2312" w:hAnsi="仿宋_GB2312" w:eastAsia="仿宋_GB2312" w:cs="仿宋_GB2312"/>
          <w:b/>
          <w:bCs/>
          <w:color w:val="000000"/>
          <w:sz w:val="32"/>
          <w:szCs w:val="32"/>
          <w:lang w:val="en-US" w:eastAsia="zh-CN"/>
        </w:rPr>
        <w:t>三是切实做好保供稳价。</w:t>
      </w:r>
      <w:r>
        <w:rPr>
          <w:rFonts w:hint="eastAsia" w:ascii="仿宋_GB2312" w:hAnsi="仿宋_GB2312" w:eastAsia="仿宋_GB2312" w:cs="仿宋_GB2312"/>
          <w:color w:val="000000"/>
          <w:sz w:val="32"/>
          <w:szCs w:val="32"/>
          <w:lang w:val="en-US" w:eastAsia="zh-CN"/>
        </w:rPr>
        <w:t>执行稻谷最低收购价政策和缓解生猪市场价格周期性波动调控预案。切实保障人民群众的“菜篮子”和“米袋子”，</w:t>
      </w:r>
      <w:r>
        <w:rPr>
          <w:rFonts w:hint="eastAsia" w:ascii="仿宋_GB2312" w:hAnsi="仿宋_GB2312" w:eastAsia="仿宋_GB2312" w:cs="仿宋_GB2312"/>
          <w:color w:val="000000"/>
          <w:sz w:val="32"/>
          <w:szCs w:val="32"/>
        </w:rPr>
        <w:t>加强重要民生商品价格监测，</w:t>
      </w:r>
      <w:r>
        <w:rPr>
          <w:rFonts w:hint="eastAsia" w:ascii="仿宋_GB2312" w:hAnsi="仿宋_GB2312" w:eastAsia="仿宋_GB2312" w:cs="仿宋_GB2312"/>
          <w:color w:val="000000"/>
          <w:sz w:val="32"/>
          <w:szCs w:val="32"/>
          <w:lang w:val="en-US" w:eastAsia="zh-CN"/>
        </w:rPr>
        <w:t>按程序完成县自来水水价调整；全力保障</w:t>
      </w:r>
      <w:r>
        <w:rPr>
          <w:rFonts w:hint="eastAsia" w:ascii="仿宋_GB2312" w:hAnsi="仿宋_GB2312" w:eastAsia="仿宋_GB2312" w:cs="仿宋_GB2312"/>
          <w:color w:val="000000"/>
          <w:sz w:val="32"/>
          <w:szCs w:val="32"/>
        </w:rPr>
        <w:t>煤、电、油、气供应，确保重要</w:t>
      </w:r>
      <w:r>
        <w:rPr>
          <w:rFonts w:hint="eastAsia" w:ascii="仿宋_GB2312" w:hAnsi="仿宋_GB2312" w:eastAsia="仿宋_GB2312" w:cs="仿宋_GB2312"/>
          <w:color w:val="000000"/>
          <w:sz w:val="32"/>
          <w:szCs w:val="32"/>
          <w:lang w:val="en-US" w:eastAsia="zh-CN"/>
        </w:rPr>
        <w:t>民生</w:t>
      </w:r>
      <w:r>
        <w:rPr>
          <w:rFonts w:hint="eastAsia" w:ascii="仿宋_GB2312" w:hAnsi="仿宋_GB2312" w:eastAsia="仿宋_GB2312" w:cs="仿宋_GB2312"/>
          <w:color w:val="000000"/>
          <w:sz w:val="32"/>
          <w:szCs w:val="32"/>
        </w:rPr>
        <w:t>物资价格</w:t>
      </w:r>
      <w:r>
        <w:rPr>
          <w:rFonts w:hint="eastAsia" w:ascii="仿宋_GB2312" w:hAnsi="仿宋_GB2312" w:eastAsia="仿宋_GB2312" w:cs="仿宋_GB2312"/>
          <w:color w:val="000000"/>
          <w:sz w:val="32"/>
          <w:szCs w:val="32"/>
          <w:lang w:val="en-US" w:eastAsia="zh-CN"/>
        </w:rPr>
        <w:t>总体</w:t>
      </w:r>
      <w:r>
        <w:rPr>
          <w:rFonts w:hint="eastAsia" w:ascii="仿宋_GB2312" w:hAnsi="仿宋_GB2312" w:eastAsia="仿宋_GB2312" w:cs="仿宋_GB2312"/>
          <w:color w:val="000000"/>
          <w:sz w:val="32"/>
          <w:szCs w:val="32"/>
        </w:rPr>
        <w:t>稳定。</w:t>
      </w:r>
      <w:r>
        <w:rPr>
          <w:rFonts w:hint="eastAsia" w:ascii="仿宋_GB2312" w:hAnsi="仿宋_GB2312" w:eastAsia="仿宋_GB2312" w:cs="仿宋_GB2312"/>
          <w:b/>
          <w:bCs/>
          <w:color w:val="000000"/>
          <w:sz w:val="32"/>
          <w:szCs w:val="32"/>
          <w:lang w:val="en-US" w:eastAsia="zh-CN"/>
        </w:rPr>
        <w:t>四是着力巩固拓展脱贫攻坚成果。</w:t>
      </w:r>
      <w:r>
        <w:rPr>
          <w:rFonts w:hint="eastAsia" w:ascii="仿宋_GB2312" w:hAnsi="仿宋_GB2312" w:eastAsia="仿宋_GB2312" w:cs="仿宋_GB2312"/>
          <w:color w:val="000000"/>
          <w:sz w:val="32"/>
          <w:szCs w:val="32"/>
          <w:lang w:val="en-US" w:eastAsia="zh-CN"/>
        </w:rPr>
        <w:t>全面做好易地扶贫搬迁同乡村振兴有效衔接。持续抓好易地扶贫搬迁后续支持、以工代赈、消费帮扶等工作，城东幼儿园如期开园。</w:t>
      </w:r>
      <w:r>
        <w:rPr>
          <w:rFonts w:hint="eastAsia" w:ascii="仿宋_GB2312" w:hAnsi="仿宋_GB2312" w:eastAsia="仿宋_GB2312" w:cs="仿宋_GB2312"/>
          <w:b/>
          <w:bCs/>
          <w:color w:val="000000"/>
          <w:sz w:val="32"/>
          <w:szCs w:val="32"/>
          <w:lang w:val="en-US" w:eastAsia="zh-CN"/>
        </w:rPr>
        <w:t>五是社会事业全面进步。</w:t>
      </w:r>
      <w:r>
        <w:rPr>
          <w:rFonts w:hint="eastAsia" w:ascii="仿宋_GB2312" w:hAnsi="仿宋_GB2312" w:eastAsia="仿宋_GB2312" w:cs="仿宋_GB2312"/>
          <w:sz w:val="32"/>
          <w:szCs w:val="32"/>
        </w:rPr>
        <w:t>教育、卫生、文化事业协调发展，县疾控中心实现整体搬迁，2所芙蓉学校实现秋季开学，</w:t>
      </w:r>
      <w:r>
        <w:rPr>
          <w:rFonts w:ascii="仿宋_GB2312" w:hAnsi="仿宋_GB2312" w:eastAsia="仿宋_GB2312" w:cs="仿宋_GB2312"/>
          <w:sz w:val="32"/>
          <w:szCs w:val="32"/>
        </w:rPr>
        <w:t>县城沿江健身步道正式开通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Times New Roman" w:hAnsi="Times New Roman" w:eastAsia="楷体" w:cs="楷体"/>
          <w:b/>
          <w:bCs w:val="0"/>
          <w:color w:val="000000"/>
          <w:kern w:val="2"/>
          <w:sz w:val="32"/>
          <w:szCs w:val="32"/>
          <w:lang w:val="en-US" w:eastAsia="zh-CN" w:bidi="ar-SA"/>
        </w:rPr>
        <w:t>（七）</w:t>
      </w:r>
      <w:r>
        <w:rPr>
          <w:rFonts w:ascii="Times New Roman" w:hAnsi="Times New Roman" w:eastAsia="楷体_GB2312"/>
          <w:b/>
          <w:bCs/>
          <w:color w:val="000000"/>
          <w:sz w:val="32"/>
          <w:szCs w:val="32"/>
          <w:lang w:val="en"/>
        </w:rPr>
        <w:t>着力</w:t>
      </w:r>
      <w:r>
        <w:rPr>
          <w:rFonts w:hint="eastAsia" w:ascii="Times New Roman" w:hAnsi="Times New Roman" w:eastAsia="楷体_GB2312"/>
          <w:b/>
          <w:bCs/>
          <w:color w:val="000000"/>
          <w:sz w:val="32"/>
          <w:szCs w:val="32"/>
          <w:lang w:val="en" w:eastAsia="zh-CN"/>
        </w:rPr>
        <w:t>加强</w:t>
      </w:r>
      <w:r>
        <w:rPr>
          <w:rFonts w:ascii="Times New Roman" w:hAnsi="Times New Roman" w:eastAsia="楷体_GB2312"/>
          <w:b/>
          <w:bCs/>
          <w:color w:val="000000"/>
          <w:sz w:val="32"/>
          <w:szCs w:val="32"/>
          <w:lang w:val="en"/>
        </w:rPr>
        <w:t>自身建设</w:t>
      </w:r>
      <w:r>
        <w:rPr>
          <w:rFonts w:hint="eastAsia" w:ascii="Times New Roman" w:hAnsi="Times New Roman" w:eastAsia="楷体" w:cs="楷体"/>
          <w:b/>
          <w:bCs w:val="0"/>
          <w:color w:val="000000"/>
          <w:kern w:val="2"/>
          <w:sz w:val="32"/>
          <w:szCs w:val="32"/>
          <w:lang w:val="en-US" w:eastAsia="zh-CN" w:bidi="ar-SA"/>
        </w:rPr>
        <w:t>。</w:t>
      </w:r>
      <w:r>
        <w:rPr>
          <w:rFonts w:hint="eastAsia" w:ascii="仿宋_GB2312" w:hAnsi="仿宋_GB2312" w:eastAsia="仿宋_GB2312" w:cs="仿宋_GB2312"/>
          <w:b/>
          <w:bCs/>
          <w:color w:val="000000"/>
          <w:sz w:val="32"/>
          <w:szCs w:val="32"/>
          <w:lang w:val="en-US" w:eastAsia="zh-CN"/>
        </w:rPr>
        <w:t>一是扎实开展党史学习教育。二是抓好干部队伍建设。三是着力打造廉政机关。</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（三）部门整体支出情况</w:t>
      </w:r>
    </w:p>
    <w:p>
      <w:pPr>
        <w:ind w:firstLine="640" w:firstLineChars="200"/>
        <w:rPr>
          <w:rFonts w:hint="default" w:ascii="仿宋_GB2312" w:hAnsi="宋体" w:eastAsia="仿宋_GB2312" w:cs="Arial"/>
          <w:color w:val="000000"/>
          <w:sz w:val="32"/>
          <w:szCs w:val="32"/>
          <w:lang w:val="en-US"/>
        </w:rPr>
      </w:pPr>
      <w:r>
        <w:rPr>
          <w:rFonts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年度总收入</w:t>
      </w:r>
      <w:r>
        <w:rPr>
          <w:rFonts w:hint="eastAsia" w:ascii="楷体" w:hAnsi="楷体" w:eastAsia="楷体" w:cs="楷体"/>
          <w:sz w:val="32"/>
          <w:szCs w:val="32"/>
          <w:lang w:val="en-US" w:eastAsia="zh-CN"/>
        </w:rPr>
        <w:t>587.01</w:t>
      </w:r>
      <w:r>
        <w:rPr>
          <w:rFonts w:hint="eastAsia" w:ascii="仿宋_GB2312" w:hAnsi="仿宋" w:eastAsia="仿宋_GB2312" w:cs="仿宋"/>
          <w:sz w:val="32"/>
          <w:szCs w:val="32"/>
        </w:rPr>
        <w:t>万元，比上年减少</w:t>
      </w:r>
      <w:r>
        <w:rPr>
          <w:rFonts w:hint="eastAsia" w:ascii="仿宋_GB2312" w:hAnsi="仿宋" w:eastAsia="仿宋_GB2312" w:cs="仿宋"/>
          <w:sz w:val="32"/>
          <w:szCs w:val="32"/>
          <w:lang w:val="en-US" w:eastAsia="zh-CN"/>
        </w:rPr>
        <w:t>72.69</w:t>
      </w:r>
      <w:r>
        <w:rPr>
          <w:rFonts w:ascii="仿宋_GB2312" w:hAnsi="仿宋" w:eastAsia="仿宋_GB2312" w:cs="仿宋"/>
          <w:sz w:val="32"/>
          <w:szCs w:val="32"/>
        </w:rPr>
        <w:t>%</w:t>
      </w:r>
      <w:r>
        <w:rPr>
          <w:rFonts w:hint="eastAsia" w:ascii="仿宋_GB2312" w:hAnsi="仿宋" w:eastAsia="仿宋_GB2312" w:cs="仿宋"/>
          <w:sz w:val="32"/>
          <w:szCs w:val="32"/>
          <w:lang w:eastAsia="zh-CN"/>
        </w:rPr>
        <w:t>，其中一般公共预算财政拨款</w:t>
      </w:r>
      <w:r>
        <w:rPr>
          <w:rFonts w:hint="eastAsia" w:ascii="仿宋_GB2312" w:hAnsi="仿宋" w:eastAsia="仿宋_GB2312" w:cs="仿宋"/>
          <w:sz w:val="32"/>
          <w:szCs w:val="32"/>
          <w:lang w:val="en-US" w:eastAsia="zh-CN"/>
        </w:rPr>
        <w:t>513.13万元，比上年减少60.20%</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2021年度总支出</w:t>
      </w:r>
      <w:r>
        <w:rPr>
          <w:rFonts w:hint="eastAsia" w:ascii="仿宋_GB2312" w:hAnsi="仿宋_GB2312" w:eastAsia="仿宋_GB2312" w:cs="仿宋_GB2312"/>
          <w:sz w:val="32"/>
          <w:szCs w:val="32"/>
          <w:lang w:val="en-US" w:eastAsia="zh-CN"/>
        </w:rPr>
        <w:t>13186.19</w:t>
      </w:r>
      <w:r>
        <w:rPr>
          <w:rFonts w:hint="eastAsia" w:ascii="仿宋_GB2312" w:hAnsi="仿宋" w:eastAsia="仿宋_GB2312" w:cs="仿宋"/>
          <w:sz w:val="32"/>
          <w:szCs w:val="32"/>
        </w:rPr>
        <w:t>，比上年</w:t>
      </w:r>
      <w:r>
        <w:rPr>
          <w:rFonts w:hint="eastAsia" w:ascii="仿宋_GB2312" w:hAnsi="仿宋" w:eastAsia="仿宋_GB2312" w:cs="仿宋"/>
          <w:sz w:val="32"/>
          <w:szCs w:val="32"/>
          <w:lang w:eastAsia="zh-CN"/>
        </w:rPr>
        <w:t>减少</w:t>
      </w:r>
      <w:r>
        <w:rPr>
          <w:rFonts w:hint="eastAsia" w:ascii="仿宋_GB2312" w:hAnsi="仿宋" w:eastAsia="仿宋_GB2312" w:cs="仿宋"/>
          <w:sz w:val="32"/>
          <w:szCs w:val="32"/>
          <w:lang w:val="en-US" w:eastAsia="zh-CN"/>
        </w:rPr>
        <w:t>55.62</w:t>
      </w:r>
      <w:r>
        <w:rPr>
          <w:rFonts w:ascii="仿宋_GB2312" w:hAnsi="仿宋" w:eastAsia="仿宋_GB2312" w:cs="仿宋"/>
          <w:sz w:val="32"/>
          <w:szCs w:val="32"/>
        </w:rPr>
        <w:t>%</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其中</w:t>
      </w:r>
      <w:r>
        <w:rPr>
          <w:rFonts w:hint="eastAsia" w:ascii="仿宋_GB2312" w:hAnsi="仿宋" w:eastAsia="仿宋_GB2312" w:cs="仿宋"/>
          <w:sz w:val="32"/>
          <w:szCs w:val="32"/>
        </w:rPr>
        <w:t>一般公共预算财政拨款支出</w:t>
      </w:r>
      <w:r>
        <w:rPr>
          <w:rFonts w:hint="eastAsia" w:ascii="仿宋_GB2312" w:hAnsi="仿宋" w:eastAsia="仿宋_GB2312" w:cs="仿宋"/>
          <w:sz w:val="32"/>
          <w:szCs w:val="32"/>
          <w:lang w:val="en-US" w:eastAsia="zh-CN"/>
        </w:rPr>
        <w:t>1101.93万元，较上年减少95.53%.</w:t>
      </w:r>
    </w:p>
    <w:p>
      <w:pPr>
        <w:ind w:firstLine="800" w:firstLineChars="250"/>
        <w:rPr>
          <w:rFonts w:ascii="黑体" w:hAnsi="黑体" w:eastAsia="黑体" w:cs="黑体"/>
          <w:sz w:val="32"/>
          <w:szCs w:val="32"/>
        </w:rPr>
      </w:pPr>
      <w:r>
        <w:rPr>
          <w:rFonts w:hint="eastAsia" w:ascii="黑体" w:hAnsi="黑体" w:eastAsia="黑体" w:cs="黑体"/>
          <w:sz w:val="32"/>
          <w:szCs w:val="32"/>
        </w:rPr>
        <w:t>部门整体支出管理及使用情况</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（一）基本支出情况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总</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1154.83万元，其中一般财政公共预算财政拨款基本支出1101.93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（二）“三公”经费情况</w:t>
      </w:r>
    </w:p>
    <w:p>
      <w:pPr>
        <w:spacing w:line="600" w:lineRule="exact"/>
        <w:rPr>
          <w:rFonts w:ascii="仿宋_GB2312" w:hAnsi="仿宋" w:eastAsia="仿宋_GB2312" w:cs="仿宋"/>
          <w:sz w:val="32"/>
          <w:szCs w:val="32"/>
        </w:rPr>
      </w:pPr>
      <w:r>
        <w:rPr>
          <w:rFonts w:ascii="仿宋" w:hAnsi="仿宋" w:eastAsia="仿宋" w:cs="仿宋"/>
          <w:sz w:val="32"/>
          <w:szCs w:val="32"/>
        </w:rPr>
        <w:t xml:space="preserve">     1</w:t>
      </w:r>
      <w:r>
        <w:rPr>
          <w:rFonts w:hint="eastAsia" w:ascii="仿宋_GB2312" w:hAnsi="仿宋" w:eastAsia="仿宋_GB2312" w:cs="仿宋"/>
          <w:sz w:val="32"/>
          <w:szCs w:val="32"/>
        </w:rPr>
        <w:t>．因公出国（境）费用；没有。</w:t>
      </w:r>
    </w:p>
    <w:p>
      <w:pPr>
        <w:rPr>
          <w:rFonts w:ascii="仿宋_GB2312" w:hAnsi="宋体" w:eastAsia="仿宋_GB2312" w:cs="Arial"/>
          <w:color w:val="000000"/>
          <w:sz w:val="32"/>
          <w:szCs w:val="32"/>
        </w:rPr>
      </w:pPr>
      <w:r>
        <w:rPr>
          <w:rFonts w:ascii="仿宋_GB2312" w:hAnsi="仿宋" w:eastAsia="仿宋_GB2312" w:cs="仿宋"/>
          <w:sz w:val="32"/>
          <w:szCs w:val="32"/>
        </w:rPr>
        <w:t xml:space="preserve">     2</w:t>
      </w:r>
      <w:r>
        <w:rPr>
          <w:rFonts w:hint="eastAsia" w:ascii="仿宋_GB2312" w:hAnsi="仿宋" w:eastAsia="仿宋_GB2312" w:cs="仿宋"/>
          <w:sz w:val="32"/>
          <w:szCs w:val="32"/>
        </w:rPr>
        <w:t>．公务接待费；</w:t>
      </w:r>
      <w:r>
        <w:rPr>
          <w:rFonts w:hint="eastAsia" w:ascii="仿宋_GB2312" w:hAnsi="仿宋" w:eastAsia="仿宋_GB2312" w:cs="仿宋"/>
          <w:sz w:val="32"/>
          <w:szCs w:val="32"/>
          <w:lang w:val="en-US" w:eastAsia="zh-CN"/>
        </w:rPr>
        <w:t>2021</w:t>
      </w:r>
      <w:r>
        <w:rPr>
          <w:rFonts w:hint="eastAsia" w:ascii="仿宋_GB2312" w:hAnsi="仿宋" w:eastAsia="仿宋_GB2312" w:cs="仿宋"/>
          <w:sz w:val="32"/>
          <w:szCs w:val="32"/>
        </w:rPr>
        <w:t>年部门预算安排</w:t>
      </w:r>
      <w:r>
        <w:rPr>
          <w:rFonts w:hint="eastAsia" w:ascii="仿宋_GB2312" w:hAnsi="仿宋" w:eastAsia="仿宋_GB2312" w:cs="仿宋"/>
          <w:sz w:val="32"/>
          <w:szCs w:val="32"/>
          <w:lang w:val="en-US" w:eastAsia="zh-CN"/>
        </w:rPr>
        <w:t>20.30</w:t>
      </w:r>
      <w:r>
        <w:rPr>
          <w:rFonts w:hint="eastAsia" w:ascii="仿宋_GB2312" w:hAnsi="仿宋" w:eastAsia="仿宋_GB2312" w:cs="仿宋"/>
          <w:sz w:val="32"/>
          <w:szCs w:val="32"/>
        </w:rPr>
        <w:t>万元，实际支出</w:t>
      </w:r>
      <w:r>
        <w:rPr>
          <w:rFonts w:hint="eastAsia" w:ascii="仿宋_GB2312" w:eastAsia="仿宋_GB2312" w:cs="Arial"/>
          <w:color w:val="000000"/>
          <w:sz w:val="32"/>
          <w:szCs w:val="32"/>
          <w:lang w:val="en-US" w:eastAsia="zh-CN"/>
        </w:rPr>
        <w:t>5.86万</w:t>
      </w:r>
      <w:r>
        <w:rPr>
          <w:rFonts w:hint="eastAsia" w:ascii="仿宋_GB2312" w:hAnsi="仿宋" w:eastAsia="仿宋_GB2312" w:cs="仿宋"/>
          <w:sz w:val="32"/>
          <w:szCs w:val="32"/>
        </w:rPr>
        <w:t>元。</w:t>
      </w:r>
    </w:p>
    <w:p>
      <w:pPr>
        <w:spacing w:line="600" w:lineRule="exact"/>
        <w:rPr>
          <w:rFonts w:ascii="仿宋_GB2312" w:hAnsi="仿宋" w:eastAsia="仿宋_GB2312" w:cs="仿宋"/>
          <w:sz w:val="32"/>
          <w:szCs w:val="32"/>
        </w:rPr>
      </w:pPr>
      <w:r>
        <w:rPr>
          <w:rFonts w:ascii="仿宋_GB2312" w:hAnsi="仿宋" w:eastAsia="仿宋_GB2312" w:cs="仿宋"/>
          <w:sz w:val="32"/>
          <w:szCs w:val="32"/>
        </w:rPr>
        <w:t xml:space="preserve">     3</w:t>
      </w:r>
      <w:r>
        <w:rPr>
          <w:rFonts w:hint="eastAsia" w:ascii="仿宋_GB2312" w:hAnsi="仿宋" w:eastAsia="仿宋_GB2312" w:cs="仿宋"/>
          <w:sz w:val="32"/>
          <w:szCs w:val="32"/>
        </w:rPr>
        <w:t>．公务用车购置及运行费预算安排</w:t>
      </w:r>
      <w:r>
        <w:rPr>
          <w:rFonts w:ascii="仿宋_GB2312" w:hAnsi="仿宋" w:eastAsia="仿宋_GB2312" w:cs="仿宋"/>
          <w:sz w:val="32"/>
          <w:szCs w:val="32"/>
        </w:rPr>
        <w:t>0</w:t>
      </w:r>
      <w:r>
        <w:rPr>
          <w:rFonts w:hint="eastAsia" w:ascii="仿宋_GB2312" w:hAnsi="仿宋" w:eastAsia="仿宋_GB2312" w:cs="仿宋"/>
          <w:sz w:val="32"/>
          <w:szCs w:val="32"/>
        </w:rPr>
        <w:t>万元，实际支出</w:t>
      </w:r>
      <w:r>
        <w:rPr>
          <w:rFonts w:ascii="仿宋_GB2312" w:hAnsi="仿宋" w:eastAsia="仿宋_GB2312" w:cs="仿宋"/>
          <w:sz w:val="32"/>
          <w:szCs w:val="32"/>
        </w:rPr>
        <w:t>0</w:t>
      </w:r>
      <w:r>
        <w:rPr>
          <w:rFonts w:hint="eastAsia" w:ascii="仿宋_GB2312" w:hAnsi="仿宋" w:eastAsia="仿宋_GB2312" w:cs="仿宋"/>
          <w:sz w:val="32"/>
          <w:szCs w:val="32"/>
        </w:rPr>
        <w:t>万元。</w:t>
      </w:r>
    </w:p>
    <w:p>
      <w:pPr>
        <w:spacing w:line="600" w:lineRule="exact"/>
        <w:ind w:firstLine="643" w:firstLineChars="200"/>
        <w:rPr>
          <w:rFonts w:ascii="仿宋_GB2312" w:hAnsi="仿宋" w:eastAsia="仿宋_GB2312" w:cs="仿宋"/>
          <w:sz w:val="32"/>
          <w:szCs w:val="32"/>
        </w:rPr>
      </w:pPr>
      <w:r>
        <w:rPr>
          <w:rFonts w:hint="eastAsia" w:ascii="楷体" w:hAnsi="楷体" w:eastAsia="楷体" w:cs="楷体"/>
          <w:b/>
          <w:bCs/>
          <w:sz w:val="32"/>
          <w:szCs w:val="32"/>
        </w:rPr>
        <w:t>（三）固定资产管理情况分析：</w:t>
      </w:r>
      <w:r>
        <w:rPr>
          <w:rFonts w:hint="eastAsia" w:ascii="仿宋_GB2312" w:hAnsi="仿宋" w:eastAsia="仿宋_GB2312" w:cs="仿宋"/>
          <w:sz w:val="32"/>
          <w:szCs w:val="32"/>
        </w:rPr>
        <w:t>按照厉行节约、物尽其用的原则，对资产管理采取统一建账、统一核算管理，对每件固定资产使用明确职责</w:t>
      </w:r>
      <w:r>
        <w:rPr>
          <w:rFonts w:ascii="仿宋_GB2312" w:hAnsi="仿宋" w:eastAsia="仿宋_GB2312" w:cs="仿宋"/>
          <w:sz w:val="32"/>
          <w:szCs w:val="32"/>
        </w:rPr>
        <w:t>,</w:t>
      </w:r>
      <w:r>
        <w:rPr>
          <w:rFonts w:hint="eastAsia" w:ascii="仿宋_GB2312" w:hAnsi="仿宋" w:eastAsia="仿宋_GB2312" w:cs="仿宋"/>
          <w:sz w:val="32"/>
          <w:szCs w:val="32"/>
        </w:rPr>
        <w:t>闲置的资产，由办公室统一调整、合理流动，发挥其效益，</w:t>
      </w:r>
      <w:r>
        <w:rPr>
          <w:rFonts w:hint="eastAsia" w:ascii="仿宋_GB2312" w:hAnsi="仿宋" w:eastAsia="仿宋_GB2312" w:cs="仿宋"/>
          <w:sz w:val="32"/>
          <w:szCs w:val="32"/>
          <w:lang w:val="en-US" w:eastAsia="zh-CN"/>
        </w:rPr>
        <w:t>2021</w:t>
      </w:r>
      <w:r>
        <w:rPr>
          <w:rFonts w:hint="eastAsia" w:ascii="仿宋_GB2312" w:hAnsi="仿宋" w:eastAsia="仿宋_GB2312" w:cs="仿宋"/>
          <w:sz w:val="32"/>
          <w:szCs w:val="32"/>
        </w:rPr>
        <w:t>年末固定资产</w:t>
      </w:r>
      <w:r>
        <w:rPr>
          <w:rFonts w:hint="eastAsia" w:ascii="仿宋_GB2312" w:hAnsi="仿宋" w:eastAsia="仿宋_GB2312" w:cs="仿宋"/>
          <w:sz w:val="32"/>
          <w:szCs w:val="32"/>
          <w:lang w:eastAsia="zh-CN"/>
        </w:rPr>
        <w:t>原值</w:t>
      </w:r>
      <w:r>
        <w:rPr>
          <w:rFonts w:hint="eastAsia" w:ascii="仿宋_GB2312" w:hAnsi="仿宋" w:eastAsia="仿宋_GB2312" w:cs="仿宋"/>
          <w:sz w:val="32"/>
          <w:szCs w:val="32"/>
        </w:rPr>
        <w:t>为</w:t>
      </w:r>
      <w:r>
        <w:rPr>
          <w:rFonts w:hint="eastAsia" w:ascii="仿宋" w:hAnsi="仿宋" w:eastAsia="仿宋_GB2312" w:cs="仿宋"/>
          <w:sz w:val="32"/>
          <w:szCs w:val="32"/>
          <w:lang w:val="en-US" w:eastAsia="zh-CN"/>
        </w:rPr>
        <w:t>121.30</w:t>
      </w:r>
      <w:r>
        <w:rPr>
          <w:rFonts w:hint="eastAsia" w:ascii="仿宋_GB2312" w:hAnsi="仿宋" w:eastAsia="仿宋_GB2312" w:cs="仿宋"/>
          <w:sz w:val="32"/>
          <w:szCs w:val="32"/>
        </w:rPr>
        <w:t>万元。</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三、部门整体支出绩效情况</w:t>
      </w:r>
    </w:p>
    <w:p>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2021</w:t>
      </w:r>
      <w:r>
        <w:rPr>
          <w:rFonts w:hint="eastAsia" w:ascii="仿宋_GB2312" w:hAnsi="仿宋" w:eastAsia="仿宋_GB2312" w:cs="仿宋"/>
          <w:sz w:val="32"/>
          <w:szCs w:val="32"/>
        </w:rPr>
        <w:t>年，根据我局年工作要点和重点工作，围绕县委、县政府的中心工作，积极履行职责，强化管理，较好地完成了工作目标，同时加强预算收支的管理，建立健全内部管理制度，严格内部管理流程，部门整体支出管理得到了提升。</w:t>
      </w:r>
      <w:r>
        <w:rPr>
          <w:rFonts w:ascii="仿宋_GB2312" w:hAnsi="仿宋" w:eastAsia="仿宋_GB2312" w:cs="仿宋"/>
          <w:sz w:val="32"/>
          <w:szCs w:val="32"/>
        </w:rPr>
        <w:t xml:space="preserve">  </w:t>
      </w:r>
      <w:r>
        <w:rPr>
          <w:rFonts w:hint="eastAsia" w:ascii="仿宋_GB2312" w:hAnsi="仿宋" w:eastAsia="仿宋_GB2312" w:cs="仿宋"/>
          <w:sz w:val="32"/>
          <w:szCs w:val="32"/>
        </w:rPr>
        <w:t>全年度本部门整体支出绩效情况如下：</w:t>
      </w:r>
    </w:p>
    <w:p>
      <w:pPr>
        <w:spacing w:line="5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、本年预算配置控制较好，严格控制财政供养人员，因机构改革，</w:t>
      </w:r>
      <w:r>
        <w:rPr>
          <w:rFonts w:hint="eastAsia" w:ascii="仿宋_GB2312" w:hAnsi="仿宋" w:eastAsia="仿宋_GB2312" w:cs="仿宋"/>
          <w:sz w:val="32"/>
          <w:szCs w:val="32"/>
          <w:lang w:val="en-US" w:eastAsia="zh-CN"/>
        </w:rPr>
        <w:t>2021年</w:t>
      </w:r>
      <w:r>
        <w:rPr>
          <w:rFonts w:hint="eastAsia" w:ascii="仿宋_GB2312" w:hAnsi="仿宋" w:eastAsia="仿宋_GB2312" w:cs="仿宋"/>
          <w:sz w:val="32"/>
          <w:szCs w:val="32"/>
        </w:rPr>
        <w:t>我局“三公”经费支出</w:t>
      </w:r>
      <w:r>
        <w:rPr>
          <w:rFonts w:hint="eastAsia" w:ascii="仿宋_GB2312" w:hAnsi="仿宋" w:eastAsia="仿宋_GB2312" w:cs="仿宋"/>
          <w:sz w:val="32"/>
          <w:szCs w:val="32"/>
          <w:lang w:eastAsia="zh-CN"/>
        </w:rPr>
        <w:t>与去年基本持平</w:t>
      </w:r>
      <w:r>
        <w:rPr>
          <w:rFonts w:hint="eastAsia" w:ascii="仿宋_GB2312" w:hAnsi="仿宋" w:eastAsia="仿宋_GB2312" w:cs="仿宋"/>
          <w:sz w:val="32"/>
          <w:szCs w:val="32"/>
        </w:rPr>
        <w:t>。</w:t>
      </w:r>
    </w:p>
    <w:p>
      <w:pPr>
        <w:spacing w:line="5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、预算管理方面，制订了切实有效的内部财务、资产管理制度，执行总体较为有效。</w:t>
      </w:r>
    </w:p>
    <w:p>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方面，严格预算支出管理。在支出预算编制上，人员经费按照配置定额，公用经费分类分档，按定额编制，根据“总量控制，计划管理”的要求从严控制行政经费，压缩公务开支，严格控制“三公经费”，资产的配置严格政府采购，按照预算科目和项目资金的规定使用财政资金，保障部门整体支出的规范化、制度化。</w:t>
      </w:r>
    </w:p>
    <w:p>
      <w:pPr>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另一方面，财务管理上，按照国家相关法律法规，制定了机关财务、办公购置使用、接待会务等管理制度，并严格按照制度管理和执行，防范风险，保证财政资金的安全和高效运行。</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四、存在的问题</w:t>
      </w:r>
    </w:p>
    <w:p>
      <w:pPr>
        <w:spacing w:line="600" w:lineRule="exact"/>
        <w:rPr>
          <w:rFonts w:ascii="仿宋_GB2312" w:hAnsi="仿宋" w:eastAsia="仿宋_GB2312" w:cs="仿宋"/>
          <w:sz w:val="32"/>
          <w:szCs w:val="32"/>
        </w:rPr>
      </w:pPr>
      <w:r>
        <w:rPr>
          <w:rFonts w:ascii="仿宋" w:hAnsi="仿宋" w:eastAsia="仿宋" w:cs="仿宋"/>
          <w:sz w:val="32"/>
          <w:szCs w:val="32"/>
        </w:rPr>
        <w:t xml:space="preserve">   </w:t>
      </w:r>
      <w:r>
        <w:rPr>
          <w:rFonts w:ascii="仿宋_GB2312" w:hAnsi="仿宋" w:eastAsia="仿宋_GB2312" w:cs="仿宋"/>
          <w:sz w:val="32"/>
          <w:szCs w:val="32"/>
        </w:rPr>
        <w:t xml:space="preserve"> 1</w:t>
      </w:r>
      <w:r>
        <w:rPr>
          <w:rFonts w:hint="eastAsia" w:ascii="仿宋_GB2312" w:hAnsi="仿宋" w:eastAsia="仿宋_GB2312" w:cs="仿宋"/>
          <w:sz w:val="32"/>
          <w:szCs w:val="32"/>
        </w:rPr>
        <w:t>、预算编制与实际支出项目有的存在差异，预算编制有待更科学更合理。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 w:eastAsia="仿宋_GB2312" w:cs="仿宋"/>
          <w:sz w:val="32"/>
          <w:szCs w:val="32"/>
          <w:lang w:val="en-US" w:eastAsia="zh-CN"/>
        </w:rPr>
        <w:t>2、</w:t>
      </w:r>
      <w:r>
        <w:rPr>
          <w:rFonts w:hint="eastAsia" w:ascii="仿宋_GB2312" w:hAnsi="仿宋_GB2312" w:eastAsia="仿宋_GB2312" w:cs="仿宋_GB2312"/>
          <w:sz w:val="32"/>
          <w:szCs w:val="32"/>
          <w:lang w:val="en-US" w:eastAsia="zh-CN"/>
        </w:rPr>
        <w:t>公用经费预算严重不足。</w:t>
      </w:r>
    </w:p>
    <w:p>
      <w:pPr>
        <w:ind w:firstLine="64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专业人才不够。</w:t>
      </w:r>
    </w:p>
    <w:p>
      <w:pPr>
        <w:spacing w:line="600" w:lineRule="exact"/>
        <w:ind w:firstLine="640" w:firstLineChars="200"/>
        <w:rPr>
          <w:rFonts w:ascii="仿宋" w:hAnsi="仿宋" w:eastAsia="仿宋" w:cs="仿宋"/>
          <w:sz w:val="32"/>
          <w:szCs w:val="32"/>
        </w:rPr>
      </w:pPr>
      <w:r>
        <w:rPr>
          <w:rFonts w:hint="eastAsia" w:ascii="黑体" w:hAnsi="黑体" w:eastAsia="黑体" w:cs="黑体"/>
          <w:sz w:val="32"/>
          <w:szCs w:val="32"/>
        </w:rPr>
        <w:t>五、改进措施和有关建议</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1、年初预算编制应更加精准和细化，尽量预算和支出项目一一对应。</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年初预算时增加发改的公用经费预算，由人平5000元增加至人平9000元。</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 通过公开招考的形式从应往届大学生中招聘相关专业人才。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8C6E7"/>
    <w:multiLevelType w:val="multilevel"/>
    <w:tmpl w:val="5E18C6E7"/>
    <w:lvl w:ilvl="0" w:tentative="0">
      <w:start w:val="1"/>
      <w:numFmt w:val="chineseCounting"/>
      <w:suff w:val="nothing"/>
      <w:lvlText w:val="第%1章  "/>
      <w:lvlJc w:val="left"/>
      <w:pPr>
        <w:tabs>
          <w:tab w:val="left" w:pos="0"/>
        </w:tabs>
        <w:ind w:left="0" w:firstLine="402"/>
      </w:pPr>
      <w:rPr>
        <w:rFonts w:hint="eastAsia" w:ascii="宋体" w:hAnsi="宋体" w:eastAsia="宋体" w:cs="宋体"/>
        <w:b/>
        <w:sz w:val="24"/>
      </w:rPr>
    </w:lvl>
    <w:lvl w:ilvl="1" w:tentative="0">
      <w:start w:val="1"/>
      <w:numFmt w:val="chineseCounting"/>
      <w:pStyle w:val="2"/>
      <w:suff w:val="nothing"/>
      <w:lvlText w:val="第%2节  "/>
      <w:lvlJc w:val="left"/>
      <w:pPr>
        <w:tabs>
          <w:tab w:val="left" w:pos="0"/>
        </w:tabs>
        <w:ind w:left="0" w:firstLine="402"/>
      </w:pPr>
      <w:rPr>
        <w:rFonts w:hint="eastAsia" w:ascii="宋体" w:hAnsi="宋体" w:eastAsia="宋体" w:cs="宋体"/>
        <w:b/>
        <w:sz w:val="24"/>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2F4CFF"/>
    <w:rsid w:val="000A35FF"/>
    <w:rsid w:val="000F6D98"/>
    <w:rsid w:val="00212CB3"/>
    <w:rsid w:val="00296AE1"/>
    <w:rsid w:val="002E5E01"/>
    <w:rsid w:val="002F1A5F"/>
    <w:rsid w:val="00361A1B"/>
    <w:rsid w:val="003B0ABC"/>
    <w:rsid w:val="003C4306"/>
    <w:rsid w:val="003C43E2"/>
    <w:rsid w:val="003D147A"/>
    <w:rsid w:val="003F1BC6"/>
    <w:rsid w:val="003F5BA3"/>
    <w:rsid w:val="003F721D"/>
    <w:rsid w:val="0040796C"/>
    <w:rsid w:val="004557A1"/>
    <w:rsid w:val="004B2BD1"/>
    <w:rsid w:val="00524EFB"/>
    <w:rsid w:val="005927A5"/>
    <w:rsid w:val="005C18B6"/>
    <w:rsid w:val="005D0437"/>
    <w:rsid w:val="005D0E3D"/>
    <w:rsid w:val="006147F2"/>
    <w:rsid w:val="00622252"/>
    <w:rsid w:val="00636D8B"/>
    <w:rsid w:val="00644F43"/>
    <w:rsid w:val="006532AE"/>
    <w:rsid w:val="006648A9"/>
    <w:rsid w:val="00672452"/>
    <w:rsid w:val="006814F6"/>
    <w:rsid w:val="0073249B"/>
    <w:rsid w:val="00755624"/>
    <w:rsid w:val="007637F5"/>
    <w:rsid w:val="00773676"/>
    <w:rsid w:val="0079721B"/>
    <w:rsid w:val="007B00FE"/>
    <w:rsid w:val="007B66C0"/>
    <w:rsid w:val="007F4FDF"/>
    <w:rsid w:val="00805FD1"/>
    <w:rsid w:val="00811D39"/>
    <w:rsid w:val="008B1B6E"/>
    <w:rsid w:val="008F3D58"/>
    <w:rsid w:val="00901B16"/>
    <w:rsid w:val="00951C42"/>
    <w:rsid w:val="009554EF"/>
    <w:rsid w:val="009E228E"/>
    <w:rsid w:val="00AA6A7C"/>
    <w:rsid w:val="00AE2BC4"/>
    <w:rsid w:val="00AE36B1"/>
    <w:rsid w:val="00B11E96"/>
    <w:rsid w:val="00B637C1"/>
    <w:rsid w:val="00B84407"/>
    <w:rsid w:val="00B9480E"/>
    <w:rsid w:val="00BB4DF2"/>
    <w:rsid w:val="00BC5A5C"/>
    <w:rsid w:val="00BE0E16"/>
    <w:rsid w:val="00BE3984"/>
    <w:rsid w:val="00BF47FD"/>
    <w:rsid w:val="00C84E2C"/>
    <w:rsid w:val="00C903C4"/>
    <w:rsid w:val="00CB15E8"/>
    <w:rsid w:val="00CC1BB6"/>
    <w:rsid w:val="00D34603"/>
    <w:rsid w:val="00E10042"/>
    <w:rsid w:val="00E53681"/>
    <w:rsid w:val="00EE7196"/>
    <w:rsid w:val="00F044E7"/>
    <w:rsid w:val="00F26612"/>
    <w:rsid w:val="00F32EC4"/>
    <w:rsid w:val="00F53A70"/>
    <w:rsid w:val="00F96266"/>
    <w:rsid w:val="00FF1194"/>
    <w:rsid w:val="090B31D1"/>
    <w:rsid w:val="09252EC6"/>
    <w:rsid w:val="0D1344A3"/>
    <w:rsid w:val="0E3661E0"/>
    <w:rsid w:val="0E4E50B9"/>
    <w:rsid w:val="0F6175F7"/>
    <w:rsid w:val="11AE3F6A"/>
    <w:rsid w:val="15862708"/>
    <w:rsid w:val="1A825325"/>
    <w:rsid w:val="1E8E55C6"/>
    <w:rsid w:val="213A1961"/>
    <w:rsid w:val="24833FCB"/>
    <w:rsid w:val="28D96AC8"/>
    <w:rsid w:val="29396C41"/>
    <w:rsid w:val="2BCB0664"/>
    <w:rsid w:val="32FD6479"/>
    <w:rsid w:val="33073450"/>
    <w:rsid w:val="33BC713F"/>
    <w:rsid w:val="3663163E"/>
    <w:rsid w:val="3A280974"/>
    <w:rsid w:val="3A7C5F03"/>
    <w:rsid w:val="3C6A5276"/>
    <w:rsid w:val="3E67121B"/>
    <w:rsid w:val="42AC3682"/>
    <w:rsid w:val="45104535"/>
    <w:rsid w:val="45357C6B"/>
    <w:rsid w:val="4ECD4547"/>
    <w:rsid w:val="509C0647"/>
    <w:rsid w:val="51AA3F10"/>
    <w:rsid w:val="53BF71A1"/>
    <w:rsid w:val="55BD4B70"/>
    <w:rsid w:val="55F942A2"/>
    <w:rsid w:val="572F53BF"/>
    <w:rsid w:val="584F54C7"/>
    <w:rsid w:val="59686E3E"/>
    <w:rsid w:val="59BD2CD6"/>
    <w:rsid w:val="5D0F0298"/>
    <w:rsid w:val="5E2F4CFF"/>
    <w:rsid w:val="61FB326A"/>
    <w:rsid w:val="62C90E9F"/>
    <w:rsid w:val="62DC5E12"/>
    <w:rsid w:val="696A1429"/>
    <w:rsid w:val="6B8F79BD"/>
    <w:rsid w:val="6C0F04B7"/>
    <w:rsid w:val="6D901F10"/>
    <w:rsid w:val="6FC71A6A"/>
    <w:rsid w:val="706730F2"/>
    <w:rsid w:val="75D06646"/>
    <w:rsid w:val="76BF2576"/>
    <w:rsid w:val="788F2874"/>
    <w:rsid w:val="78AB4F5E"/>
    <w:rsid w:val="7AC97E3F"/>
    <w:rsid w:val="7C5D1532"/>
    <w:rsid w:val="7C5F29B8"/>
    <w:rsid w:val="7DA32289"/>
    <w:rsid w:val="7E494F91"/>
    <w:rsid w:val="7E9969CE"/>
    <w:rsid w:val="7F8F34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qFormat="1" w:uiPriority="99" w:semiHidden="0"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numPr>
        <w:ilvl w:val="1"/>
        <w:numId w:val="1"/>
      </w:numPr>
      <w:ind w:firstLine="0" w:firstLineChars="0"/>
      <w:jc w:val="center"/>
      <w:outlineLvl w:val="1"/>
    </w:pPr>
    <w:rPr>
      <w:b/>
      <w:w w:val="90"/>
      <w:kern w:val="0"/>
      <w:szCs w:val="28"/>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qFormat/>
    <w:locked/>
    <w:uiPriority w:val="0"/>
    <w:pPr>
      <w:ind w:left="1680"/>
    </w:pPr>
  </w:style>
  <w:style w:type="paragraph" w:styleId="4">
    <w:name w:val="footer"/>
    <w:basedOn w:val="1"/>
    <w:next w:val="3"/>
    <w:unhideWhenUsed/>
    <w:qFormat/>
    <w:locked/>
    <w:uiPriority w:val="99"/>
    <w:pPr>
      <w:tabs>
        <w:tab w:val="center" w:pos="4153"/>
        <w:tab w:val="right" w:pos="8306"/>
      </w:tabs>
      <w:snapToGrid w:val="0"/>
      <w:jc w:val="left"/>
    </w:pPr>
    <w:rPr>
      <w:sz w:val="18"/>
      <w:szCs w:val="18"/>
    </w:rPr>
  </w:style>
  <w:style w:type="paragraph" w:styleId="5">
    <w:name w:val="Normal (Web)"/>
    <w:basedOn w:val="1"/>
    <w:qFormat/>
    <w:uiPriority w:val="99"/>
    <w:pPr>
      <w:jc w:val="left"/>
    </w:pPr>
    <w:rPr>
      <w:kern w:val="0"/>
      <w:sz w:val="24"/>
    </w:rPr>
  </w:style>
  <w:style w:type="character" w:styleId="8">
    <w:name w:val="FollowedHyperlink"/>
    <w:basedOn w:val="7"/>
    <w:qFormat/>
    <w:uiPriority w:val="99"/>
    <w:rPr>
      <w:rFonts w:cs="Times New Roman"/>
      <w:color w:val="333333"/>
      <w:u w:val="none"/>
    </w:rPr>
  </w:style>
  <w:style w:type="character" w:styleId="9">
    <w:name w:val="Emphasis"/>
    <w:basedOn w:val="7"/>
    <w:qFormat/>
    <w:uiPriority w:val="99"/>
    <w:rPr>
      <w:rFonts w:cs="Times New Roman"/>
    </w:rPr>
  </w:style>
  <w:style w:type="character" w:styleId="10">
    <w:name w:val="Hyperlink"/>
    <w:basedOn w:val="7"/>
    <w:qFormat/>
    <w:uiPriority w:val="99"/>
    <w:rPr>
      <w:rFonts w:cs="Times New Roman"/>
      <w:color w:val="333333"/>
      <w:u w:val="none"/>
    </w:rPr>
  </w:style>
  <w:style w:type="character" w:customStyle="1" w:styleId="11">
    <w:name w:val="current"/>
    <w:basedOn w:val="7"/>
    <w:qFormat/>
    <w:uiPriority w:val="99"/>
    <w:rPr>
      <w:rFonts w:cs="Times New Roman"/>
      <w:b/>
      <w:color w:val="FF6500"/>
      <w:bdr w:val="single" w:color="FF6500" w:sz="4" w:space="0"/>
      <w:shd w:val="clear" w:color="auto" w:fill="FFBE94"/>
    </w:rPr>
  </w:style>
  <w:style w:type="character" w:customStyle="1" w:styleId="12">
    <w:name w:val="disabled"/>
    <w:basedOn w:val="7"/>
    <w:qFormat/>
    <w:uiPriority w:val="99"/>
    <w:rPr>
      <w:rFonts w:cs="Times New Roman"/>
      <w:color w:val="FFE3C6"/>
      <w:bdr w:val="single" w:color="FFE3C6" w:sz="4" w:space="0"/>
    </w:rPr>
  </w:style>
  <w:style w:type="character" w:customStyle="1" w:styleId="13">
    <w:name w:val="NormalCharacter"/>
    <w:link w:val="14"/>
    <w:qFormat/>
    <w:uiPriority w:val="0"/>
  </w:style>
  <w:style w:type="paragraph" w:customStyle="1" w:styleId="14">
    <w:name w:val="UserStyle_1"/>
    <w:basedOn w:val="15"/>
    <w:link w:val="13"/>
    <w:qFormat/>
    <w:uiPriority w:val="0"/>
    <w:pPr>
      <w:widowControl/>
      <w:spacing w:after="160" w:line="240" w:lineRule="exact"/>
      <w:jc w:val="left"/>
      <w:textAlignment w:val="baseline"/>
    </w:pPr>
  </w:style>
  <w:style w:type="paragraph" w:customStyle="1" w:styleId="15">
    <w:name w:val="UserStyle_2"/>
    <w:qFormat/>
    <w:uiPriority w:val="0"/>
    <w:pPr>
      <w:jc w:val="both"/>
      <w:textAlignment w:val="baseline"/>
    </w:pPr>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938</Words>
  <Characters>5349</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2020-04-10T00:11:00Z</dcterms:created>
  <dc:creator>Administrator</dc:creator>
  <cp:lastModifiedBy>Administrator</cp:lastModifiedBy>
  <dcterms:modified xsi:type="dcterms:W3CDTF">2022-08-25T09:56:34Z</dcterms:modified>
  <dc:title>隆回县原物价局部门整体支出绩效自评报告</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