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bookmarkEnd w:id="0"/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(盖章）:隆回县档案馆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934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47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主要职责:（一）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接收按规定应移交进馆的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县直各单位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档案资料；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征集散存在社会上的反映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隆回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各个历史时期具有重要价值的档案资料；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负责收集重要会议、重要人物、重大活动档案资料；负责提供县直改制企业档案寄存服务；负责接收县直单位现行文件。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（二）负责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对所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征集的档案资料进行鉴定、整理、归档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；负责对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馆藏档案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科学分类和保管，建立全宗卷，记载立档单位和全宗历史演变情况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负责馆藏档案的鉴定开放，编制检索工具，提供档案信息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及政府现行文件的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查阅利用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；负责馆藏档案安全，维护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馆藏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档案完整，保守党和国家机密。（三）围绕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政府工作需要，开展档案史料的研究和编辑工作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利用馆藏档案资料举办展览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活动，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编辑档案文件汇集和其他有利用价值的参考资料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经批准后公开档案文件和史料。（四）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推进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县档案馆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数字化建设，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按照档案工作信息化发展方向，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全方位有效地开发档案信息资源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，开展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档案管理技术研究，提高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县档案馆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档案管理现代化水平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，实现档案管理由智能化向智慧化发展。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承担县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办公室和上级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交办的其他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事项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177.74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80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979.74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802</w:t>
            </w: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0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182.59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800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0.14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33.35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33.35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否□, 追加金额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54.23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,结余金额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885" w:hanging="3885" w:hangingChars="1850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4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47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6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1、大力开展档案信息化工作，年内完成32万页的档案信息化扫描加工。2、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2022年底档案新馆已完成主体工程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。3、档案安全与保管保护。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消除安全隐患，筹措资金近40万元，全面加固档案库房。对馆藏档案进行盘底，重点关注馆藏档案数量是否账物相符、排架次序是否准确，并逐卷逐盒仔细核对档案全宗号、目录号、案卷号等卷内信息与卷内目录齐全性和规范性，对核对中发现的问题逐一登记并修正。定期对库房进行全面的安全排查及卫生清理，轮换防虫杀菌药物，对重点档案以及破损、褪色档案进行修裱复制。4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全年共接待查阅利用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3660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人次，查阅档案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12519卷册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、扎实开展档案业务指导与接收，规范档案整理。6、做好32个单位档案事业统计调查工作。7、6.9国际档案日创新宣传《中华人民共和国档案法》，以手机报播报，总站电子显示屏滚动播放档案宣传标语，各乡镇、县直机关以电子屏幕宣传、张贴标语、微信传播等多种形式开展了档案日宣传活动。8、扎实开展乡村振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6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6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63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60" w:firstLineChars="160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60" w:firstLineChars="160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60" w:firstLineChars="160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60" w:firstLineChars="160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60" w:firstLineChars="160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填报人： </w:t>
      </w:r>
      <w:r>
        <w:rPr>
          <w:rFonts w:hint="eastAsia" w:ascii="仿宋" w:hAnsi="仿宋" w:eastAsia="仿宋" w:cs="仿宋"/>
          <w:szCs w:val="21"/>
          <w:lang w:eastAsia="zh-CN"/>
        </w:rPr>
        <w:t>陈曦</w:t>
      </w:r>
      <w:r>
        <w:rPr>
          <w:rFonts w:hint="eastAsia" w:ascii="仿宋" w:hAnsi="仿宋" w:eastAsia="仿宋" w:cs="仿宋"/>
          <w:szCs w:val="21"/>
        </w:rPr>
        <w:t xml:space="preserve">              联系电话： </w:t>
      </w:r>
      <w:r>
        <w:rPr>
          <w:rFonts w:hint="eastAsia" w:ascii="仿宋" w:hAnsi="仿宋" w:eastAsia="仿宋" w:cs="仿宋"/>
          <w:szCs w:val="21"/>
          <w:lang w:val="en-US" w:eastAsia="zh-CN"/>
        </w:rPr>
        <w:t>15973969190</w:t>
      </w:r>
      <w:r>
        <w:rPr>
          <w:rFonts w:hint="eastAsia" w:ascii="仿宋" w:hAnsi="仿宋" w:eastAsia="仿宋" w:cs="仿宋"/>
          <w:szCs w:val="21"/>
        </w:rPr>
        <w:t xml:space="preserve">            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27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TM3OGJiYjIzYWE5NDc2OTk5Mzc5MWU5ODU5YmEifQ=="/>
  </w:docVars>
  <w:rsids>
    <w:rsidRoot w:val="4BC05D44"/>
    <w:rsid w:val="4BC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2023-05-18T08:41:00Z</dcterms:created>
  <dc:creator>晨惟曦</dc:creator>
  <cp:lastModifiedBy>晨惟曦</cp:lastModifiedBy>
  <dcterms:modified xsi:type="dcterms:W3CDTF">2023-05-18T08:42:12Z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92A6E63D10DF4E13A0BAC469DA6C7018_11</vt:lpwstr>
  </property>
</Properties>
</file>