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p>
      <w:pPr>
        <w:pStyle w:val="2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1"/>
          <w:szCs w:val="21"/>
          <w:lang w:val="en-US" w:eastAsia="zh-CN"/>
        </w:rPr>
        <w:t>2021年</w:t>
      </w:r>
    </w:p>
    <w:tbl>
      <w:tblPr>
        <w:tblStyle w:val="7"/>
        <w:tblW w:w="52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79"/>
        <w:gridCol w:w="1944"/>
        <w:gridCol w:w="1592"/>
        <w:gridCol w:w="1995"/>
        <w:gridCol w:w="703"/>
        <w:gridCol w:w="713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4146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隆回县档案馆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10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left"/>
              <w:textAlignment w:val="auto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7人</w:t>
            </w:r>
          </w:p>
        </w:tc>
        <w:tc>
          <w:tcPr>
            <w:tcW w:w="189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1225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left"/>
              <w:textAlignment w:val="auto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4146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主要职责:（一）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接收按规定应移交进馆的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县直各单位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档案资料；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征集散存在社会上的反映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隆回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各个历史时期具有重要价值的档案资料；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负责收集重要会议、重要人物、重大活动档案资料；负责提供县直改制企业档案寄存服务；负责接收县直单位现行文件。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（二）负责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对所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征集的档案资料进行鉴定、整理、归档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；负责对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馆藏档案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科学分类和保管，建立全宗卷，记载立档单位和全宗历史演变情况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负责馆藏档案的鉴定开放，编制检索工具，提供档案信息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及政府现行文件的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查阅利用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；负责馆藏档案安全，维护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馆藏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档案完整，保守党和国家机密。（三）围绕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委和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政府工作需要，开展档案史料的研究和编辑工作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利用馆藏档案资料举办展览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活动，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编辑档案文件汇集和其他有利用价值的参考资料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经批准后公开档案文件和史料。（四）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推进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县档案馆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数字化建设，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按照档案工作信息化发展方向，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全方位有效地开发档案信息资源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，开展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档案管理技术研究，提高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县档案馆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档案管理现代化水平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，实现档案管理由智能化向智慧化发展。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（五）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承担县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委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办公室和上级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交办的其他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事项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125.42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3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7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477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128.42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5" w:firstLineChars="150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3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</w:p>
        </w:tc>
        <w:tc>
          <w:tcPr>
            <w:tcW w:w="3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7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186.22                                                                              </w:t>
            </w:r>
          </w:p>
        </w:tc>
        <w:tc>
          <w:tcPr>
            <w:tcW w:w="10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7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4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26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0.14</w:t>
            </w:r>
          </w:p>
        </w:tc>
        <w:tc>
          <w:tcPr>
            <w:tcW w:w="1053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41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41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41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41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9.76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9.76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41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4.62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结余0，结余分配2.84万元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41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41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885" w:hanging="3885" w:hangingChars="1850"/>
              <w:textAlignment w:val="auto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41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4146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4715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、大力开展档案信息化工作，年内完成28万页的档案信息化扫描加工。2、县档案馆新建工程项目成功挂网招标，已完成招标工作，进入地下室建设阶段。3、强化馆藏档案安全与保管保护工作。库房装具条件不断完善，加强了档案保管保护工作。4、竭力提供优质档案查阅服务，一年来共接待查档人数3630人，查阅资料12309卷.5、扎实开展档案业务指导与接收，高质量完成全县脱贫攻坚和疫情防控档案归集整理工作，建立了两类档案专题数据库，完成两类档案目录共计10.98万条，占全市16.7%；积极对全县机关单位开展业务指导工作，对全县118个建档单位进行档案工作摸底调研，了解各单位近几年的档案规范化整理及档案保管保护情况；精心组织全县农村土地承包经营权登记颁证接收进馆工作，共接收农户确权登记颁证档案247557户，实现全文数据库和目录数据库的一一对应。6、做好32个单位档案事业统计调查工作。7、6.9国际档案日创新宣传《中华人民共和国档案法》，以手机报播报，总站电子显示屏滚动播放档案宣传标语，各乡镇、县直机关以电子屏幕宣传、张贴标语、微信传播等多种形式开展了档案日宣传活动。8、扎实开展乡村振兴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471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471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建议逐年增加档案信息化扫描经费。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2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4715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600"/>
              <w:textAlignment w:val="auto"/>
              <w:rPr>
                <w:rFonts w:ascii="楷体" w:hAnsi="楷体" w:eastAsia="楷体" w:cs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600"/>
              <w:textAlignment w:val="auto"/>
              <w:rPr>
                <w:rFonts w:ascii="楷体" w:hAnsi="楷体" w:eastAsia="楷体" w:cs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600"/>
              <w:textAlignment w:val="auto"/>
              <w:rPr>
                <w:rFonts w:ascii="楷体" w:hAnsi="楷体" w:eastAsia="楷体" w:cs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600"/>
              <w:textAlignment w:val="auto"/>
              <w:rPr>
                <w:rFonts w:ascii="楷体" w:hAnsi="楷体" w:eastAsia="楷体" w:cs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600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eastAsia="zh-CN"/>
        </w:rPr>
        <w:t>陈曦</w:t>
      </w:r>
      <w:r>
        <w:rPr>
          <w:rFonts w:ascii="宋体" w:hAnsi="宋体"/>
          <w:szCs w:val="21"/>
        </w:rPr>
        <w:t xml:space="preserve">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15973969190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回县档案馆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部门整体支出绩效自评报告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2021年</w:t>
      </w:r>
      <w:r>
        <w:rPr>
          <w:rFonts w:hint="eastAsia" w:eastAsia="仿宋_GB2312"/>
          <w:sz w:val="32"/>
          <w:szCs w:val="32"/>
          <w:lang w:eastAsia="zh-CN"/>
        </w:rPr>
        <w:t>隆回县档案馆属县委办直属公益一类正科级事业单位，内设办公室、保管利用部、接收编研部。编制人数为</w:t>
      </w:r>
      <w:r>
        <w:rPr>
          <w:rFonts w:hint="eastAsia" w:eastAsia="仿宋_GB2312"/>
          <w:sz w:val="32"/>
          <w:szCs w:val="32"/>
          <w:lang w:val="en-US" w:eastAsia="zh-CN"/>
        </w:rPr>
        <w:t>7人，实际人数7人，其中在职7人，退休11人。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年的重点工作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1、大力开展档案信息化工作，年内完成28万页的档案信息化扫描加工。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2、县档案馆新建工程项目成功挂网招标，已完成招标工作，进入地下室建设阶段。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3、强化馆藏档案安全与保管保护工作。库房装具条件不断完善，加强了档案保管保护工作。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4、竭力提供优质档案查阅服务，一年来共接待查档人数3630人，查阅资料12309卷。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扎实开展档案业务指导与接收，高质量完成全县脱贫攻坚和疫情防控档案归集整理工作，建立了两类档案专题数据库，完成两类档案目录共计10.98万条，占全市16.7%；积极对全县机关单位开展业务指导工作，对全县118个建档单位进行档案工作摸底调研，了解各单位近几年的档案规范化整理及档案保管保护情况；精心组织全县农村土地承包经营权登记颁证接收进馆工作，共接收农户确权登记颁证档案247557户，实现全文数据库和目录数据库的一一对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6、做好32个单位档案事业统计调查工作。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7、6.9国际档案日创新宣传《中华人民共和国档案法》，以手机报播报，总站电子显示屏滚动播放档案宣传标语，各乡镇、县直机关以电子屏幕宣传、张贴标语、微信传播等多种形式开展了档案日宣传活动。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8、扎实开展乡村振兴工作。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（三）部门整体支出情况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4" w:firstLineChars="3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lang w:eastAsia="zh-CN"/>
        </w:rPr>
        <w:t>收入：</w:t>
      </w:r>
      <w:r>
        <w:rPr>
          <w:rFonts w:hint="eastAsia" w:ascii="仿宋" w:hAnsi="仿宋" w:eastAsia="仿宋" w:cs="仿宋"/>
          <w:lang w:val="en-US" w:eastAsia="zh-CN"/>
        </w:rPr>
        <w:t>2021财政拨款收入125.42万元，其他收入3万元，2021年收入合计128.42万元。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4" w:firstLineChars="3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2、支出：</w:t>
      </w:r>
      <w:r>
        <w:rPr>
          <w:rFonts w:hint="eastAsia" w:ascii="仿宋" w:hAnsi="仿宋" w:eastAsia="仿宋" w:cs="仿宋"/>
          <w:lang w:val="en-US" w:eastAsia="zh-CN"/>
        </w:rPr>
        <w:t>2021年支出合计186.22万元。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2021年年末决算数为186.22万元，其中人员经费107.88万元，日常公用经费78.35万元，用于保障单位正常运转，完成日常工作而发生的各项支出，</w:t>
      </w:r>
      <w:r>
        <w:rPr>
          <w:rFonts w:hint="eastAsia" w:ascii="仿宋" w:hAnsi="仿宋" w:eastAsia="仿宋" w:cs="仿宋"/>
          <w:sz w:val="32"/>
          <w:szCs w:val="32"/>
        </w:rPr>
        <w:t>包括用于基本工资、绩效工资等人员经费以及办公费、印刷费、水电费及办公设备购置等日常公用经费。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</w:rPr>
        <w:t>项目支出情况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2021年决算数为35万元，主要用于档案保管保护、接收等支出。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 1</w:t>
      </w:r>
      <w:r>
        <w:rPr>
          <w:rFonts w:hint="eastAsia" w:eastAsia="仿宋_GB2312"/>
          <w:sz w:val="32"/>
          <w:szCs w:val="32"/>
        </w:rPr>
        <w:t>．因公出国（境）费</w:t>
      </w:r>
      <w:r>
        <w:rPr>
          <w:rFonts w:hint="eastAsia" w:eastAsia="仿宋_GB2312"/>
          <w:sz w:val="32"/>
          <w:szCs w:val="32"/>
          <w:lang w:val="en-US" w:eastAsia="zh-CN"/>
        </w:rPr>
        <w:t>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 2</w:t>
      </w:r>
      <w:r>
        <w:rPr>
          <w:rFonts w:hint="eastAsia" w:eastAsia="仿宋_GB2312"/>
          <w:sz w:val="32"/>
          <w:szCs w:val="32"/>
        </w:rPr>
        <w:t>．公务接待费</w:t>
      </w:r>
      <w:r>
        <w:rPr>
          <w:rFonts w:hint="eastAsia" w:eastAsia="仿宋_GB2312"/>
          <w:sz w:val="32"/>
          <w:szCs w:val="32"/>
          <w:lang w:val="en-US" w:eastAsia="zh-CN"/>
        </w:rPr>
        <w:t>0.14万元；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 xml:space="preserve">  3</w:t>
      </w:r>
      <w:r>
        <w:rPr>
          <w:rFonts w:hint="eastAsia" w:eastAsia="仿宋_GB2312"/>
          <w:sz w:val="32"/>
          <w:szCs w:val="32"/>
        </w:rPr>
        <w:t>．公务用车购置及运行费</w:t>
      </w:r>
      <w:r>
        <w:rPr>
          <w:rFonts w:hint="eastAsia" w:eastAsia="仿宋_GB2312"/>
          <w:sz w:val="32"/>
          <w:szCs w:val="32"/>
          <w:lang w:val="en-US" w:eastAsia="zh-CN"/>
        </w:rPr>
        <w:t>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财务管理制度建设情况：资金拨付严格按程序申报、审批，合理合规使用资金，确保财政资金安全。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资产管理：及时按照要求报送资产情况报表，确保各项资产核算准确，账实相符，管理到位。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预决算公开：及时在县人民政府门户网站上进行了预决算公开。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“三公经费”控制情况：能严格遵守各项规章制度，严控“三公”经费支出。财政供养人员控制在预算编制以内；“三公”经费预算总额比上年减少。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认真履行职责，及时报送财政供养信息、存量资金等有关资料及报表。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b/>
          <w:bCs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1、预算编制工作有待细化。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预算编制不够明确和细化，预算编制的合理性需要提高，预算执行力还要进一步加强。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2、档案信息化建设程度不够，推进档案数字化建设速度较慢。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五、改进措施和有关建议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（一）改进措施：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细化预算编制工作，认真做好预算编制。进一步加强单位内部机构各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（二）建议：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逐年增加信息化扫描经费。随着上级对档案工作信息要求越来越高，我县目前编入的档案信息化经费预算根本无法达到上级标准，速度远远跟不上形势，特请求增加专项经费预算，加快档案信息化进程。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隆回县档案馆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2022年5月5日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984" w:right="1531" w:bottom="1928" w:left="1587" w:header="720" w:footer="1701" w:gutter="0"/>
      <w:pgNumType w:fmt="numberInDash"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TM3OGJiYjIzYWE5NDc2OTk5Mzc5MWU5ODU5YmEifQ=="/>
  </w:docVars>
  <w:rsids>
    <w:rsidRoot w:val="18D538B0"/>
    <w:rsid w:val="0136449C"/>
    <w:rsid w:val="01600BAC"/>
    <w:rsid w:val="018E17F6"/>
    <w:rsid w:val="027712EA"/>
    <w:rsid w:val="08482524"/>
    <w:rsid w:val="08D22927"/>
    <w:rsid w:val="09D347BB"/>
    <w:rsid w:val="0A686BF6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39854FC"/>
    <w:rsid w:val="2483632E"/>
    <w:rsid w:val="2580476C"/>
    <w:rsid w:val="25B05D49"/>
    <w:rsid w:val="29E259F5"/>
    <w:rsid w:val="2A706BB3"/>
    <w:rsid w:val="2AD601D4"/>
    <w:rsid w:val="2C2B5641"/>
    <w:rsid w:val="2D5B2940"/>
    <w:rsid w:val="2E2B5E45"/>
    <w:rsid w:val="2E515D05"/>
    <w:rsid w:val="2FC02FA6"/>
    <w:rsid w:val="2FF745A3"/>
    <w:rsid w:val="316450AF"/>
    <w:rsid w:val="335115F0"/>
    <w:rsid w:val="3546366F"/>
    <w:rsid w:val="357070B5"/>
    <w:rsid w:val="359A3FC5"/>
    <w:rsid w:val="37A20571"/>
    <w:rsid w:val="38FC7F68"/>
    <w:rsid w:val="3A754CC9"/>
    <w:rsid w:val="3B47390A"/>
    <w:rsid w:val="3BEA370A"/>
    <w:rsid w:val="3ECD3124"/>
    <w:rsid w:val="3F9A003D"/>
    <w:rsid w:val="40F164D7"/>
    <w:rsid w:val="43995D83"/>
    <w:rsid w:val="475F4422"/>
    <w:rsid w:val="4874505C"/>
    <w:rsid w:val="49136AFE"/>
    <w:rsid w:val="49201968"/>
    <w:rsid w:val="498628CF"/>
    <w:rsid w:val="4A9B5A20"/>
    <w:rsid w:val="4BB905DA"/>
    <w:rsid w:val="4E0B709E"/>
    <w:rsid w:val="4F2E0C11"/>
    <w:rsid w:val="507C62DD"/>
    <w:rsid w:val="54AA1892"/>
    <w:rsid w:val="563C6D66"/>
    <w:rsid w:val="565C4B5A"/>
    <w:rsid w:val="568965D9"/>
    <w:rsid w:val="578E37A1"/>
    <w:rsid w:val="58C76ABA"/>
    <w:rsid w:val="58E838B9"/>
    <w:rsid w:val="635B32B1"/>
    <w:rsid w:val="63AD5DD7"/>
    <w:rsid w:val="65ED7F30"/>
    <w:rsid w:val="686231A1"/>
    <w:rsid w:val="6A522671"/>
    <w:rsid w:val="6ACB22C2"/>
    <w:rsid w:val="6C6A0E2B"/>
    <w:rsid w:val="6C801864"/>
    <w:rsid w:val="6E615BFD"/>
    <w:rsid w:val="738267C3"/>
    <w:rsid w:val="75DF705C"/>
    <w:rsid w:val="767C2482"/>
    <w:rsid w:val="776A1361"/>
    <w:rsid w:val="78853E63"/>
    <w:rsid w:val="7A3613CA"/>
    <w:rsid w:val="7D2A54B9"/>
    <w:rsid w:val="7DEC6047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3033</Words>
  <Characters>3200</Characters>
  <Lines>0</Lines>
  <Paragraphs>0</Paragraphs>
  <TotalTime>36</TotalTime>
  <ScaleCrop>false</ScaleCrop>
  <LinksUpToDate>false</LinksUpToDate>
  <CharactersWithSpaces>3400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晨惟曦</cp:lastModifiedBy>
  <cp:lastPrinted>2022-05-05T08:14:00Z</cp:lastPrinted>
  <dcterms:modified xsi:type="dcterms:W3CDTF">2023-04-27T08:50:19Z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FC4AD5B48165493FADE0A0374E14E380</vt:lpwstr>
  </property>
</Properties>
</file>