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2020年公开重大政策和重点项目绩效执行结果情况说明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2020年度，我县</w:t>
      </w:r>
      <w:r>
        <w:rPr>
          <w:rFonts w:ascii="仿宋_GB2312" w:hAnsi="仿宋_GB2312" w:eastAsia="仿宋_GB2312" w:cs="仿宋_GB2312"/>
          <w:sz w:val="32"/>
          <w:szCs w:val="32"/>
        </w:rPr>
        <w:t>认真贯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彻落实党中央、国务院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关于全面实施预算绩效管理</w:t>
      </w:r>
      <w:r>
        <w:rPr>
          <w:rFonts w:ascii="仿宋_GB2312" w:hAnsi="仿宋_GB2312" w:eastAsia="仿宋_GB2312" w:cs="仿宋_GB2312"/>
          <w:sz w:val="32"/>
          <w:szCs w:val="32"/>
        </w:rPr>
        <w:t>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树牢“花钱必问效、无效必问责”的理念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在开展部门自评的基础上，按照“资金量大、代表性强、社会关注度高”的原则，我们</w:t>
      </w:r>
      <w:r>
        <w:rPr>
          <w:rFonts w:ascii="仿宋_GB2312" w:hAnsi="仿宋_GB2312" w:eastAsia="仿宋_GB2312" w:cs="仿宋_GB2312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ascii="仿宋_GB2312" w:hAnsi="仿宋_GB2312" w:eastAsia="仿宋_GB2312" w:cs="仿宋_GB2312"/>
          <w:sz w:val="32"/>
          <w:szCs w:val="32"/>
        </w:rPr>
        <w:t>政府重大决策部署，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选取了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个项目委托第三方机构进行重点评价，资金额达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亿元，涵盖债券</w:t>
      </w:r>
      <w:r>
        <w:rPr>
          <w:rFonts w:ascii="仿宋_GB2312" w:hAnsi="仿宋_GB2312" w:eastAsia="仿宋_GB2312" w:cs="仿宋_GB2312"/>
          <w:sz w:val="32"/>
          <w:szCs w:val="32"/>
        </w:rPr>
        <w:t>资金、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涉农整合资金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民生工程</w:t>
      </w:r>
      <w:r>
        <w:rPr>
          <w:rFonts w:ascii="仿宋_GB2312" w:hAnsi="仿宋_GB2312" w:eastAsia="仿宋_GB2312" w:cs="仿宋_GB2312"/>
          <w:sz w:val="32"/>
          <w:szCs w:val="32"/>
        </w:rPr>
        <w:t>等重点领域。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（一）2020年度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隆回县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局51个自然村通水泥（沥青）路项目绩效执行结果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改善村级道路环境，确保农村道路安全出行，2020年，我县实际完成自然村通水泥（沥青）公路90.258公里，为考核任务的130.8%，完成投资4993.56万元；提质改造农村公路86.626公里，为考核任务的100%，完成投资4403.409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资金全部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按照规定支持方向支出，与申报计划规定的范围一致，资金全部足额拨付到位，</w:t>
      </w:r>
      <w:r>
        <w:rPr>
          <w:rFonts w:hint="eastAsia" w:ascii="仿宋_GB2312" w:eastAsia="仿宋_GB2312"/>
          <w:sz w:val="32"/>
          <w:szCs w:val="32"/>
        </w:rPr>
        <w:t>均用于支付</w:t>
      </w:r>
      <w:r>
        <w:rPr>
          <w:rFonts w:hint="eastAsia" w:ascii="仿宋_GB2312" w:eastAsia="仿宋_GB2312"/>
          <w:sz w:val="32"/>
          <w:szCs w:val="32"/>
          <w:lang w:eastAsia="zh-CN"/>
        </w:rPr>
        <w:t>村道路通水泥项目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且在规定期间内完成了此项目，群众满意度为百分之百。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（二）2020年度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隆回县水利局重点民生实事巩固提升饮水安全项目绩效执行结果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年省定重点民生实事巩固和新增农村通自来水人口2.12万人，具体分解落实到5个乡镇（街道）14个项目村，体现在3个集中供水工程项目上，即荷香桥镇集中供水工程、周旺斜岭饮水工程（续建）、金石桥镇高洲供水巩固提升工程。现5个乡镇（街道）14个项目村均已按要求完成目标任务，共巩固和新增农村通自来水人口2.12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（三）2020年度城市维护建设费专项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资金绩效执行结果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为加强和改进城市规划建设管理工作，补齐城市短板，加快完善老城区市政基础设施，</w:t>
      </w:r>
      <w:r>
        <w:rPr>
          <w:rFonts w:hint="eastAsia" w:ascii="仿宋" w:hAnsi="仿宋" w:eastAsia="仿宋" w:cs="仿宋"/>
          <w:sz w:val="32"/>
          <w:szCs w:val="32"/>
        </w:rPr>
        <w:t>确保城市安全和公共设施正常运行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住房和城乡建设局支出2000万元用于城市维护建设，资金已全部到位且全部按计划配备，资金全部按照规定支出方向支出，项目实施单位在项目实施期间建立了相关的管理制度，提供了必要项目实施资料，项目验收过程是按规定履行了相关手续。在规定期间内完成了此项目，城市路灯设施亮灯达标率达到了95%，城区消防栓及配套管网维护建设数达到了1000米，使城市内涝灾害事故降低，城区公园广场绿地、人行道数面积覆盖度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zc2NzJkOTM0NWQ0YmRiNjk2NWY5NjEyY2U5OWMifQ=="/>
  </w:docVars>
  <w:rsids>
    <w:rsidRoot w:val="007304E1"/>
    <w:rsid w:val="00075C02"/>
    <w:rsid w:val="007304E1"/>
    <w:rsid w:val="00857D65"/>
    <w:rsid w:val="008E13B7"/>
    <w:rsid w:val="00B915A0"/>
    <w:rsid w:val="00D90649"/>
    <w:rsid w:val="0B5A630E"/>
    <w:rsid w:val="0BE32EE2"/>
    <w:rsid w:val="0CCE13D9"/>
    <w:rsid w:val="10777BA6"/>
    <w:rsid w:val="132E750E"/>
    <w:rsid w:val="27112D99"/>
    <w:rsid w:val="2913507B"/>
    <w:rsid w:val="2AFB72D9"/>
    <w:rsid w:val="4E716C16"/>
    <w:rsid w:val="5B411CCC"/>
    <w:rsid w:val="632329D3"/>
    <w:rsid w:val="68A52C54"/>
    <w:rsid w:val="6D6B7B64"/>
    <w:rsid w:val="6FA50A9A"/>
    <w:rsid w:val="76A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qFormat/>
    <w:uiPriority w:val="0"/>
    <w:pPr>
      <w:widowControl w:val="0"/>
      <w:tabs>
        <w:tab w:val="left" w:pos="630"/>
      </w:tabs>
      <w:ind w:left="420" w:leftChars="200" w:firstLine="420"/>
      <w:jc w:val="both"/>
    </w:pPr>
    <w:rPr>
      <w:rFonts w:hint="eastAsia" w:ascii="Times New Roman" w:hAnsi="Times New Roman" w:eastAsia="宋体" w:cs="Times New Roman"/>
      <w:kern w:val="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912</Characters>
  <Lines>9</Lines>
  <Paragraphs>2</Paragraphs>
  <TotalTime>11</TotalTime>
  <ScaleCrop>false</ScaleCrop>
  <LinksUpToDate>false</LinksUpToDate>
  <CharactersWithSpaces>912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2022-08-26T01:02:00Z</dcterms:created>
  <dc:creator>Administrator</dc:creator>
  <cp:lastModifiedBy>Administrator</cp:lastModifiedBy>
  <dcterms:modified xsi:type="dcterms:W3CDTF">2022-08-27T03:23:16Z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8815A4AD82BE4AE4A1D4710477D24A59</vt:lpwstr>
  </property>
</Properties>
</file>