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3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隆回县中建设项目事务中心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56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收集整理相关重点建设项目相关政策及信息，指导和协调全县重点建设项目前期准备工作，负责重点项目的整理，包装、工程管理及资金管理，参与县域范围内各项规划的编制、土地储备、土地出让转让及其他经营收入使用计划的编制、上报；负责重点项目的本级和上级配套资金筹集和拨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93667.55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93667.55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10411.52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83256.03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93667.55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0.2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4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Cs w:val="21"/>
              </w:rPr>
              <w:t>严格按照县委、县政府下达的工作任务，抓好融资申贷，做好全年隐性债务化解任务。  2、推进重点项目工程的建设工作和资金拨付工作。3、加大资产整合力度盘活存量土地资源，做好县城行政事业单位办公楼、门面国有资产归集工作。4、加快平台公司的实体化转型工作推进。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5、加强县重点项目工程的进度推进和工程质量监管。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王海波</w:t>
      </w:r>
      <w:r>
        <w:rPr>
          <w:rFonts w:ascii="宋体" w:hAnsi="宋体"/>
          <w:szCs w:val="21"/>
        </w:rPr>
        <w:t xml:space="preserve">  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18307395580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04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eastAsia="zh-CN"/>
        </w:rPr>
        <w:t>隆回县重点建设项目事务中心</w:t>
      </w:r>
    </w:p>
    <w:p>
      <w:pPr>
        <w:spacing w:line="600" w:lineRule="exact"/>
        <w:jc w:val="center"/>
        <w:rPr>
          <w:rFonts w:eastAsia="仿宋_GB2312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部门整体支出绩效自评报告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隆回县</w:t>
      </w:r>
      <w:r>
        <w:rPr>
          <w:rFonts w:hint="eastAsia" w:eastAsia="仿宋_GB2312"/>
          <w:sz w:val="32"/>
          <w:szCs w:val="32"/>
          <w:lang w:eastAsia="zh-CN"/>
        </w:rPr>
        <w:t>重点建设项目事务中心为</w:t>
      </w:r>
      <w:r>
        <w:rPr>
          <w:rFonts w:hint="eastAsia" w:eastAsia="仿宋_GB2312"/>
          <w:sz w:val="32"/>
          <w:szCs w:val="32"/>
        </w:rPr>
        <w:t>隆回县发展和改革局管理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正科级公益事业单位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下设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综合部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财务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投融资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事务部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资产</w:t>
      </w:r>
      <w:r>
        <w:rPr>
          <w:rFonts w:hint="eastAsia" w:ascii="仿宋_GB2312" w:hAnsi="仿宋" w:eastAsia="仿宋_GB2312"/>
          <w:sz w:val="32"/>
          <w:szCs w:val="32"/>
        </w:rPr>
        <w:t>开发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事务部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工程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项目一部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工程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项目二部、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工程监管事务部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本单位编制人数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人，实际人数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 xml:space="preserve">人（其中在职 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人，离退休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人），固定资产53万元。</w:t>
      </w:r>
      <w:r>
        <w:rPr>
          <w:rFonts w:hint="eastAsia" w:eastAsia="仿宋_GB2312"/>
          <w:sz w:val="32"/>
          <w:szCs w:val="32"/>
          <w:lang w:eastAsia="zh-CN"/>
        </w:rPr>
        <w:t>部门主要职能：</w:t>
      </w:r>
      <w:r>
        <w:rPr>
          <w:rFonts w:hint="eastAsia" w:eastAsia="仿宋_GB2312"/>
          <w:sz w:val="32"/>
          <w:szCs w:val="32"/>
        </w:rPr>
        <w:t>负责项目资料的整理、包装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负责项目的融资</w:t>
      </w:r>
      <w:r>
        <w:rPr>
          <w:rFonts w:hint="eastAsia" w:eastAsia="仿宋_GB2312"/>
          <w:sz w:val="32"/>
          <w:szCs w:val="32"/>
          <w:lang w:eastAsia="zh-CN"/>
        </w:rPr>
        <w:t>、申贷工作；</w:t>
      </w:r>
      <w:r>
        <w:rPr>
          <w:rFonts w:hint="eastAsia" w:eastAsia="仿宋_GB2312"/>
          <w:sz w:val="32"/>
          <w:szCs w:val="32"/>
        </w:rPr>
        <w:t>负责项目的工程管理和资金管理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负责项目的本级财政配套资金的安排和上级配套资金的筹集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年基本支出： 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185.99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万元，其中：工资福利支出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168.04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商品和服务支出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17.95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8" w:leftChars="0" w:firstLine="640" w:firstLineChars="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项目支出 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93481.55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万元，主要用于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县城专项交通提质改造工程和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县城公共基础设施建设资金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、以及政府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债务化解资金支出。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8" w:leftChars="0" w:firstLine="640" w:firstLineChars="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1．因公出国（境）费用；因公出国（境）费用；因公出国（境）费预算数为0万元，决算数为0万元，因公出国（境）0批次0人次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2．公务接待费；公务接待费为0.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万元，公务接待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批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3．公务用车购置及运行费公务用车购置费为0，公务用车运行费为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万元，202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年公务车辆保有0辆，用车支出为转公车平台前的车辆费用。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2021年，县重点项目中心严格按照年初县委、县政府下达的重点项目任务要求和“十四五”目标，切实转变发展思路，真抓实干、攻坚克难，统筹疫情防控和经济发展，努力创新工作方式，扎实推进各项工作。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资金管理和使用：财务部严格按照县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级财政局的指导，按时按量缴纳县财政下达各级任务，严格各项财务制度和报账审批程序，尤其是我单位大额专项资金较多，财务人员严格要求各部门，合法合规拨付使用各项专项资金，做到专款专用。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预决算工作：财务部及时做好年初预算工作及政府政务公开，年终做好单位结算工作。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经费控制：我单位实行开源节流政策，去年疫情各行业都不是很景气，中心严格各项经费支出，保运转，保民生，三公经费明显减少，严格按照年初预算进行开支。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2021年的工作，我们深感任务多、责任重、压力大、差距远。财务管理有待进一步提升，资金拨付使用进一步规范，财政部门下达的各类报表指标有待进一步学习，学懂弄懂，培养后备人才，平时增加中心财务人员培训次数，工作中加强与单位领导的沟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五、改进措施和有关建议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进一步加强财务人员的业务培训，储备后备人才，完善财务制度和资金拨付流程，加强财务管理，提高单位预算质量，严格三公经费支出，杜绝挪用和滥用各项经费，安排好专人管理好中心的各项国有资产。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5" w:h="16837"/>
      <w:pgMar w:top="1701" w:right="1417" w:bottom="1418" w:left="1417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54D05C"/>
    <w:multiLevelType w:val="singleLevel"/>
    <w:tmpl w:val="F054D05C"/>
    <w:lvl w:ilvl="0" w:tentative="0">
      <w:start w:val="2"/>
      <w:numFmt w:val="chineseCounting"/>
      <w:suff w:val="nothing"/>
      <w:lvlText w:val="（%1）"/>
      <w:lvlJc w:val="left"/>
      <w:pPr>
        <w:ind w:left="-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WIzNjA5NGMxMTM5Y2FkZWI0OWJlNDNlMTY5NjEifQ=="/>
  </w:docVars>
  <w:rsids>
    <w:rsidRoot w:val="18D538B0"/>
    <w:rsid w:val="01600BAC"/>
    <w:rsid w:val="018E17F6"/>
    <w:rsid w:val="03041F03"/>
    <w:rsid w:val="04277401"/>
    <w:rsid w:val="09D347BB"/>
    <w:rsid w:val="0A2C0C06"/>
    <w:rsid w:val="0A686BF6"/>
    <w:rsid w:val="0B4E623A"/>
    <w:rsid w:val="117C2E73"/>
    <w:rsid w:val="11E9622E"/>
    <w:rsid w:val="12607728"/>
    <w:rsid w:val="13113C31"/>
    <w:rsid w:val="13C57FC2"/>
    <w:rsid w:val="13EB2DF0"/>
    <w:rsid w:val="13F9128C"/>
    <w:rsid w:val="1767588B"/>
    <w:rsid w:val="18D538B0"/>
    <w:rsid w:val="18E032C2"/>
    <w:rsid w:val="1CCF110C"/>
    <w:rsid w:val="21B552CB"/>
    <w:rsid w:val="2483632E"/>
    <w:rsid w:val="25B05D49"/>
    <w:rsid w:val="28154CF5"/>
    <w:rsid w:val="281C40D0"/>
    <w:rsid w:val="2A706BB3"/>
    <w:rsid w:val="2B9565EF"/>
    <w:rsid w:val="2C2B5641"/>
    <w:rsid w:val="2DA76D39"/>
    <w:rsid w:val="2E2B5E45"/>
    <w:rsid w:val="2E515D05"/>
    <w:rsid w:val="2FC02FA6"/>
    <w:rsid w:val="2FF745A3"/>
    <w:rsid w:val="304C3BC8"/>
    <w:rsid w:val="316450AF"/>
    <w:rsid w:val="31BA35D3"/>
    <w:rsid w:val="335115F0"/>
    <w:rsid w:val="3546366F"/>
    <w:rsid w:val="357070B5"/>
    <w:rsid w:val="38FC7F68"/>
    <w:rsid w:val="3A754CC9"/>
    <w:rsid w:val="3BEA370A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507C62DD"/>
    <w:rsid w:val="52CA2206"/>
    <w:rsid w:val="563C6D66"/>
    <w:rsid w:val="565C4B5A"/>
    <w:rsid w:val="578E37A1"/>
    <w:rsid w:val="57C30CF5"/>
    <w:rsid w:val="58C76ABA"/>
    <w:rsid w:val="5F991213"/>
    <w:rsid w:val="635B32B1"/>
    <w:rsid w:val="63AD5DD7"/>
    <w:rsid w:val="63FF6996"/>
    <w:rsid w:val="64D92F75"/>
    <w:rsid w:val="65ED7F30"/>
    <w:rsid w:val="6A522671"/>
    <w:rsid w:val="6ACB22C2"/>
    <w:rsid w:val="6C6A0E2B"/>
    <w:rsid w:val="6C801864"/>
    <w:rsid w:val="6E615BFD"/>
    <w:rsid w:val="767C2482"/>
    <w:rsid w:val="78853E63"/>
    <w:rsid w:val="7A3613CA"/>
    <w:rsid w:val="7B265436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2051</Words>
  <Characters>2156</Characters>
  <Lines>0</Lines>
  <Paragraphs>0</Paragraphs>
  <TotalTime>2</TotalTime>
  <ScaleCrop>false</ScaleCrop>
  <LinksUpToDate>false</LinksUpToDate>
  <CharactersWithSpaces>2297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随遇而安</cp:lastModifiedBy>
  <cp:lastPrinted>2022-04-15T09:18:00Z</cp:lastPrinted>
  <dcterms:modified xsi:type="dcterms:W3CDTF">2022-08-19T03:36:38Z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FC4AD5B48165493FADE0A0374E14E380</vt:lpwstr>
  </property>
</Properties>
</file>