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A1" w:rsidRDefault="004D5D94">
      <w:pPr>
        <w:spacing w:line="600" w:lineRule="exact"/>
        <w:rPr>
          <w:rFonts w:ascii="方正仿宋简体" w:eastAsia="方正仿宋简体" w:hAnsi="宋体" w:cs="宋体"/>
          <w:kern w:val="0"/>
          <w:sz w:val="32"/>
          <w:szCs w:val="32"/>
        </w:rPr>
      </w:pPr>
      <w:r>
        <w:rPr>
          <w:rFonts w:ascii="方正仿宋简体" w:eastAsia="方正仿宋简体" w:hAnsi="宋体" w:cs="宋体" w:hint="eastAsia"/>
          <w:kern w:val="0"/>
          <w:sz w:val="32"/>
          <w:szCs w:val="32"/>
        </w:rPr>
        <w:t>附件</w:t>
      </w:r>
      <w:r w:rsidR="00BA2DF0">
        <w:rPr>
          <w:rFonts w:ascii="方正仿宋简体" w:eastAsia="方正仿宋简体" w:hAnsi="宋体" w:cs="宋体" w:hint="eastAsia"/>
          <w:kern w:val="0"/>
          <w:sz w:val="32"/>
          <w:szCs w:val="32"/>
        </w:rPr>
        <w:t>2：</w:t>
      </w:r>
    </w:p>
    <w:p w:rsidR="00264CA1" w:rsidRDefault="004D5D94">
      <w:pPr>
        <w:spacing w:line="600" w:lineRule="exact"/>
        <w:jc w:val="center"/>
        <w:rPr>
          <w:rFonts w:ascii="方正小标宋简体" w:eastAsia="方正小标宋简体"/>
          <w:bCs/>
          <w:kern w:val="0"/>
          <w:sz w:val="36"/>
          <w:szCs w:val="36"/>
        </w:rPr>
      </w:pPr>
      <w:r>
        <w:rPr>
          <w:rFonts w:ascii="方正小标宋简体" w:eastAsia="方正小标宋简体" w:hint="eastAsia"/>
          <w:bCs/>
          <w:kern w:val="0"/>
          <w:sz w:val="36"/>
          <w:szCs w:val="36"/>
        </w:rPr>
        <w:t>隆回县应急管理局整体支出绩效自评基础数据表</w:t>
      </w:r>
    </w:p>
    <w:tbl>
      <w:tblPr>
        <w:tblW w:w="90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
        <w:gridCol w:w="533"/>
        <w:gridCol w:w="1168"/>
        <w:gridCol w:w="2372"/>
        <w:gridCol w:w="605"/>
        <w:gridCol w:w="567"/>
        <w:gridCol w:w="992"/>
        <w:gridCol w:w="560"/>
        <w:gridCol w:w="7"/>
        <w:gridCol w:w="993"/>
        <w:gridCol w:w="425"/>
        <w:gridCol w:w="778"/>
        <w:gridCol w:w="56"/>
      </w:tblGrid>
      <w:tr w:rsidR="00264CA1">
        <w:trPr>
          <w:trHeight w:val="480"/>
        </w:trPr>
        <w:tc>
          <w:tcPr>
            <w:tcW w:w="9071" w:type="dxa"/>
            <w:gridSpan w:val="13"/>
            <w:tcBorders>
              <w:top w:val="nil"/>
              <w:left w:val="nil"/>
              <w:bottom w:val="nil"/>
              <w:right w:val="nil"/>
            </w:tcBorders>
            <w:noWrap/>
            <w:vAlign w:val="center"/>
          </w:tcPr>
          <w:p w:rsidR="00264CA1" w:rsidRDefault="004D5D94">
            <w:pPr>
              <w:spacing w:line="600" w:lineRule="exact"/>
              <w:jc w:val="center"/>
              <w:rPr>
                <w:rFonts w:ascii="黑体" w:eastAsia="黑体" w:hAnsi="黑体" w:cs="黑体"/>
              </w:rPr>
            </w:pPr>
            <w:r>
              <w:rPr>
                <w:rFonts w:ascii="黑体" w:eastAsia="黑体" w:hAnsi="黑体" w:cs="黑体" w:hint="eastAsia"/>
                <w:sz w:val="24"/>
              </w:rPr>
              <w:t>（</w:t>
            </w:r>
            <w:r>
              <w:rPr>
                <w:rFonts w:ascii="黑体" w:eastAsia="黑体" w:hAnsi="黑体" w:cs="黑体"/>
                <w:sz w:val="24"/>
              </w:rPr>
              <w:t>20</w:t>
            </w:r>
            <w:r>
              <w:rPr>
                <w:rFonts w:ascii="黑体" w:eastAsia="黑体" w:hAnsi="黑体" w:cs="黑体" w:hint="eastAsia"/>
                <w:sz w:val="24"/>
              </w:rPr>
              <w:t>20年度）</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036"/>
        </w:trPr>
        <w:tc>
          <w:tcPr>
            <w:tcW w:w="533" w:type="dxa"/>
            <w:vMerge w:val="restart"/>
            <w:noWrap/>
            <w:vAlign w:val="center"/>
          </w:tcPr>
          <w:p w:rsidR="00264CA1" w:rsidRDefault="004D5D94">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1168" w:type="dxa"/>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单位名称（盖章）</w:t>
            </w:r>
          </w:p>
        </w:tc>
        <w:tc>
          <w:tcPr>
            <w:tcW w:w="7299" w:type="dxa"/>
            <w:gridSpan w:val="9"/>
            <w:noWrap/>
          </w:tcPr>
          <w:p w:rsidR="00264CA1" w:rsidRDefault="004D5D94">
            <w:pPr>
              <w:spacing w:line="540" w:lineRule="exact"/>
              <w:jc w:val="left"/>
              <w:rPr>
                <w:rFonts w:ascii="楷体" w:eastAsia="楷体" w:hAnsi="楷体" w:cs="楷体"/>
                <w:szCs w:val="21"/>
              </w:rPr>
            </w:pPr>
            <w:r>
              <w:rPr>
                <w:rFonts w:ascii="楷体" w:eastAsia="楷体" w:hAnsi="楷体" w:cs="楷体" w:hint="eastAsia"/>
                <w:szCs w:val="21"/>
              </w:rPr>
              <w:t>隆回县应急管理局</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466"/>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编制人数</w:t>
            </w:r>
          </w:p>
        </w:tc>
        <w:tc>
          <w:tcPr>
            <w:tcW w:w="2977" w:type="dxa"/>
            <w:gridSpan w:val="2"/>
            <w:noWrap/>
          </w:tcPr>
          <w:p w:rsidR="00264CA1" w:rsidRDefault="004D5D94">
            <w:pPr>
              <w:spacing w:line="540" w:lineRule="exact"/>
              <w:ind w:firstLineChars="50" w:firstLine="105"/>
              <w:jc w:val="left"/>
              <w:rPr>
                <w:rFonts w:ascii="楷体" w:eastAsia="楷体" w:hAnsi="楷体" w:cs="楷体"/>
                <w:szCs w:val="21"/>
              </w:rPr>
            </w:pPr>
            <w:r>
              <w:rPr>
                <w:rFonts w:ascii="楷体" w:eastAsia="楷体" w:hAnsi="楷体" w:cs="楷体" w:hint="eastAsia"/>
                <w:szCs w:val="21"/>
              </w:rPr>
              <w:t>45</w:t>
            </w:r>
          </w:p>
        </w:tc>
        <w:tc>
          <w:tcPr>
            <w:tcW w:w="1559" w:type="dxa"/>
            <w:gridSpan w:val="2"/>
            <w:noWrap/>
            <w:vAlign w:val="center"/>
          </w:tcPr>
          <w:p w:rsidR="00264CA1" w:rsidRDefault="004D5D94">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2763" w:type="dxa"/>
            <w:gridSpan w:val="5"/>
            <w:noWrap/>
          </w:tcPr>
          <w:p w:rsidR="00264CA1" w:rsidRDefault="004D5D94">
            <w:pPr>
              <w:spacing w:line="540" w:lineRule="exact"/>
              <w:ind w:firstLineChars="50" w:firstLine="105"/>
              <w:jc w:val="left"/>
              <w:rPr>
                <w:rFonts w:ascii="楷体" w:eastAsia="楷体" w:hAnsi="楷体" w:cs="楷体"/>
                <w:szCs w:val="21"/>
              </w:rPr>
            </w:pPr>
            <w:r>
              <w:rPr>
                <w:rFonts w:ascii="楷体" w:eastAsia="楷体" w:hAnsi="楷体" w:cs="楷体" w:hint="eastAsia"/>
                <w:szCs w:val="21"/>
              </w:rPr>
              <w:t>79</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487"/>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部门职能概述</w:t>
            </w:r>
          </w:p>
        </w:tc>
        <w:tc>
          <w:tcPr>
            <w:tcW w:w="7299" w:type="dxa"/>
            <w:gridSpan w:val="9"/>
            <w:noWrap/>
          </w:tcPr>
          <w:p w:rsidR="00264CA1" w:rsidRDefault="004D5D94">
            <w:pPr>
              <w:spacing w:line="340" w:lineRule="exact"/>
              <w:jc w:val="left"/>
              <w:rPr>
                <w:rFonts w:ascii="楷体" w:eastAsia="楷体" w:hAnsi="楷体" w:cs="楷体"/>
                <w:szCs w:val="21"/>
              </w:rPr>
            </w:pPr>
            <w:r>
              <w:rPr>
                <w:rFonts w:ascii="仿宋_GB2312" w:eastAsia="仿宋_GB2312" w:hAnsi="仿宋_GB2312" w:cs="仿宋_GB2312" w:hint="eastAsia"/>
                <w:szCs w:val="21"/>
                <w:lang w:val="zh-CN"/>
              </w:rPr>
              <w:t>负责应急管理工作，指导全县各乡镇（街道）各部门应对安全生产类、自然灾害类等突发事件和综合防灾减灾救灾工作。负责安全生产综合监督管理和工矿商贸行业（含煤矿）安全生产监督管理工作。贯彻实施相关法律法规、部门规章、规程和标准，组织编制全县应急体系建设、安全生产和综合防灾减灾规划，组织起草相关规范性文件，组织拟订相关政策和规划并监督实施。指导应急预案体系建设，建立完善事故灾难和自然灾害分级应对制度实施细则（办法），组织编制全县总体应急预案和安全生产类、自然灾害类专项预案，综合协调应急预案衔接工作，组织开展预案演练，推动应急避难设施建设。</w:t>
            </w:r>
            <w:r>
              <w:rPr>
                <w:rFonts w:ascii="仿宋_GB2312" w:eastAsia="仿宋_GB2312" w:hAnsi="仿宋_GB2312" w:cs="仿宋_GB2312" w:hint="eastAsia"/>
                <w:szCs w:val="21"/>
                <w:lang w:val="zh-CN"/>
              </w:rPr>
              <w:tab/>
              <w:t>牵头推进全县统一的应急管理信息系统建设，负责信息传输渠道的规划和布局，建立监测预警和灾情报告制度，健全自然灾害信息资源获取和共享机制，依法统一发布灾情。</w:t>
            </w:r>
            <w:r>
              <w:rPr>
                <w:rFonts w:ascii="仿宋_GB2312" w:eastAsia="仿宋_GB2312" w:hAnsi="仿宋_GB2312" w:cs="仿宋_GB2312" w:hint="eastAsia"/>
                <w:szCs w:val="21"/>
                <w:lang w:val="zh-CN"/>
              </w:rPr>
              <w:tab/>
              <w:t>组织指导协调安全生产类、自然灾害类等突发事件应急救援，承担县应对重大灾害指挥部工作，综合研判突发事件发展态势并提出应对建议，协助县委、县政府指定的负责同志组织较大及以上灾害应急处置工作。</w:t>
            </w:r>
            <w:r>
              <w:rPr>
                <w:rFonts w:ascii="仿宋_GB2312" w:eastAsia="仿宋_GB2312" w:hAnsi="仿宋_GB2312" w:cs="仿宋_GB2312" w:hint="eastAsia"/>
                <w:szCs w:val="21"/>
                <w:lang w:val="zh-CN"/>
              </w:rPr>
              <w:tab/>
              <w:t>统一协调指挥各类应急专业队伍，建立应急协调联动机制，推进指挥平台对接，负责做好解放军和武警部队参与应急救援相关衔接工作。统筹全县应急救援力量建设等。</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72"/>
        </w:trPr>
        <w:tc>
          <w:tcPr>
            <w:tcW w:w="533" w:type="dxa"/>
            <w:vMerge/>
            <w:noWrap/>
            <w:vAlign w:val="center"/>
          </w:tcPr>
          <w:p w:rsidR="00264CA1" w:rsidRDefault="00264CA1">
            <w:pPr>
              <w:widowControl/>
              <w:jc w:val="left"/>
              <w:rPr>
                <w:rFonts w:ascii="楷体" w:eastAsia="楷体" w:hAnsi="楷体" w:cs="楷体"/>
                <w:szCs w:val="21"/>
              </w:rPr>
            </w:pPr>
          </w:p>
        </w:tc>
        <w:tc>
          <w:tcPr>
            <w:tcW w:w="1168" w:type="dxa"/>
            <w:vMerge w:val="restart"/>
            <w:noWrap/>
            <w:vAlign w:val="center"/>
          </w:tcPr>
          <w:p w:rsidR="00264CA1" w:rsidRDefault="004D5D94">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2372" w:type="dxa"/>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县财政预算安排</w:t>
            </w:r>
          </w:p>
        </w:tc>
        <w:tc>
          <w:tcPr>
            <w:tcW w:w="1172" w:type="dxa"/>
            <w:gridSpan w:val="2"/>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1079.22</w:t>
            </w:r>
          </w:p>
        </w:tc>
        <w:tc>
          <w:tcPr>
            <w:tcW w:w="1552" w:type="dxa"/>
            <w:gridSpan w:val="2"/>
            <w:noWrap/>
            <w:vAlign w:val="center"/>
          </w:tcPr>
          <w:p w:rsidR="00264CA1" w:rsidRDefault="004D5D94">
            <w:pPr>
              <w:spacing w:line="560" w:lineRule="exact"/>
              <w:jc w:val="center"/>
              <w:rPr>
                <w:rFonts w:ascii="楷体" w:eastAsia="楷体" w:hAnsi="楷体" w:cs="楷体"/>
                <w:szCs w:val="21"/>
              </w:rPr>
            </w:pPr>
            <w:r>
              <w:rPr>
                <w:rFonts w:ascii="楷体" w:eastAsia="楷体" w:hAnsi="楷体" w:cs="楷体" w:hint="eastAsia"/>
                <w:szCs w:val="21"/>
              </w:rPr>
              <w:t>非税收入</w:t>
            </w:r>
          </w:p>
        </w:tc>
        <w:tc>
          <w:tcPr>
            <w:tcW w:w="1000" w:type="dxa"/>
            <w:gridSpan w:val="2"/>
            <w:noWrap/>
          </w:tcPr>
          <w:p w:rsidR="00264CA1" w:rsidRDefault="004D5D94">
            <w:pPr>
              <w:spacing w:line="560" w:lineRule="exact"/>
              <w:jc w:val="left"/>
              <w:rPr>
                <w:rFonts w:ascii="楷体" w:eastAsia="楷体" w:hAnsi="楷体" w:cs="楷体"/>
                <w:szCs w:val="21"/>
              </w:rPr>
            </w:pPr>
            <w:r>
              <w:rPr>
                <w:rFonts w:ascii="楷体" w:eastAsia="楷体" w:hAnsi="楷体" w:cs="楷体" w:hint="eastAsia"/>
                <w:szCs w:val="21"/>
              </w:rPr>
              <w:t>73.96</w:t>
            </w:r>
          </w:p>
        </w:tc>
        <w:tc>
          <w:tcPr>
            <w:tcW w:w="425" w:type="dxa"/>
            <w:vMerge w:val="restart"/>
            <w:noWrap/>
            <w:vAlign w:val="center"/>
          </w:tcPr>
          <w:p w:rsidR="00264CA1" w:rsidRDefault="004D5D94">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778" w:type="dxa"/>
            <w:vMerge w:val="restart"/>
            <w:noWrap/>
          </w:tcPr>
          <w:p w:rsidR="00264CA1" w:rsidRDefault="004D5D94">
            <w:pPr>
              <w:spacing w:line="560" w:lineRule="exact"/>
              <w:jc w:val="left"/>
              <w:rPr>
                <w:rFonts w:ascii="楷体" w:eastAsia="楷体" w:hAnsi="楷体" w:cs="楷体"/>
                <w:szCs w:val="21"/>
              </w:rPr>
            </w:pPr>
            <w:r>
              <w:rPr>
                <w:rFonts w:ascii="楷体" w:eastAsia="楷体" w:hAnsi="楷体" w:cs="楷体" w:hint="eastAsia"/>
                <w:szCs w:val="21"/>
              </w:rPr>
              <w:t>1153.18</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55"/>
        </w:trPr>
        <w:tc>
          <w:tcPr>
            <w:tcW w:w="533" w:type="dxa"/>
            <w:vMerge/>
            <w:noWrap/>
            <w:vAlign w:val="center"/>
          </w:tcPr>
          <w:p w:rsidR="00264CA1" w:rsidRDefault="00264CA1">
            <w:pPr>
              <w:widowControl/>
              <w:jc w:val="left"/>
              <w:rPr>
                <w:rFonts w:ascii="楷体" w:eastAsia="楷体" w:hAnsi="楷体" w:cs="楷体"/>
                <w:szCs w:val="21"/>
              </w:rPr>
            </w:pPr>
          </w:p>
        </w:tc>
        <w:tc>
          <w:tcPr>
            <w:tcW w:w="1168" w:type="dxa"/>
            <w:vMerge/>
            <w:noWrap/>
            <w:vAlign w:val="center"/>
          </w:tcPr>
          <w:p w:rsidR="00264CA1" w:rsidRDefault="00264CA1">
            <w:pPr>
              <w:spacing w:line="240" w:lineRule="atLeast"/>
              <w:jc w:val="center"/>
              <w:rPr>
                <w:rFonts w:ascii="楷体" w:eastAsia="楷体" w:hAnsi="楷体" w:cs="楷体"/>
                <w:szCs w:val="21"/>
              </w:rPr>
            </w:pPr>
          </w:p>
        </w:tc>
        <w:tc>
          <w:tcPr>
            <w:tcW w:w="2372" w:type="dxa"/>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中央省市安排资金</w:t>
            </w:r>
          </w:p>
        </w:tc>
        <w:tc>
          <w:tcPr>
            <w:tcW w:w="1172" w:type="dxa"/>
            <w:gridSpan w:val="2"/>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0</w:t>
            </w:r>
          </w:p>
        </w:tc>
        <w:tc>
          <w:tcPr>
            <w:tcW w:w="1552" w:type="dxa"/>
            <w:gridSpan w:val="2"/>
            <w:noWrap/>
            <w:vAlign w:val="center"/>
          </w:tcPr>
          <w:p w:rsidR="00264CA1" w:rsidRDefault="004D5D94">
            <w:pPr>
              <w:spacing w:line="560" w:lineRule="exact"/>
              <w:ind w:firstLineChars="150" w:firstLine="315"/>
              <w:rPr>
                <w:rFonts w:ascii="楷体" w:eastAsia="楷体" w:hAnsi="楷体" w:cs="楷体"/>
                <w:szCs w:val="21"/>
              </w:rPr>
            </w:pPr>
            <w:r>
              <w:rPr>
                <w:rFonts w:ascii="楷体" w:eastAsia="楷体" w:hAnsi="楷体" w:cs="楷体" w:hint="eastAsia"/>
                <w:szCs w:val="21"/>
              </w:rPr>
              <w:t>其他收入</w:t>
            </w:r>
          </w:p>
        </w:tc>
        <w:tc>
          <w:tcPr>
            <w:tcW w:w="1000" w:type="dxa"/>
            <w:gridSpan w:val="2"/>
            <w:noWrap/>
          </w:tcPr>
          <w:p w:rsidR="00264CA1" w:rsidRDefault="004D5D94">
            <w:pPr>
              <w:spacing w:line="560" w:lineRule="exact"/>
              <w:jc w:val="left"/>
              <w:rPr>
                <w:rFonts w:ascii="楷体" w:eastAsia="楷体" w:hAnsi="楷体" w:cs="楷体"/>
                <w:szCs w:val="21"/>
              </w:rPr>
            </w:pPr>
            <w:r>
              <w:rPr>
                <w:rFonts w:ascii="楷体" w:eastAsia="楷体" w:hAnsi="楷体" w:cs="楷体" w:hint="eastAsia"/>
                <w:szCs w:val="21"/>
              </w:rPr>
              <w:t>0</w:t>
            </w:r>
          </w:p>
        </w:tc>
        <w:tc>
          <w:tcPr>
            <w:tcW w:w="425" w:type="dxa"/>
            <w:vMerge/>
            <w:noWrap/>
            <w:vAlign w:val="center"/>
          </w:tcPr>
          <w:p w:rsidR="00264CA1" w:rsidRDefault="00264CA1">
            <w:pPr>
              <w:spacing w:line="560" w:lineRule="exact"/>
              <w:jc w:val="center"/>
              <w:rPr>
                <w:rFonts w:ascii="楷体" w:eastAsia="楷体" w:hAnsi="楷体" w:cs="楷体"/>
                <w:szCs w:val="21"/>
              </w:rPr>
            </w:pPr>
          </w:p>
        </w:tc>
        <w:tc>
          <w:tcPr>
            <w:tcW w:w="778" w:type="dxa"/>
            <w:vMerge/>
            <w:noWrap/>
          </w:tcPr>
          <w:p w:rsidR="00264CA1" w:rsidRDefault="00264CA1">
            <w:pPr>
              <w:spacing w:line="560" w:lineRule="exact"/>
              <w:jc w:val="left"/>
              <w:rPr>
                <w:rFonts w:ascii="楷体" w:eastAsia="楷体" w:hAnsi="楷体" w:cs="楷体"/>
                <w:szCs w:val="21"/>
              </w:rPr>
            </w:pP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0"/>
        </w:trPr>
        <w:tc>
          <w:tcPr>
            <w:tcW w:w="533" w:type="dxa"/>
            <w:vMerge/>
            <w:noWrap/>
            <w:vAlign w:val="center"/>
          </w:tcPr>
          <w:p w:rsidR="00264CA1" w:rsidRDefault="00264CA1">
            <w:pPr>
              <w:widowControl/>
              <w:jc w:val="left"/>
              <w:rPr>
                <w:rFonts w:ascii="楷体" w:eastAsia="楷体" w:hAnsi="楷体" w:cs="楷体"/>
                <w:szCs w:val="21"/>
              </w:rPr>
            </w:pPr>
          </w:p>
        </w:tc>
        <w:tc>
          <w:tcPr>
            <w:tcW w:w="1168" w:type="dxa"/>
            <w:vMerge w:val="restart"/>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年度支出</w:t>
            </w:r>
          </w:p>
          <w:p w:rsidR="00264CA1" w:rsidRDefault="004D5D94">
            <w:pPr>
              <w:jc w:val="center"/>
              <w:rPr>
                <w:rFonts w:ascii="楷体" w:eastAsia="楷体" w:hAnsi="楷体" w:cs="楷体"/>
                <w:szCs w:val="21"/>
              </w:rPr>
            </w:pPr>
            <w:r>
              <w:rPr>
                <w:rFonts w:ascii="楷体" w:eastAsia="楷体" w:hAnsi="楷体" w:cs="楷体" w:hint="eastAsia"/>
                <w:szCs w:val="21"/>
              </w:rPr>
              <w:t>（万元）</w:t>
            </w:r>
          </w:p>
        </w:tc>
        <w:tc>
          <w:tcPr>
            <w:tcW w:w="2372" w:type="dxa"/>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基本支出</w:t>
            </w:r>
          </w:p>
        </w:tc>
        <w:tc>
          <w:tcPr>
            <w:tcW w:w="1172" w:type="dxa"/>
            <w:gridSpan w:val="2"/>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856.22</w:t>
            </w:r>
          </w:p>
        </w:tc>
        <w:tc>
          <w:tcPr>
            <w:tcW w:w="1559" w:type="dxa"/>
            <w:gridSpan w:val="3"/>
            <w:vMerge w:val="restart"/>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项目支出</w:t>
            </w:r>
          </w:p>
        </w:tc>
        <w:tc>
          <w:tcPr>
            <w:tcW w:w="993" w:type="dxa"/>
            <w:vMerge w:val="restart"/>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318.75</w:t>
            </w:r>
          </w:p>
        </w:tc>
        <w:tc>
          <w:tcPr>
            <w:tcW w:w="425" w:type="dxa"/>
            <w:vMerge w:val="restart"/>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合计</w:t>
            </w:r>
          </w:p>
        </w:tc>
        <w:tc>
          <w:tcPr>
            <w:tcW w:w="778" w:type="dxa"/>
            <w:vMerge w:val="restart"/>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1174.97</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708"/>
        </w:trPr>
        <w:tc>
          <w:tcPr>
            <w:tcW w:w="533" w:type="dxa"/>
            <w:vMerge/>
            <w:noWrap/>
            <w:vAlign w:val="center"/>
          </w:tcPr>
          <w:p w:rsidR="00264CA1" w:rsidRDefault="00264CA1">
            <w:pPr>
              <w:widowControl/>
              <w:jc w:val="left"/>
              <w:rPr>
                <w:rFonts w:ascii="楷体" w:eastAsia="楷体" w:hAnsi="楷体" w:cs="楷体"/>
                <w:szCs w:val="21"/>
              </w:rPr>
            </w:pPr>
          </w:p>
        </w:tc>
        <w:tc>
          <w:tcPr>
            <w:tcW w:w="1168" w:type="dxa"/>
            <w:vMerge/>
            <w:noWrap/>
            <w:vAlign w:val="center"/>
          </w:tcPr>
          <w:p w:rsidR="00264CA1" w:rsidRDefault="00264CA1">
            <w:pPr>
              <w:jc w:val="center"/>
              <w:rPr>
                <w:rFonts w:ascii="楷体" w:eastAsia="楷体" w:hAnsi="楷体" w:cs="楷体"/>
                <w:szCs w:val="21"/>
              </w:rPr>
            </w:pPr>
          </w:p>
        </w:tc>
        <w:tc>
          <w:tcPr>
            <w:tcW w:w="2372" w:type="dxa"/>
            <w:noWrap/>
            <w:tcMar>
              <w:left w:w="0" w:type="dxa"/>
              <w:right w:w="0" w:type="dxa"/>
            </w:tcMar>
            <w:vAlign w:val="center"/>
          </w:tcPr>
          <w:p w:rsidR="00264CA1" w:rsidRDefault="004D5D94">
            <w:pPr>
              <w:jc w:val="center"/>
              <w:rPr>
                <w:rFonts w:ascii="楷体" w:eastAsia="楷体" w:hAnsi="楷体" w:cs="楷体"/>
                <w:szCs w:val="21"/>
              </w:rPr>
            </w:pPr>
            <w:r>
              <w:rPr>
                <w:rFonts w:ascii="楷体" w:eastAsia="楷体" w:hAnsi="楷体" w:cs="楷体" w:hint="eastAsia"/>
                <w:szCs w:val="21"/>
              </w:rPr>
              <w:t>其中三公经费支出</w:t>
            </w:r>
          </w:p>
        </w:tc>
        <w:tc>
          <w:tcPr>
            <w:tcW w:w="1172" w:type="dxa"/>
            <w:gridSpan w:val="2"/>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6.36</w:t>
            </w:r>
          </w:p>
        </w:tc>
        <w:tc>
          <w:tcPr>
            <w:tcW w:w="1559" w:type="dxa"/>
            <w:gridSpan w:val="3"/>
            <w:vMerge/>
            <w:noWrap/>
          </w:tcPr>
          <w:p w:rsidR="00264CA1" w:rsidRDefault="00264CA1">
            <w:pPr>
              <w:jc w:val="center"/>
              <w:rPr>
                <w:rFonts w:ascii="楷体" w:eastAsia="楷体" w:hAnsi="楷体" w:cs="楷体"/>
                <w:szCs w:val="21"/>
              </w:rPr>
            </w:pPr>
          </w:p>
        </w:tc>
        <w:tc>
          <w:tcPr>
            <w:tcW w:w="993" w:type="dxa"/>
            <w:vMerge/>
            <w:noWrap/>
          </w:tcPr>
          <w:p w:rsidR="00264CA1" w:rsidRDefault="00264CA1">
            <w:pPr>
              <w:jc w:val="center"/>
              <w:rPr>
                <w:rFonts w:ascii="楷体" w:eastAsia="楷体" w:hAnsi="楷体" w:cs="楷体"/>
                <w:szCs w:val="21"/>
              </w:rPr>
            </w:pPr>
          </w:p>
        </w:tc>
        <w:tc>
          <w:tcPr>
            <w:tcW w:w="425" w:type="dxa"/>
            <w:vMerge/>
            <w:noWrap/>
            <w:vAlign w:val="center"/>
          </w:tcPr>
          <w:p w:rsidR="00264CA1" w:rsidRDefault="00264CA1">
            <w:pPr>
              <w:jc w:val="center"/>
              <w:rPr>
                <w:rFonts w:ascii="楷体" w:eastAsia="楷体" w:hAnsi="楷体" w:cs="楷体"/>
                <w:szCs w:val="21"/>
              </w:rPr>
            </w:pPr>
          </w:p>
        </w:tc>
        <w:tc>
          <w:tcPr>
            <w:tcW w:w="778" w:type="dxa"/>
            <w:vMerge/>
            <w:noWrap/>
            <w:vAlign w:val="center"/>
          </w:tcPr>
          <w:p w:rsidR="00264CA1" w:rsidRDefault="00264CA1">
            <w:pPr>
              <w:jc w:val="center"/>
              <w:rPr>
                <w:rFonts w:ascii="楷体" w:eastAsia="楷体" w:hAnsi="楷体" w:cs="楷体"/>
                <w:szCs w:val="21"/>
              </w:rPr>
            </w:pP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89"/>
        </w:trPr>
        <w:tc>
          <w:tcPr>
            <w:tcW w:w="533" w:type="dxa"/>
            <w:vMerge w:val="restart"/>
            <w:noWrap/>
            <w:vAlign w:val="center"/>
          </w:tcPr>
          <w:p w:rsidR="00264CA1" w:rsidRDefault="004D5D94">
            <w:pPr>
              <w:spacing w:line="560" w:lineRule="exact"/>
              <w:jc w:val="center"/>
              <w:rPr>
                <w:rFonts w:ascii="楷体" w:eastAsia="楷体" w:hAnsi="楷体" w:cs="楷体"/>
                <w:szCs w:val="21"/>
              </w:rPr>
            </w:pPr>
            <w:r>
              <w:rPr>
                <w:rFonts w:ascii="楷体" w:eastAsia="楷体" w:hAnsi="楷体" w:cs="楷体" w:hint="eastAsia"/>
                <w:szCs w:val="21"/>
              </w:rPr>
              <w:t>实施情</w:t>
            </w:r>
            <w:r>
              <w:rPr>
                <w:rFonts w:ascii="楷体" w:eastAsia="楷体" w:hAnsi="楷体" w:cs="楷体" w:hint="eastAsia"/>
                <w:szCs w:val="21"/>
              </w:rPr>
              <w:lastRenderedPageBreak/>
              <w:t>况</w:t>
            </w:r>
          </w:p>
        </w:tc>
        <w:tc>
          <w:tcPr>
            <w:tcW w:w="1168" w:type="dxa"/>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lastRenderedPageBreak/>
              <w:t>财政供养人员控制情况</w:t>
            </w:r>
          </w:p>
        </w:tc>
        <w:tc>
          <w:tcPr>
            <w:tcW w:w="7299" w:type="dxa"/>
            <w:gridSpan w:val="9"/>
            <w:noWrap/>
            <w:vAlign w:val="center"/>
          </w:tcPr>
          <w:p w:rsidR="00264CA1" w:rsidRDefault="004D5D94">
            <w:pPr>
              <w:rPr>
                <w:rFonts w:ascii="楷体" w:eastAsia="楷体" w:hAnsi="楷体" w:cs="楷体"/>
                <w:szCs w:val="21"/>
              </w:rPr>
            </w:pPr>
            <w:r>
              <w:rPr>
                <w:rFonts w:ascii="楷体" w:eastAsia="楷体" w:hAnsi="楷体" w:cs="楷体" w:hint="eastAsia"/>
                <w:szCs w:val="21"/>
              </w:rPr>
              <w:t>是否存在超编超配人员：是□否</w:t>
            </w:r>
            <w:r>
              <w:rPr>
                <w:rFonts w:ascii="楷体" w:eastAsia="楷体" w:hAnsi="楷体" w:cs="楷体" w:hint="eastAsia"/>
                <w:szCs w:val="21"/>
              </w:rPr>
              <w:sym w:font="Wingdings 2" w:char="0052"/>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437"/>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spacing w:line="240" w:lineRule="atLeast"/>
              <w:jc w:val="center"/>
              <w:rPr>
                <w:rFonts w:ascii="楷体" w:eastAsia="楷体" w:hAnsi="楷体" w:cs="楷体"/>
                <w:szCs w:val="21"/>
              </w:rPr>
            </w:pPr>
            <w:r>
              <w:rPr>
                <w:rFonts w:ascii="楷体" w:eastAsia="楷体" w:hAnsi="楷体" w:cs="楷体" w:hint="eastAsia"/>
                <w:szCs w:val="21"/>
              </w:rPr>
              <w:t>三公经费管理情况</w:t>
            </w:r>
          </w:p>
        </w:tc>
        <w:tc>
          <w:tcPr>
            <w:tcW w:w="7299" w:type="dxa"/>
            <w:gridSpan w:val="9"/>
            <w:noWrap/>
            <w:vAlign w:val="center"/>
          </w:tcPr>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是否制定“三公”经费管理办法：是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招待费用是否明确招待标准和招待人数：是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Pr>
                <w:rFonts w:ascii="楷体" w:eastAsia="楷体" w:hAnsi="楷体" w:cs="楷体" w:hint="eastAsia"/>
                <w:szCs w:val="21"/>
              </w:rPr>
              <w:t>是□否</w:t>
            </w:r>
            <w:r>
              <w:rPr>
                <w:rFonts w:ascii="楷体" w:eastAsia="楷体" w:hAnsi="楷体" w:cs="楷体" w:hint="eastAsia"/>
                <w:szCs w:val="21"/>
              </w:rPr>
              <w:sym w:font="Wingdings 2" w:char="0052"/>
            </w:r>
          </w:p>
          <w:p w:rsidR="00264CA1" w:rsidRDefault="004D5D94" w:rsidP="00E51648">
            <w:pPr>
              <w:spacing w:line="300" w:lineRule="exact"/>
              <w:jc w:val="left"/>
              <w:rPr>
                <w:rFonts w:ascii="楷体" w:eastAsia="楷体" w:hAnsi="楷体" w:cs="楷体"/>
                <w:szCs w:val="21"/>
              </w:rPr>
            </w:pPr>
            <w:r>
              <w:rPr>
                <w:rFonts w:ascii="楷体" w:eastAsia="楷体" w:hAnsi="楷体" w:cs="楷体" w:hint="eastAsia"/>
                <w:szCs w:val="21"/>
              </w:rPr>
              <w:t>三公经费是否比年度下降：是□否</w:t>
            </w:r>
            <w:r>
              <w:rPr>
                <w:rFonts w:ascii="楷体" w:eastAsia="楷体" w:hAnsi="楷体" w:cs="楷体" w:hint="eastAsia"/>
                <w:szCs w:val="21"/>
              </w:rPr>
              <w:sym w:font="Wingdings 2" w:char="0052"/>
            </w: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294"/>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rsidP="00E51648">
            <w:pPr>
              <w:spacing w:line="300" w:lineRule="exact"/>
              <w:jc w:val="center"/>
              <w:rPr>
                <w:rFonts w:ascii="楷体" w:eastAsia="楷体" w:hAnsi="楷体" w:cs="楷体"/>
                <w:szCs w:val="21"/>
              </w:rPr>
            </w:pPr>
            <w:r>
              <w:rPr>
                <w:rFonts w:ascii="楷体" w:eastAsia="楷体" w:hAnsi="楷体" w:cs="楷体" w:hint="eastAsia"/>
                <w:szCs w:val="21"/>
              </w:rPr>
              <w:t>非税收入完成情况</w:t>
            </w:r>
          </w:p>
        </w:tc>
        <w:tc>
          <w:tcPr>
            <w:tcW w:w="7299" w:type="dxa"/>
            <w:gridSpan w:val="9"/>
            <w:noWrap/>
            <w:vAlign w:val="center"/>
          </w:tcPr>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年度非税收入是否完成</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是否实行收支两条线管理：是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有□无</w:t>
            </w:r>
            <w:r>
              <w:rPr>
                <w:rFonts w:ascii="楷体" w:eastAsia="楷体" w:hAnsi="楷体" w:cs="楷体" w:hint="eastAsia"/>
                <w:szCs w:val="21"/>
              </w:rPr>
              <w:sym w:font="Wingdings 2" w:char="0052"/>
            </w: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155"/>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7299" w:type="dxa"/>
            <w:gridSpan w:val="9"/>
            <w:noWrap/>
            <w:vAlign w:val="center"/>
          </w:tcPr>
          <w:p w:rsidR="00264CA1" w:rsidRDefault="004D5D94">
            <w:pPr>
              <w:spacing w:line="360" w:lineRule="exact"/>
              <w:rPr>
                <w:rFonts w:ascii="楷体" w:eastAsia="楷体" w:hAnsi="楷体" w:cs="楷体"/>
                <w:szCs w:val="21"/>
              </w:rPr>
            </w:pPr>
            <w:r>
              <w:rPr>
                <w:rFonts w:ascii="楷体" w:eastAsia="楷体" w:hAnsi="楷体" w:cs="楷体" w:hint="eastAsia"/>
                <w:szCs w:val="21"/>
              </w:rPr>
              <w:t>年度是否制定了政府采购计划：是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pPr>
              <w:spacing w:line="360" w:lineRule="exact"/>
              <w:rPr>
                <w:rFonts w:ascii="楷体" w:eastAsia="楷体" w:hAnsi="楷体" w:cs="楷体"/>
                <w:szCs w:val="21"/>
              </w:rPr>
            </w:pPr>
            <w:r>
              <w:rPr>
                <w:rFonts w:ascii="楷体" w:eastAsia="楷体" w:hAnsi="楷体" w:cs="楷体" w:hint="eastAsia"/>
                <w:szCs w:val="21"/>
              </w:rPr>
              <w:t>应采购金额0万元，实际采购金额0万元</w:t>
            </w: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902"/>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7299" w:type="dxa"/>
            <w:gridSpan w:val="9"/>
            <w:noWrap/>
            <w:vAlign w:val="center"/>
          </w:tcPr>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Pr>
                <w:rFonts w:ascii="楷体" w:eastAsia="楷体" w:hAnsi="楷体" w:cs="楷体" w:hint="eastAsia"/>
                <w:szCs w:val="21"/>
              </w:rPr>
              <w:t>是□否</w:t>
            </w:r>
            <w:r>
              <w:rPr>
                <w:rFonts w:ascii="楷体" w:eastAsia="楷体" w:hAnsi="楷体" w:cs="楷体" w:hint="eastAsia"/>
                <w:szCs w:val="21"/>
              </w:rPr>
              <w:sym w:font="Wingdings 2" w:char="0052"/>
            </w:r>
            <w:r>
              <w:rPr>
                <w:rFonts w:ascii="楷体" w:eastAsia="楷体" w:hAnsi="楷体" w:cs="楷体"/>
                <w:szCs w:val="21"/>
              </w:rPr>
              <w:t xml:space="preserve">, </w:t>
            </w:r>
            <w:r>
              <w:rPr>
                <w:rFonts w:ascii="楷体" w:eastAsia="楷体" w:hAnsi="楷体" w:cs="楷体" w:hint="eastAsia"/>
                <w:szCs w:val="21"/>
              </w:rPr>
              <w:t>追加金额万元</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r>
              <w:rPr>
                <w:rFonts w:ascii="楷体" w:eastAsia="楷体" w:hAnsi="楷体" w:cs="楷体"/>
                <w:szCs w:val="21"/>
              </w:rPr>
              <w:t>,</w:t>
            </w:r>
            <w:r>
              <w:rPr>
                <w:rFonts w:ascii="楷体" w:eastAsia="楷体" w:hAnsi="楷体" w:cs="楷体" w:hint="eastAsia"/>
                <w:szCs w:val="21"/>
              </w:rPr>
              <w:t>结余金额1726.87万元</w:t>
            </w:r>
          </w:p>
          <w:p w:rsidR="00264CA1" w:rsidRDefault="004D5D94" w:rsidP="00E51648">
            <w:pPr>
              <w:spacing w:line="300" w:lineRule="exact"/>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 xml:space="preserve">:  </w:t>
            </w:r>
            <w:r>
              <w:rPr>
                <w:rFonts w:ascii="楷体" w:eastAsia="楷体" w:hAnsi="楷体" w:cs="楷体" w:hint="eastAsia"/>
                <w:szCs w:val="21"/>
              </w:rPr>
              <w:t>年月日</w:t>
            </w:r>
          </w:p>
          <w:p w:rsidR="00264CA1" w:rsidRDefault="004D5D94" w:rsidP="00E51648">
            <w:pPr>
              <w:spacing w:line="300" w:lineRule="exact"/>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Pr>
                <w:rFonts w:ascii="楷体" w:eastAsia="楷体" w:hAnsi="楷体" w:cs="楷体" w:hint="eastAsia"/>
                <w:szCs w:val="21"/>
              </w:rPr>
              <w:t>门户网站</w:t>
            </w:r>
            <w:r>
              <w:rPr>
                <w:rFonts w:ascii="楷体" w:eastAsia="楷体" w:hAnsi="楷体" w:cs="楷体" w:hint="eastAsia"/>
                <w:szCs w:val="21"/>
              </w:rPr>
              <w:sym w:font="Wingdings 2" w:char="0052"/>
            </w:r>
            <w:r>
              <w:rPr>
                <w:rFonts w:ascii="楷体" w:eastAsia="楷体" w:hAnsi="楷体" w:cs="楷体" w:hint="eastAsia"/>
                <w:szCs w:val="21"/>
              </w:rPr>
              <w:t>单位内部□其它□</w:t>
            </w: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419"/>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spacing w:line="240" w:lineRule="atLeast"/>
              <w:rPr>
                <w:rFonts w:ascii="楷体" w:eastAsia="楷体" w:hAnsi="楷体" w:cs="楷体"/>
                <w:szCs w:val="21"/>
              </w:rPr>
            </w:pPr>
            <w:r>
              <w:rPr>
                <w:rFonts w:ascii="楷体" w:eastAsia="楷体" w:hAnsi="楷体" w:cs="楷体" w:hint="eastAsia"/>
                <w:szCs w:val="21"/>
              </w:rPr>
              <w:t>财务管理</w:t>
            </w:r>
          </w:p>
        </w:tc>
        <w:tc>
          <w:tcPr>
            <w:tcW w:w="7299" w:type="dxa"/>
            <w:gridSpan w:val="9"/>
            <w:noWrap/>
            <w:vAlign w:val="center"/>
          </w:tcPr>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264"/>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spacing w:line="400" w:lineRule="exact"/>
              <w:rPr>
                <w:rFonts w:ascii="楷体" w:eastAsia="楷体" w:hAnsi="楷体" w:cs="楷体"/>
                <w:szCs w:val="21"/>
              </w:rPr>
            </w:pPr>
            <w:r>
              <w:rPr>
                <w:rFonts w:ascii="楷体" w:eastAsia="楷体" w:hAnsi="楷体" w:cs="楷体" w:hint="eastAsia"/>
                <w:szCs w:val="21"/>
              </w:rPr>
              <w:t>资金管理</w:t>
            </w:r>
          </w:p>
        </w:tc>
        <w:tc>
          <w:tcPr>
            <w:tcW w:w="7299" w:type="dxa"/>
            <w:gridSpan w:val="9"/>
            <w:noWrap/>
            <w:vAlign w:val="center"/>
          </w:tcPr>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Pr>
                <w:rFonts w:ascii="楷体" w:eastAsia="楷体" w:hAnsi="楷体" w:cs="楷体" w:hint="eastAsia"/>
                <w:szCs w:val="21"/>
              </w:rPr>
              <w:t>有</w:t>
            </w:r>
            <w:r>
              <w:rPr>
                <w:rFonts w:ascii="楷体" w:eastAsia="楷体" w:hAnsi="楷体" w:cs="楷体" w:hint="eastAsia"/>
                <w:szCs w:val="21"/>
              </w:rPr>
              <w:sym w:font="Wingdings 2" w:char="0052"/>
            </w:r>
            <w:r>
              <w:rPr>
                <w:rFonts w:ascii="楷体" w:eastAsia="楷体" w:hAnsi="楷体" w:cs="楷体" w:hint="eastAsia"/>
                <w:szCs w:val="21"/>
              </w:rPr>
              <w:t>无□</w:t>
            </w:r>
          </w:p>
          <w:p w:rsidR="00264CA1" w:rsidRDefault="004D5D94" w:rsidP="00E51648">
            <w:pPr>
              <w:spacing w:line="300" w:lineRule="exact"/>
              <w:ind w:left="3885" w:hangingChars="1850" w:hanging="3885"/>
              <w:rPr>
                <w:rFonts w:ascii="楷体" w:eastAsia="楷体" w:hAnsi="楷体" w:cs="楷体"/>
                <w:szCs w:val="21"/>
              </w:rPr>
            </w:pPr>
            <w:r>
              <w:rPr>
                <w:rFonts w:ascii="楷体" w:eastAsia="楷体" w:hAnsi="楷体" w:cs="楷体" w:hint="eastAsia"/>
                <w:szCs w:val="21"/>
              </w:rPr>
              <w:t>资金使用是否存在违规使用资金、乱发津补贴奖金现象：是□否</w:t>
            </w:r>
            <w:r>
              <w:rPr>
                <w:rFonts w:ascii="楷体" w:eastAsia="楷体" w:hAnsi="楷体" w:cs="楷体" w:hint="eastAsia"/>
                <w:szCs w:val="21"/>
              </w:rPr>
              <w:sym w:font="Wingdings 2" w:char="0052"/>
            </w: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816"/>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7299" w:type="dxa"/>
            <w:gridSpan w:val="9"/>
            <w:noWrap/>
            <w:vAlign w:val="center"/>
          </w:tcPr>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资产是否产权清晰、两证齐全：是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4D5D94" w:rsidP="00E51648">
            <w:pPr>
              <w:spacing w:line="300" w:lineRule="exact"/>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1"/>
        </w:trPr>
        <w:tc>
          <w:tcPr>
            <w:tcW w:w="533" w:type="dxa"/>
            <w:vMerge/>
            <w:noWrap/>
            <w:vAlign w:val="center"/>
          </w:tcPr>
          <w:p w:rsidR="00264CA1" w:rsidRDefault="00264CA1">
            <w:pPr>
              <w:widowControl/>
              <w:jc w:val="left"/>
              <w:rPr>
                <w:rFonts w:ascii="楷体" w:eastAsia="楷体" w:hAnsi="楷体" w:cs="楷体"/>
                <w:szCs w:val="21"/>
              </w:rPr>
            </w:pPr>
          </w:p>
        </w:tc>
        <w:tc>
          <w:tcPr>
            <w:tcW w:w="1168" w:type="dxa"/>
            <w:noWrap/>
            <w:vAlign w:val="center"/>
          </w:tcPr>
          <w:p w:rsidR="00264CA1" w:rsidRDefault="004D5D94">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7299" w:type="dxa"/>
            <w:gridSpan w:val="9"/>
            <w:noWrap/>
          </w:tcPr>
          <w:p w:rsidR="00264CA1" w:rsidRDefault="004D5D94">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rPr>
              <w:sym w:font="Wingdings 2" w:char="0052"/>
            </w:r>
            <w:r>
              <w:rPr>
                <w:rFonts w:ascii="楷体" w:eastAsia="楷体" w:hAnsi="楷体" w:cs="楷体" w:hint="eastAsia"/>
                <w:szCs w:val="21"/>
              </w:rPr>
              <w:t>否□</w:t>
            </w:r>
          </w:p>
          <w:p w:rsidR="00264CA1" w:rsidRDefault="00264CA1">
            <w:pPr>
              <w:spacing w:line="560" w:lineRule="exact"/>
              <w:jc w:val="left"/>
              <w:rPr>
                <w:rFonts w:ascii="楷体" w:eastAsia="楷体" w:hAnsi="楷体" w:cs="楷体"/>
                <w:szCs w:val="21"/>
              </w:rPr>
            </w:pP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41"/>
        </w:trPr>
        <w:tc>
          <w:tcPr>
            <w:tcW w:w="533" w:type="dxa"/>
            <w:noWrap/>
            <w:vAlign w:val="center"/>
          </w:tcPr>
          <w:p w:rsidR="00264CA1" w:rsidRDefault="004D5D94">
            <w:pPr>
              <w:spacing w:line="320" w:lineRule="exact"/>
              <w:jc w:val="center"/>
              <w:rPr>
                <w:rFonts w:ascii="楷体" w:eastAsia="楷体" w:hAnsi="楷体" w:cs="楷体"/>
                <w:szCs w:val="21"/>
              </w:rPr>
            </w:pPr>
            <w:r>
              <w:rPr>
                <w:rFonts w:ascii="楷体" w:eastAsia="楷体" w:hAnsi="楷体" w:cs="楷体" w:hint="eastAsia"/>
                <w:szCs w:val="21"/>
              </w:rPr>
              <w:t>部门</w:t>
            </w:r>
          </w:p>
          <w:p w:rsidR="00264CA1" w:rsidRDefault="004D5D94">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8467" w:type="dxa"/>
            <w:gridSpan w:val="10"/>
            <w:noWrap/>
            <w:vAlign w:val="center"/>
          </w:tcPr>
          <w:p w:rsidR="00264CA1" w:rsidRPr="00E51648" w:rsidRDefault="004D5D94" w:rsidP="00E51648">
            <w:pPr>
              <w:pStyle w:val="a0"/>
              <w:spacing w:line="460" w:lineRule="exact"/>
              <w:ind w:firstLineChars="200"/>
              <w:rPr>
                <w:rFonts w:ascii="仿宋" w:eastAsia="仿宋" w:hAnsi="仿宋"/>
                <w:color w:val="0000FF"/>
              </w:rPr>
            </w:pPr>
            <w:r>
              <w:rPr>
                <w:rFonts w:ascii="仿宋" w:eastAsia="仿宋" w:hAnsi="仿宋" w:hint="eastAsia"/>
                <w:bCs/>
              </w:rPr>
              <w:t>2020年</w:t>
            </w:r>
            <w:r>
              <w:rPr>
                <w:rFonts w:ascii="仿宋" w:eastAsia="仿宋" w:hAnsi="仿宋" w:hint="eastAsia"/>
              </w:rPr>
              <w:t>县应急管理局在县委、县政府的正确领导下，在市局的指导下，获评邵阳市安全生产优秀县。</w:t>
            </w:r>
            <w:r>
              <w:rPr>
                <w:rFonts w:ascii="仿宋" w:eastAsia="仿宋" w:hAnsi="仿宋" w:hint="eastAsia"/>
                <w:bCs/>
              </w:rPr>
              <w:t>狠抓复工复产安全工作，我县53家危化企业，除了湖南和诚医药化学品有限公司诊断分级为黄色，其余企业均为蓝色，加强对烟花爆竹批发公司的防疫工作和安全管理，确保疫情形势下烟花爆竹企业生产经营正常有序；狠抓日常安全监管执法。组织编制2020年安全监管执法计划并报县人民政府批准，加强安全监管执法，全县矿山、危化、烟花爆竹等行业开展执法检查1568次，下达整改指令1061份，罚款35.4万余元，排查安全隐患400余处，重大安全隐患21处，严惩违法违规行为91起；开展烟花爆竹打非和换证工作，集中销毁非法烟花爆竹8911件，完成全县700余家烟花爆竹零售店的换证与办证</w:t>
            </w:r>
            <w:r>
              <w:rPr>
                <w:rFonts w:ascii="仿宋" w:eastAsia="仿宋" w:hAnsi="仿宋" w:hint="eastAsia"/>
                <w:bCs/>
              </w:rPr>
              <w:lastRenderedPageBreak/>
              <w:t>工作；狠抓各项专项整治行动。严格落实党政领导干部安全生产责任，积极动员部署开展了安全生产“春雷2020”暨集中整治行动、马路市场安全隐患专项整治、防范非生产经营性事故专项整治行动、野外火源专项治理行动、小加工式作坊的专项整治行动、“防风险保平安迎大庆”专项行动、“安全生产专项整治三年行动”等工作。全县连续多年无较大及以上生产安全事故（含火灾事故）发生，安全形势持续稳定向好；优化应急体系，筑牢防灾减灾救灾能力，治水防大汛，县防汛抗灾指挥部多次召开调度会、会商会以及专题会议，不定期的带队检查督查防汛工作，逐级压实工作责任。通过强化预测预警、加强巡查检查和物资储备、加强联合会商、科学调度，加强值班值守和应急处置等措施，确保了全县安全度汛；“防火”除隐患，制定“清明”、“五一”、“中秋.国庆”期间森林防火工作方案，印发了《隆回县野外火源专项治理行动方案》，严格野外火源管控，对森林重点防火区域安排专人巡逻；“救灾”保稳定，按照分级管理，逐级上报，实时掌握灾情动态，及时认真做好查灾核灾和灾情上报工作，确保受灾群众得到及时有效处置</w:t>
            </w:r>
          </w:p>
        </w:tc>
      </w:tr>
      <w:tr w:rsidR="0026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697"/>
        </w:trPr>
        <w:tc>
          <w:tcPr>
            <w:tcW w:w="533" w:type="dxa"/>
            <w:noWrap/>
            <w:vAlign w:val="center"/>
          </w:tcPr>
          <w:p w:rsidR="00264CA1" w:rsidRDefault="004D5D94">
            <w:pPr>
              <w:spacing w:line="320" w:lineRule="exact"/>
              <w:jc w:val="center"/>
              <w:rPr>
                <w:rFonts w:ascii="楷体" w:eastAsia="楷体" w:hAnsi="楷体" w:cs="楷体"/>
                <w:szCs w:val="21"/>
              </w:rPr>
            </w:pPr>
            <w:r>
              <w:rPr>
                <w:rFonts w:ascii="楷体" w:eastAsia="楷体" w:hAnsi="楷体" w:cs="楷体" w:hint="eastAsia"/>
                <w:szCs w:val="21"/>
              </w:rPr>
              <w:lastRenderedPageBreak/>
              <w:t>自评结论</w:t>
            </w:r>
          </w:p>
        </w:tc>
        <w:tc>
          <w:tcPr>
            <w:tcW w:w="8467" w:type="dxa"/>
            <w:gridSpan w:val="10"/>
            <w:noWrap/>
            <w:vAlign w:val="center"/>
          </w:tcPr>
          <w:p w:rsidR="00264CA1" w:rsidRDefault="004D5D94">
            <w:pPr>
              <w:jc w:val="center"/>
              <w:rPr>
                <w:rFonts w:ascii="楷体" w:eastAsia="楷体" w:hAnsi="楷体" w:cs="楷体"/>
                <w:szCs w:val="21"/>
              </w:rPr>
            </w:pPr>
            <w:r>
              <w:rPr>
                <w:rFonts w:ascii="楷体" w:eastAsia="楷体" w:hAnsi="楷体" w:cs="楷体" w:hint="eastAsia"/>
                <w:szCs w:val="21"/>
              </w:rPr>
              <w:t>良</w:t>
            </w: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2244"/>
        </w:trPr>
        <w:tc>
          <w:tcPr>
            <w:tcW w:w="533" w:type="dxa"/>
            <w:noWrap/>
            <w:vAlign w:val="center"/>
          </w:tcPr>
          <w:p w:rsidR="00264CA1" w:rsidRDefault="004D5D94">
            <w:pPr>
              <w:spacing w:line="320" w:lineRule="exact"/>
              <w:jc w:val="center"/>
              <w:rPr>
                <w:rFonts w:ascii="楷体" w:eastAsia="楷体" w:hAnsi="楷体" w:cs="楷体"/>
                <w:szCs w:val="21"/>
              </w:rPr>
            </w:pPr>
            <w:r>
              <w:rPr>
                <w:rFonts w:ascii="楷体" w:eastAsia="楷体" w:hAnsi="楷体" w:cs="楷体" w:hint="eastAsia"/>
                <w:szCs w:val="21"/>
              </w:rPr>
              <w:t>问题与建议</w:t>
            </w:r>
          </w:p>
        </w:tc>
        <w:tc>
          <w:tcPr>
            <w:tcW w:w="8467" w:type="dxa"/>
            <w:gridSpan w:val="10"/>
            <w:noWrap/>
            <w:vAlign w:val="center"/>
          </w:tcPr>
          <w:p w:rsidR="00264CA1" w:rsidRDefault="004D5D94">
            <w:pPr>
              <w:ind w:firstLineChars="200" w:firstLine="420"/>
              <w:rPr>
                <w:rFonts w:ascii="仿宋" w:eastAsia="仿宋" w:hAnsi="仿宋"/>
                <w:bCs/>
              </w:rPr>
            </w:pPr>
            <w:r>
              <w:rPr>
                <w:rFonts w:ascii="仿宋" w:eastAsia="仿宋" w:hAnsi="仿宋" w:hint="eastAsia"/>
                <w:bCs/>
              </w:rPr>
              <w:t>一是总结工作经验，加快上级专项资金的使用；二是根据工作实际保障公用经费和工会经费预算；三是每年常规性工作经费纳入年初预算，保障各项工作能按时顺利开展。</w:t>
            </w:r>
          </w:p>
          <w:p w:rsidR="00264CA1" w:rsidRDefault="00264CA1">
            <w:pPr>
              <w:rPr>
                <w:rFonts w:ascii="楷体" w:eastAsia="楷体" w:hAnsi="楷体" w:cs="楷体"/>
                <w:szCs w:val="21"/>
              </w:rPr>
            </w:pPr>
          </w:p>
        </w:tc>
      </w:tr>
      <w:tr w:rsidR="00264CA1" w:rsidTr="00E51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2125"/>
        </w:trPr>
        <w:tc>
          <w:tcPr>
            <w:tcW w:w="533" w:type="dxa"/>
            <w:noWrap/>
          </w:tcPr>
          <w:p w:rsidR="00264CA1" w:rsidRDefault="004D5D94">
            <w:pPr>
              <w:spacing w:line="320" w:lineRule="exact"/>
              <w:jc w:val="center"/>
              <w:rPr>
                <w:rFonts w:ascii="楷体" w:eastAsia="楷体" w:hAnsi="楷体" w:cs="楷体"/>
                <w:szCs w:val="21"/>
              </w:rPr>
            </w:pPr>
            <w:r>
              <w:rPr>
                <w:rFonts w:ascii="楷体" w:eastAsia="楷体" w:hAnsi="楷体" w:cs="楷体" w:hint="eastAsia"/>
                <w:szCs w:val="21"/>
              </w:rPr>
              <w:t>主管部门意见</w:t>
            </w:r>
          </w:p>
        </w:tc>
        <w:tc>
          <w:tcPr>
            <w:tcW w:w="8467" w:type="dxa"/>
            <w:gridSpan w:val="10"/>
            <w:noWrap/>
          </w:tcPr>
          <w:p w:rsidR="00264CA1" w:rsidRDefault="00264CA1">
            <w:pPr>
              <w:ind w:firstLineChars="1600" w:firstLine="3360"/>
              <w:rPr>
                <w:rFonts w:ascii="楷体" w:eastAsia="楷体" w:hAnsi="楷体" w:cs="楷体"/>
                <w:szCs w:val="21"/>
              </w:rPr>
            </w:pPr>
          </w:p>
          <w:p w:rsidR="00264CA1" w:rsidRDefault="00264CA1" w:rsidP="00E51648">
            <w:pPr>
              <w:rPr>
                <w:rFonts w:ascii="楷体" w:eastAsia="楷体" w:hAnsi="楷体" w:cs="楷体"/>
                <w:szCs w:val="21"/>
              </w:rPr>
            </w:pPr>
          </w:p>
          <w:p w:rsidR="00264CA1" w:rsidRDefault="004D5D94">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E51648" w:rsidRDefault="004D5D94" w:rsidP="00E51648">
      <w:pPr>
        <w:rPr>
          <w:szCs w:val="21"/>
        </w:rPr>
      </w:pPr>
      <w:r>
        <w:rPr>
          <w:rFonts w:ascii="宋体" w:hAnsi="宋体" w:hint="eastAsia"/>
          <w:szCs w:val="21"/>
        </w:rPr>
        <w:t>填报人：王雪姣     联系电话：18773****</w:t>
      </w:r>
      <w:bookmarkStart w:id="0" w:name="_GoBack"/>
      <w:bookmarkEnd w:id="0"/>
      <w:r>
        <w:rPr>
          <w:rFonts w:ascii="宋体" w:hAnsi="宋体" w:hint="eastAsia"/>
          <w:szCs w:val="21"/>
        </w:rPr>
        <w:t>27    时间：2021年4月23日</w:t>
      </w:r>
    </w:p>
    <w:p w:rsidR="00264CA1" w:rsidRPr="00E51648" w:rsidRDefault="004D5D94" w:rsidP="00E51648">
      <w:pPr>
        <w:rPr>
          <w:szCs w:val="21"/>
        </w:rPr>
      </w:pPr>
      <w:r>
        <w:rPr>
          <w:rFonts w:eastAsia="黑体" w:hint="eastAsia"/>
          <w:kern w:val="0"/>
        </w:rPr>
        <w:t>注：自评结论填“优、良、中、差”。</w:t>
      </w:r>
    </w:p>
    <w:p w:rsidR="00E51648" w:rsidRDefault="00E51648" w:rsidP="00E51648">
      <w:pPr>
        <w:pStyle w:val="a0"/>
        <w:ind w:firstLine="0"/>
        <w:rPr>
          <w:rFonts w:eastAsia="黑体"/>
          <w:kern w:val="0"/>
        </w:rPr>
      </w:pPr>
    </w:p>
    <w:p w:rsidR="00264CA1" w:rsidRDefault="004D5D94" w:rsidP="00E51648">
      <w:pPr>
        <w:pStyle w:val="a7"/>
        <w:spacing w:before="0" w:beforeAutospacing="0" w:after="0" w:afterAutospacing="0" w:line="600" w:lineRule="exact"/>
        <w:ind w:firstLineChars="100" w:firstLine="440"/>
        <w:rPr>
          <w:rFonts w:ascii="方正大标宋简体" w:eastAsia="方正大标宋简体" w:hAnsi="方正大标宋简体" w:cs="方正大标宋简体"/>
          <w:sz w:val="44"/>
          <w:szCs w:val="44"/>
          <w:shd w:val="clear" w:color="auto" w:fill="FFFFFF"/>
        </w:rPr>
      </w:pPr>
      <w:r>
        <w:rPr>
          <w:rFonts w:ascii="方正大标宋简体" w:eastAsia="方正大标宋简体" w:hAnsi="方正大标宋简体" w:cs="方正大标宋简体" w:hint="eastAsia"/>
          <w:sz w:val="44"/>
          <w:szCs w:val="44"/>
          <w:shd w:val="clear" w:color="auto" w:fill="FFFFFF"/>
        </w:rPr>
        <w:lastRenderedPageBreak/>
        <w:t>隆回县应急管理局2020年度整体绩效</w:t>
      </w:r>
    </w:p>
    <w:p w:rsidR="00264CA1" w:rsidRDefault="004D5D94" w:rsidP="00E51648">
      <w:pPr>
        <w:pStyle w:val="a7"/>
        <w:spacing w:before="0" w:beforeAutospacing="0" w:after="0" w:afterAutospacing="0" w:line="600" w:lineRule="exact"/>
        <w:jc w:val="center"/>
        <w:rPr>
          <w:rFonts w:ascii="方正大标宋简体" w:eastAsia="方正大标宋简体" w:hAnsi="方正大标宋简体" w:cs="方正大标宋简体"/>
          <w:sz w:val="44"/>
          <w:szCs w:val="44"/>
          <w:shd w:val="clear" w:color="auto" w:fill="FFFFFF"/>
        </w:rPr>
      </w:pPr>
      <w:r>
        <w:rPr>
          <w:rFonts w:ascii="方正大标宋简体" w:eastAsia="方正大标宋简体" w:hAnsi="方正大标宋简体" w:cs="方正大标宋简体" w:hint="eastAsia"/>
          <w:sz w:val="44"/>
          <w:szCs w:val="44"/>
          <w:shd w:val="clear" w:color="auto" w:fill="FFFFFF"/>
        </w:rPr>
        <w:t>自 评 报 告</w:t>
      </w:r>
    </w:p>
    <w:p w:rsidR="00264CA1" w:rsidRDefault="00264CA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p>
    <w:p w:rsidR="00264CA1" w:rsidRDefault="004D5D94">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为做好2020年度部门整体支出绩效自评工作，提高财政资金使用效益，根据县财政局《关于开展2021年度县级财政资金绩效评价工作的通知》（隆财绩[2021]1号）文件精神，结合实际，我局安排专人负责，通过查阅资料、座谈和电话调查等方式听取情况，检查基本支出、项目支出有关账目，收集整理支出相关资料，并根据各股室报送的绩效自评材料进行分析和总结，现将我局整体支出绩效自评结果报告如下：</w:t>
      </w:r>
    </w:p>
    <w:p w:rsidR="00264CA1" w:rsidRDefault="004D5D94">
      <w:pPr>
        <w:ind w:firstLineChars="200" w:firstLine="602"/>
        <w:rPr>
          <w:rFonts w:ascii="仿宋" w:eastAsia="仿宋" w:hAnsi="仿宋" w:cs="仿宋"/>
          <w:b/>
          <w:sz w:val="30"/>
          <w:szCs w:val="30"/>
        </w:rPr>
      </w:pPr>
      <w:r>
        <w:rPr>
          <w:rFonts w:ascii="仿宋" w:eastAsia="仿宋" w:hAnsi="仿宋" w:cs="仿宋" w:hint="eastAsia"/>
          <w:b/>
          <w:sz w:val="30"/>
          <w:szCs w:val="30"/>
        </w:rPr>
        <w:t>一、部门概况</w:t>
      </w:r>
    </w:p>
    <w:p w:rsidR="00264CA1" w:rsidRDefault="004D5D94">
      <w:pPr>
        <w:pStyle w:val="a7"/>
        <w:spacing w:before="0" w:beforeAutospacing="0" w:after="0" w:afterAutospacing="0" w:line="560" w:lineRule="exact"/>
        <w:ind w:firstLineChars="200" w:firstLine="562"/>
        <w:jc w:val="both"/>
        <w:rPr>
          <w:rFonts w:ascii="仿宋" w:eastAsia="仿宋" w:hAnsi="仿宋"/>
          <w:b/>
          <w:sz w:val="28"/>
          <w:szCs w:val="28"/>
        </w:rPr>
      </w:pPr>
      <w:r>
        <w:rPr>
          <w:rFonts w:ascii="仿宋" w:eastAsia="仿宋" w:hAnsi="仿宋" w:hint="eastAsia"/>
          <w:b/>
          <w:sz w:val="28"/>
          <w:szCs w:val="28"/>
          <w:shd w:val="clear" w:color="auto" w:fill="FFFFFF"/>
        </w:rPr>
        <w:t>（一）部门基本情况</w:t>
      </w:r>
    </w:p>
    <w:p w:rsidR="00264CA1" w:rsidRDefault="004D5D94">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shd w:val="clear" w:color="auto" w:fill="FFFFFF"/>
        </w:rPr>
        <w:t>我局编制人数为34人，在职人员79人，退休人员17人。下设应急事务中心和执法大队两个二级机构。小车编制数1台（收归公车办统一管理），实际1台（从公车办调度一台公车）。遗属补助人数2人，房屋面积1625.6平方米。</w:t>
      </w:r>
    </w:p>
    <w:p w:rsidR="00264CA1" w:rsidRDefault="004D5D94">
      <w:pPr>
        <w:pStyle w:val="a7"/>
        <w:spacing w:before="0" w:beforeAutospacing="0" w:after="0" w:afterAutospacing="0" w:line="560" w:lineRule="exact"/>
        <w:ind w:firstLineChars="200" w:firstLine="640"/>
        <w:jc w:val="both"/>
        <w:rPr>
          <w:rFonts w:ascii="宋体" w:eastAsia="仿宋_GB2312" w:hAnsi="宋体" w:cs="仿宋_GB2312"/>
          <w:sz w:val="32"/>
          <w:szCs w:val="32"/>
        </w:rPr>
      </w:pPr>
      <w:r>
        <w:rPr>
          <w:rFonts w:ascii="仿宋_GB2312" w:eastAsia="仿宋_GB2312" w:hAnsi="仿宋_GB2312" w:cs="仿宋_GB2312" w:hint="eastAsia"/>
          <w:sz w:val="32"/>
          <w:szCs w:val="32"/>
          <w:lang w:val="zh-CN"/>
        </w:rPr>
        <w:t>负责应急管理工作，指导全县各乡镇（街道）各部门应对安全生产类、自然灾害类等突发事件和综合防灾减灾救灾工作。负责安全生产综合监督管理和工矿商贸行业（含煤矿）安全生产监督管理工作。贯彻实施相关法律法规、部门规章、规程和标准，组织编制全县应急体系建设、安全生产和综合防灾减灾规划，组织起草相关规范性文件，组织拟订相关政策和规划并监督实施。指导应急预案体系建设，建立完善事故灾难和自然</w:t>
      </w:r>
      <w:r>
        <w:rPr>
          <w:rFonts w:ascii="仿宋_GB2312" w:eastAsia="仿宋_GB2312" w:hAnsi="仿宋_GB2312" w:cs="仿宋_GB2312" w:hint="eastAsia"/>
          <w:sz w:val="32"/>
          <w:szCs w:val="32"/>
          <w:lang w:val="zh-CN"/>
        </w:rPr>
        <w:lastRenderedPageBreak/>
        <w:t>灾害分级应对制度实施细则（办法），组织编制全县总体应急预案和安全生产类、自然灾害类专项预案，综合协调应急预案衔接工作，组织开展预案演练，推动应急避难设施建设。</w:t>
      </w:r>
      <w:r>
        <w:rPr>
          <w:rFonts w:ascii="仿宋_GB2312" w:eastAsia="仿宋_GB2312" w:hAnsi="仿宋_GB2312" w:cs="仿宋_GB2312" w:hint="eastAsia"/>
          <w:sz w:val="32"/>
          <w:szCs w:val="32"/>
          <w:lang w:val="zh-CN"/>
        </w:rPr>
        <w:tab/>
        <w:t>牵头推进全县统一的应急管理信息系统建设，负责信息传输渠道的规划和布局，建立监测预警和灾情报告制度，健全自然灾害信息资源获取和共享机制，依法统一发布灾情。</w:t>
      </w:r>
      <w:r>
        <w:rPr>
          <w:rFonts w:ascii="仿宋_GB2312" w:eastAsia="仿宋_GB2312" w:hAnsi="仿宋_GB2312" w:cs="仿宋_GB2312" w:hint="eastAsia"/>
          <w:sz w:val="32"/>
          <w:szCs w:val="32"/>
          <w:lang w:val="zh-CN"/>
        </w:rPr>
        <w:tab/>
        <w:t>组织指导协调安全生产类、自然灾害类等突发事件应急救援，承担县应对重大灾害指挥部工作，综合研判突发事件发展态势并提出应对建议，协助县委、县政府指定的负责同志组织较大及以上灾害应急处置工作。统一协调指挥各类应急专业队伍，建立应急协调联动机制，推进指挥平台对接，负责做好解放军和武警部队参与应急救援相关衔接工作。统筹全县应急救援力量建设，负责消防、</w:t>
      </w:r>
      <w:r>
        <w:rPr>
          <w:rFonts w:ascii="仿宋_GB2312" w:eastAsia="仿宋_GB2312" w:hAnsi="仿宋" w:hint="eastAsia"/>
          <w:sz w:val="32"/>
          <w:szCs w:val="32"/>
        </w:rPr>
        <w:t>森林和草地</w:t>
      </w:r>
      <w:r>
        <w:rPr>
          <w:rFonts w:ascii="仿宋_GB2312" w:eastAsia="仿宋_GB2312" w:hAnsi="仿宋_GB2312" w:cs="仿宋_GB2312" w:hint="eastAsia"/>
          <w:sz w:val="32"/>
          <w:szCs w:val="32"/>
          <w:lang w:val="zh-CN"/>
        </w:rPr>
        <w:t>火灾扑救、抗洪抢险、地震和地质灾害救援、生产安全事故救援等专业应急救援力量建设，依权限做好驻隆综合性应急救援队伍建设的相关工作，指导地方及社会应急救援力量建设。负责全县消防管理有关工作，指导全县消防监督、火灾预防、火灾扑救等工作。指导协调全县森林火灾、水旱灾害、地震和地质灾害等防治工作，负责自然灾害综合监测预警工作，指导开展自然灾害综合风险评估工作。组织协调灾害救助工作，组织指导灾情核查、损失评估、救灾捐赠工作，按权限管理、分配中央、省、市级下达和县级救灾款物并监督使用。</w:t>
      </w:r>
      <w:r>
        <w:rPr>
          <w:rFonts w:ascii="仿宋_GB2312" w:eastAsia="仿宋_GB2312" w:hAnsi="仿宋" w:hint="eastAsia"/>
          <w:sz w:val="32"/>
          <w:szCs w:val="32"/>
        </w:rPr>
        <w:t>承担县安全生产委员会日常工作。</w:t>
      </w:r>
      <w:r>
        <w:rPr>
          <w:rFonts w:ascii="仿宋_GB2312" w:eastAsia="仿宋_GB2312" w:hAnsi="仿宋_GB2312" w:cs="仿宋_GB2312" w:hint="eastAsia"/>
          <w:sz w:val="32"/>
          <w:szCs w:val="32"/>
          <w:lang w:val="zh-CN"/>
        </w:rPr>
        <w:t>依法行使安全生产综合监督管理职权，指导协调、监督检查县直有关部门和各乡镇人民政府、街道办事处安全生产工作，组织开展安全生产巡查、</w:t>
      </w:r>
      <w:r>
        <w:rPr>
          <w:rFonts w:ascii="仿宋_GB2312" w:eastAsia="仿宋_GB2312" w:hAnsi="仿宋_GB2312" w:cs="仿宋_GB2312" w:hint="eastAsia"/>
          <w:sz w:val="32"/>
          <w:szCs w:val="32"/>
          <w:lang w:val="zh-CN"/>
        </w:rPr>
        <w:lastRenderedPageBreak/>
        <w:t>考核工作。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负责全县煤矿的安全生产地方监管和煤矿安全基础管理监督指导工作，以及关闭煤矿遗留问题的解释协调工作及其他工作。</w:t>
      </w:r>
      <w:r>
        <w:rPr>
          <w:rFonts w:ascii="仿宋_GB2312" w:eastAsia="仿宋_GB2312" w:hAnsi="仿宋" w:hint="eastAsia"/>
          <w:sz w:val="32"/>
          <w:szCs w:val="32"/>
        </w:rPr>
        <w:t>根据县人民政府授权，依法组织指导生产安全事故的调查处理，监督事故查处和责任追究落实情况</w:t>
      </w:r>
      <w:r>
        <w:rPr>
          <w:rFonts w:ascii="仿宋_GB2312" w:eastAsia="仿宋_GB2312" w:hAnsi="仿宋_GB2312" w:cs="仿宋_GB2312" w:hint="eastAsia"/>
          <w:sz w:val="32"/>
          <w:szCs w:val="32"/>
          <w:lang w:val="zh-CN"/>
        </w:rPr>
        <w:t>。组织开展自然灾害类突发事件的调查评估工作。开展应急管理对外交流与合作，组织参与安全生产类、自然灾害类等突发事件的对外救援工作。制定全县应急物资储备和应急救援装备规划并组织实施，会同县发展与改革局（县粮食和物资储备局）等部门建立健全应急物资信息平台和调拨制度，在救灾时统一调度。负责应急管理、安全生产宣传教育和培训工作，组织指导应急管理、安全生产的科学技术研究、推广应用和信息化建设工作。承担县防汛抗旱指挥部日常工作，协调县防汛抗旱指挥部成员单位的相关工作，组织执行上级和县防汛抗旱指挥部的指示、命令。</w:t>
      </w:r>
      <w:r>
        <w:rPr>
          <w:rFonts w:ascii="宋体" w:eastAsia="仿宋_GB2312" w:hAnsi="宋体" w:cs="仿宋_GB2312" w:hint="eastAsia"/>
          <w:sz w:val="32"/>
          <w:szCs w:val="32"/>
        </w:rPr>
        <w:t>完成县委、县人民政府交办的其他任务。</w:t>
      </w:r>
    </w:p>
    <w:p w:rsidR="00264CA1" w:rsidRDefault="004D5D94">
      <w:pPr>
        <w:pStyle w:val="a7"/>
        <w:spacing w:before="0" w:beforeAutospacing="0" w:after="0" w:afterAutospacing="0" w:line="560" w:lineRule="exact"/>
        <w:ind w:firstLineChars="200" w:firstLine="562"/>
        <w:jc w:val="both"/>
        <w:rPr>
          <w:rFonts w:ascii="仿宋" w:eastAsia="仿宋" w:hAnsi="仿宋"/>
          <w:b/>
          <w:sz w:val="28"/>
          <w:szCs w:val="28"/>
          <w:shd w:val="clear" w:color="auto" w:fill="FFFFFF"/>
        </w:rPr>
      </w:pPr>
      <w:r>
        <w:rPr>
          <w:rFonts w:ascii="仿宋" w:eastAsia="仿宋" w:hAnsi="仿宋" w:hint="eastAsia"/>
          <w:b/>
          <w:sz w:val="28"/>
          <w:szCs w:val="28"/>
          <w:shd w:val="clear" w:color="auto" w:fill="FFFFFF"/>
        </w:rPr>
        <w:t>（二）2020年的重点工作</w:t>
      </w:r>
    </w:p>
    <w:p w:rsidR="00264CA1" w:rsidRDefault="004D5D94">
      <w:pPr>
        <w:pStyle w:val="a7"/>
        <w:spacing w:before="0" w:beforeAutospacing="0" w:after="0" w:afterAutospacing="0" w:line="560" w:lineRule="exact"/>
        <w:ind w:firstLineChars="200" w:firstLine="640"/>
        <w:jc w:val="both"/>
        <w:rPr>
          <w:rFonts w:ascii="楷体" w:eastAsia="楷体" w:hAnsi="楷体" w:cs="楷体"/>
          <w:b/>
          <w:bCs/>
          <w:kern w:val="2"/>
          <w:sz w:val="32"/>
          <w:szCs w:val="32"/>
        </w:rPr>
      </w:pPr>
      <w:r>
        <w:rPr>
          <w:rFonts w:ascii="仿宋" w:eastAsia="仿宋" w:hAnsi="仿宋" w:cs="仿宋" w:hint="eastAsia"/>
          <w:kern w:val="2"/>
          <w:sz w:val="32"/>
          <w:szCs w:val="32"/>
        </w:rPr>
        <w:t>1、突出党建引领，确保工作落地见效。</w:t>
      </w:r>
    </w:p>
    <w:p w:rsidR="00264CA1" w:rsidRDefault="004D5D9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一是强化队伍政治思想教育，充分发挥基层党组织战斗堡垒作用。深入学习贯彻习近平总书记关于应急管理重要论述，深刻领会推进应急管理体系和能力现代化建设的精髓要义，坚</w:t>
      </w:r>
      <w:r>
        <w:rPr>
          <w:rFonts w:ascii="仿宋" w:eastAsia="仿宋" w:hAnsi="仿宋" w:cs="仿宋" w:hint="eastAsia"/>
          <w:sz w:val="32"/>
          <w:szCs w:val="32"/>
        </w:rPr>
        <w:lastRenderedPageBreak/>
        <w:t>持思想建党、理论强党，激励干部勇担使命敢作为。二是强化作风建设，提高执行力。以廉政文化建设、预警防控、警示教育、廉政谈话等活动为载体，建立健全涵盖业务、人事、财务等方面的制度体系，着力建立一支作风正、素质高、能够担当重任的应急管理队伍。三是强化学习培训，提高干部素质。为满足新常态、新形势下应急管理工作的要求，县应急局定期组织应急管理人员开展业务培训，着重提升工作人员业务水平和专业素质，局政工室定期检查干部职工学习笔记，每季度一评比一通报；在今年省司法厅组织的行政执法考试中，组织没有执法证的人员全部报名参加了行政执法考试；县应急局35岁以下的同志全部列入民兵应急分队开展军事训练。5月29日至21日，县应急局和县人武部和在赧水河联合开展了2020年抗洪抢险实训演练。全局上下逐步形成了积极进取、赶学比超的良好学习氛围和工作氛围。</w:t>
      </w:r>
    </w:p>
    <w:p w:rsidR="00264CA1" w:rsidRDefault="004D5D94">
      <w:pPr>
        <w:pStyle w:val="a7"/>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2、主动担当作为，助力疫情防控攻坚。</w:t>
      </w:r>
    </w:p>
    <w:p w:rsidR="00264CA1" w:rsidRDefault="004D5D94">
      <w:pPr>
        <w:pStyle w:val="a7"/>
        <w:widowControl/>
        <w:shd w:val="clear" w:color="auto" w:fill="FFFFFF"/>
        <w:spacing w:before="150" w:beforeAutospacing="0" w:after="15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面对突如其来的疫情，应急管理局严格按照疫情防控领导小组（指挥部）的指令要求，由应急管理局局长担任指挥部防控处置组组长，另抽调4名精干力量专职参与指挥部日常工作；同时选派3名人员，参与社区防疫工作任务，协助竹山塘社区上门摸排登记住户的家庭基本情况，做好居家隔离对象管控，对外来人员及外来车辆排查登记，助力社区疫情防控工作；局机关业务股室积极做好直管行业的防疫宣教、摸底排查等工作；</w:t>
      </w:r>
      <w:r>
        <w:rPr>
          <w:rFonts w:ascii="仿宋" w:eastAsia="仿宋" w:hAnsi="仿宋" w:cs="仿宋" w:hint="eastAsia"/>
          <w:color w:val="000000"/>
          <w:kern w:val="2"/>
          <w:sz w:val="32"/>
          <w:szCs w:val="32"/>
          <w:shd w:val="clear" w:color="auto" w:fill="FFFFFF"/>
        </w:rPr>
        <w:t>全局上下认真贯彻落实县委县政府的有关文件和会议精神，积</w:t>
      </w:r>
      <w:r>
        <w:rPr>
          <w:rFonts w:ascii="仿宋" w:eastAsia="仿宋" w:hAnsi="仿宋" w:cs="仿宋" w:hint="eastAsia"/>
          <w:color w:val="000000"/>
          <w:kern w:val="2"/>
          <w:sz w:val="32"/>
          <w:szCs w:val="32"/>
          <w:shd w:val="clear" w:color="auto" w:fill="FFFFFF"/>
        </w:rPr>
        <w:lastRenderedPageBreak/>
        <w:t>极宣传和落实扶贫政策措施，给结对帮扶对象出点子、拉家常、送温暖，确保贫困户在疫情期间干劲不降、收入不少，信心不减，扶贫工作队员严格按照要求开展驻村蹲点工作，</w:t>
      </w:r>
      <w:r>
        <w:rPr>
          <w:rFonts w:ascii="仿宋" w:eastAsia="仿宋" w:hAnsi="仿宋" w:cs="仿宋" w:hint="eastAsia"/>
          <w:kern w:val="2"/>
          <w:sz w:val="32"/>
          <w:szCs w:val="32"/>
        </w:rPr>
        <w:t>全局上下主动出击，汇聚合力，全面参与疫情联防联控工作。</w:t>
      </w:r>
    </w:p>
    <w:p w:rsidR="00264CA1" w:rsidRDefault="004D5D94">
      <w:pPr>
        <w:pStyle w:val="a7"/>
        <w:widowControl/>
        <w:shd w:val="clear" w:color="auto" w:fill="FFFFFF"/>
        <w:spacing w:before="150" w:beforeAutospacing="0" w:after="15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3、加强监管执法，统筹推进安全生产。</w:t>
      </w:r>
    </w:p>
    <w:p w:rsidR="00264CA1" w:rsidRDefault="004D5D94">
      <w:pPr>
        <w:spacing w:line="550" w:lineRule="exact"/>
        <w:ind w:firstLineChars="200" w:firstLine="643"/>
        <w:rPr>
          <w:rFonts w:ascii="仿宋" w:eastAsia="仿宋" w:hAnsi="仿宋" w:cs="仿宋"/>
          <w:bCs/>
          <w:color w:val="333333"/>
          <w:sz w:val="32"/>
          <w:szCs w:val="32"/>
          <w:shd w:val="clear" w:color="auto" w:fill="FFFFFF"/>
        </w:rPr>
      </w:pPr>
      <w:r>
        <w:rPr>
          <w:rFonts w:ascii="仿宋" w:eastAsia="仿宋" w:hAnsi="仿宋" w:cs="仿宋" w:hint="eastAsia"/>
          <w:b/>
          <w:bCs/>
          <w:sz w:val="32"/>
          <w:szCs w:val="32"/>
        </w:rPr>
        <w:t>一是狠抓复工复产安全工作。</w:t>
      </w:r>
      <w:r>
        <w:rPr>
          <w:rFonts w:ascii="仿宋" w:eastAsia="仿宋" w:hAnsi="仿宋" w:cs="仿宋" w:hint="eastAsia"/>
          <w:sz w:val="32"/>
          <w:szCs w:val="32"/>
        </w:rPr>
        <w:t>我局在抓好新冠疫情防控工作的同时严格落实省、市关于矿山、危化、烟花爆竹行业复工复产工作要求，分行业下发了复工复产实施方案，明确了矿山复工复产“七要”制度，加强复工复产前安全检查和教育培训，实行层层把关，确保矿山企业复产复工安全。各危化企业均按照《危险化学品生产储存企业安全风险评估诊断分级指南》对自身进行安全风险评估诊断分级，我县53家危化企业，除了湖南和诚医药化学品有限公司诊断分级为黄色，其余企业均为蓝色。加强对烟花爆竹批发公司的防疫工作和安全管理，确保疫情形势下烟花爆竹企业生产经营正常有序。</w:t>
      </w:r>
      <w:r>
        <w:rPr>
          <w:rFonts w:ascii="仿宋" w:eastAsia="仿宋" w:hAnsi="仿宋" w:cs="仿宋" w:hint="eastAsia"/>
          <w:b/>
          <w:bCs/>
          <w:sz w:val="32"/>
          <w:szCs w:val="32"/>
        </w:rPr>
        <w:t>二是狠抓日常安全监管执法。</w:t>
      </w:r>
      <w:r>
        <w:rPr>
          <w:rFonts w:ascii="仿宋" w:eastAsia="仿宋" w:hAnsi="仿宋" w:cs="仿宋" w:hint="eastAsia"/>
          <w:sz w:val="32"/>
          <w:szCs w:val="32"/>
        </w:rPr>
        <w:t>组织编制2020年安全监管执法计划并报县人民政府批准，加强安全监管执法，全县矿山、危化、烟花爆竹等行业开展执法检查1568次，下达整改指令1061份，罚款35.4万余元，排查安全隐患400余处，重大安全隐患21处，严惩违法违规行为91起。开展烟花爆竹打非和换证工作，集中销毁非法烟花爆竹8911件，完成全县700余家烟花爆竹零售店的换证与办证工作。</w:t>
      </w:r>
      <w:r>
        <w:rPr>
          <w:rFonts w:ascii="仿宋" w:eastAsia="仿宋" w:hAnsi="仿宋" w:cs="仿宋" w:hint="eastAsia"/>
          <w:b/>
          <w:bCs/>
          <w:sz w:val="32"/>
          <w:szCs w:val="32"/>
        </w:rPr>
        <w:t>三是狠抓各项专项整治行动。</w:t>
      </w:r>
      <w:r>
        <w:rPr>
          <w:rFonts w:ascii="仿宋" w:eastAsia="仿宋" w:hAnsi="仿宋" w:cs="仿宋" w:hint="eastAsia"/>
          <w:sz w:val="32"/>
          <w:szCs w:val="32"/>
        </w:rPr>
        <w:t>严格落实党政领导干部安全生产责任，积极动员部署开展了安全生产“春雷2020”暨</w:t>
      </w:r>
      <w:r>
        <w:rPr>
          <w:rFonts w:ascii="仿宋" w:eastAsia="仿宋" w:hAnsi="仿宋" w:cs="仿宋" w:hint="eastAsia"/>
          <w:sz w:val="32"/>
          <w:szCs w:val="32"/>
        </w:rPr>
        <w:lastRenderedPageBreak/>
        <w:t>集中整治行动、马路市场安全隐患专项整治、防范非生产经营性事故专项整治行动、野外火源专项治理行动、小加工式作坊的专项整治行动、“防风险保平安迎大庆”专项行动、“安全生产专项整治三年行动”等工作。截止目前</w:t>
      </w:r>
      <w:r>
        <w:rPr>
          <w:rFonts w:ascii="仿宋_GB2312" w:eastAsia="仿宋_GB2312" w:hAnsi="仿宋_GB2312" w:cs="仿宋_GB2312" w:hint="eastAsia"/>
          <w:sz w:val="32"/>
          <w:szCs w:val="32"/>
        </w:rPr>
        <w:t>，我县共发生各类一般生产安全事故6起，死亡5人，其中生产经营性道路交通事故3起3人，火灾事故（含森林火灾事故）零死亡，事故起数和死亡人数均在控制范围内，全县连续多年无较大及以上生产安全事故（含火灾事故）发生，安全形势持续稳定向好。</w:t>
      </w:r>
    </w:p>
    <w:p w:rsidR="00264CA1" w:rsidRDefault="004D5D94">
      <w:pPr>
        <w:pStyle w:val="a0"/>
        <w:spacing w:line="560" w:lineRule="exact"/>
        <w:ind w:firstLineChars="200" w:firstLine="640"/>
        <w:rPr>
          <w:rFonts w:ascii="楷体" w:eastAsia="楷体" w:hAnsi="楷体" w:cs="楷体"/>
          <w:bCs/>
          <w:color w:val="333333"/>
          <w:sz w:val="32"/>
          <w:szCs w:val="32"/>
          <w:shd w:val="clear" w:color="auto" w:fill="FFFFFF"/>
        </w:rPr>
      </w:pPr>
      <w:r>
        <w:rPr>
          <w:rFonts w:ascii="仿宋" w:eastAsia="仿宋" w:hAnsi="仿宋" w:cs="仿宋" w:hint="eastAsia"/>
          <w:sz w:val="32"/>
          <w:szCs w:val="32"/>
        </w:rPr>
        <w:t>4、优化应急体系，筑牢防灾减灾救灾能力。</w:t>
      </w:r>
    </w:p>
    <w:p w:rsidR="00264CA1" w:rsidRDefault="004D5D94">
      <w:pPr>
        <w:pStyle w:val="a0"/>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一是“治水”防大汛</w:t>
      </w:r>
      <w:r>
        <w:rPr>
          <w:rFonts w:ascii="仿宋" w:eastAsia="仿宋" w:hAnsi="仿宋" w:cs="仿宋" w:hint="eastAsia"/>
          <w:sz w:val="32"/>
          <w:szCs w:val="32"/>
        </w:rPr>
        <w:t>，县防汛抗灾指挥部多次召开调度会、会商会以及专题会议，不定期的带队检查督查防汛工作，逐级压实工作责任。通过强化预测预警、加强巡查检查和物资储备、加强联合会商、科学调度，加强值班值守和应急处置等措施，确保了全县安全度汛；</w:t>
      </w:r>
      <w:r>
        <w:rPr>
          <w:rFonts w:ascii="仿宋" w:eastAsia="仿宋" w:hAnsi="仿宋" w:cs="仿宋" w:hint="eastAsia"/>
          <w:b/>
          <w:bCs/>
          <w:sz w:val="32"/>
          <w:szCs w:val="32"/>
        </w:rPr>
        <w:t>二是“防火”除隐患</w:t>
      </w:r>
      <w:r>
        <w:rPr>
          <w:rFonts w:ascii="仿宋" w:eastAsia="仿宋" w:hAnsi="仿宋" w:cs="仿宋" w:hint="eastAsia"/>
          <w:sz w:val="32"/>
          <w:szCs w:val="32"/>
        </w:rPr>
        <w:t>，制定“清明”、“五一”、“中秋.国庆”期间森林防火工作方案，印发了《隆回县野外火源专项治理行动方案》，严格野外火源管控，对森林重点防火区域安排专人巡逻；</w:t>
      </w:r>
      <w:r>
        <w:rPr>
          <w:rFonts w:ascii="仿宋" w:eastAsia="仿宋" w:hAnsi="仿宋" w:cs="仿宋" w:hint="eastAsia"/>
          <w:b/>
          <w:bCs/>
          <w:sz w:val="32"/>
          <w:szCs w:val="32"/>
        </w:rPr>
        <w:t>三是“救灾”保稳定</w:t>
      </w:r>
      <w:r>
        <w:rPr>
          <w:rFonts w:ascii="仿宋" w:eastAsia="仿宋" w:hAnsi="仿宋" w:cs="仿宋" w:hint="eastAsia"/>
          <w:sz w:val="32"/>
          <w:szCs w:val="32"/>
        </w:rPr>
        <w:t>，按照分级管理，逐级上报，实时掌握灾情动态，及时认真做好查灾核灾和灾情上报工作，确保受灾群众得到及时有效处置。同时按照机构改革要求，及时修订了各类预案，调整了县安委会、防汛抗旱指挥部、森林防灭火指挥部、减灾委员会等成员单位，加强了领导力量，充分发挥好安委办、防汛指挥部、森林防火指挥部和减灾委办公室作用，推动各方责任再落实。形成了主要领导亲自抓，分管领导具体抓，各单位全面落实的应急管理工作体制。</w:t>
      </w:r>
    </w:p>
    <w:p w:rsidR="00264CA1" w:rsidRDefault="004D5D94">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此外，我局扶贫、文明创建、优化经济环境、环境整治、招商、民宗、提案议案办理、公共机构节能、档案、统战工作、依法治县工作、依法行政、政务公开、老龄老干、关心下一代等工作都有计划、有部署、有小结，有领导分管和专人负责，并按时上报相关资料，工作任务完成较好。</w:t>
      </w:r>
    </w:p>
    <w:p w:rsidR="00264CA1" w:rsidRDefault="004D5D94">
      <w:pPr>
        <w:pStyle w:val="a7"/>
        <w:spacing w:before="0" w:beforeAutospacing="0" w:after="0" w:afterAutospacing="0" w:line="560" w:lineRule="exact"/>
        <w:ind w:firstLineChars="200" w:firstLine="562"/>
        <w:jc w:val="both"/>
        <w:rPr>
          <w:rFonts w:ascii="仿宋" w:eastAsia="仿宋" w:hAnsi="仿宋"/>
          <w:b/>
          <w:sz w:val="28"/>
          <w:szCs w:val="28"/>
          <w:shd w:val="clear" w:color="auto" w:fill="FFFFFF"/>
        </w:rPr>
      </w:pPr>
      <w:r>
        <w:rPr>
          <w:rFonts w:ascii="仿宋" w:eastAsia="仿宋" w:hAnsi="仿宋" w:hint="eastAsia"/>
          <w:b/>
          <w:sz w:val="28"/>
          <w:szCs w:val="28"/>
          <w:shd w:val="clear" w:color="auto" w:fill="FFFFFF"/>
        </w:rPr>
        <w:t>（三）部门整体支出情况</w:t>
      </w:r>
    </w:p>
    <w:p w:rsidR="00264CA1" w:rsidRDefault="004D5D94">
      <w:pPr>
        <w:spacing w:line="360" w:lineRule="auto"/>
        <w:ind w:firstLine="600"/>
        <w:rPr>
          <w:rFonts w:ascii="宋体" w:eastAsia="仿宋_GB2312" w:hAnsi="宋体" w:cs="仿宋_GB2312"/>
          <w:sz w:val="32"/>
          <w:szCs w:val="32"/>
        </w:rPr>
      </w:pPr>
      <w:r>
        <w:rPr>
          <w:rFonts w:ascii="仿宋" w:eastAsia="仿宋" w:hAnsi="仿宋" w:cs="仿宋" w:hint="eastAsia"/>
          <w:color w:val="000000"/>
          <w:sz w:val="32"/>
          <w:szCs w:val="32"/>
        </w:rPr>
        <w:t>我局2020年度年末部门决算数1174.97万元，其中基本支出年年末决算数为856.22万元，项目支出年末决算数为318.75万元。</w:t>
      </w:r>
    </w:p>
    <w:p w:rsidR="00264CA1" w:rsidRDefault="004D5D94">
      <w:pPr>
        <w:ind w:firstLineChars="200" w:firstLine="602"/>
        <w:rPr>
          <w:rFonts w:ascii="仿宋" w:eastAsia="仿宋" w:hAnsi="仿宋" w:cs="仿宋"/>
          <w:b/>
          <w:sz w:val="30"/>
          <w:szCs w:val="30"/>
        </w:rPr>
      </w:pPr>
      <w:r>
        <w:rPr>
          <w:rFonts w:ascii="仿宋" w:eastAsia="仿宋" w:hAnsi="仿宋" w:cs="仿宋" w:hint="eastAsia"/>
          <w:b/>
          <w:sz w:val="30"/>
          <w:szCs w:val="30"/>
        </w:rPr>
        <w:t>二、部门整体支出管理及使用情况</w:t>
      </w:r>
    </w:p>
    <w:p w:rsidR="00264CA1" w:rsidRDefault="004D5D94">
      <w:pPr>
        <w:ind w:firstLineChars="200" w:firstLine="600"/>
        <w:rPr>
          <w:rFonts w:ascii="仿宋" w:eastAsia="仿宋" w:hAnsi="仿宋" w:cs="仿宋"/>
          <w:sz w:val="30"/>
          <w:szCs w:val="30"/>
        </w:rPr>
      </w:pPr>
      <w:r>
        <w:rPr>
          <w:rFonts w:ascii="仿宋" w:eastAsia="仿宋" w:hAnsi="仿宋" w:cs="仿宋" w:hint="eastAsia"/>
          <w:sz w:val="30"/>
          <w:szCs w:val="30"/>
        </w:rPr>
        <w:t>2020年我局公共财政拨款支出</w:t>
      </w:r>
      <w:r>
        <w:rPr>
          <w:rFonts w:ascii="仿宋" w:eastAsia="仿宋" w:hAnsi="仿宋" w:cs="仿宋" w:hint="eastAsia"/>
          <w:sz w:val="32"/>
          <w:szCs w:val="32"/>
        </w:rPr>
        <w:t>1174.97</w:t>
      </w:r>
      <w:r>
        <w:rPr>
          <w:rFonts w:ascii="仿宋" w:eastAsia="仿宋" w:hAnsi="仿宋" w:cs="仿宋" w:hint="eastAsia"/>
          <w:sz w:val="30"/>
          <w:szCs w:val="30"/>
        </w:rPr>
        <w:t>万元，具体安排情况如下：</w:t>
      </w:r>
    </w:p>
    <w:p w:rsidR="00264CA1" w:rsidRDefault="004D5D94">
      <w:pPr>
        <w:ind w:firstLineChars="200" w:firstLine="600"/>
        <w:rPr>
          <w:rFonts w:ascii="仿宋" w:eastAsia="仿宋" w:hAnsi="仿宋" w:cs="仿宋"/>
          <w:sz w:val="30"/>
          <w:szCs w:val="30"/>
        </w:rPr>
      </w:pPr>
      <w:r>
        <w:rPr>
          <w:rFonts w:ascii="仿宋" w:eastAsia="仿宋" w:hAnsi="仿宋" w:cs="仿宋" w:hint="eastAsia"/>
          <w:sz w:val="30"/>
          <w:szCs w:val="30"/>
        </w:rPr>
        <w:t>（一）基本支出：2020年年末决算数为</w:t>
      </w:r>
      <w:r>
        <w:rPr>
          <w:rFonts w:ascii="仿宋" w:eastAsia="仿宋" w:hAnsi="仿宋" w:cs="仿宋" w:hint="eastAsia"/>
          <w:sz w:val="32"/>
          <w:szCs w:val="32"/>
        </w:rPr>
        <w:t>856.22</w:t>
      </w:r>
      <w:r>
        <w:rPr>
          <w:rFonts w:ascii="仿宋" w:eastAsia="仿宋" w:hAnsi="仿宋" w:cs="仿宋" w:hint="eastAsia"/>
          <w:sz w:val="30"/>
          <w:szCs w:val="30"/>
        </w:rPr>
        <w:t>万元，是指为保障单位机构正常运转、完成日常工作任务而发生的各项支出，包括用于基本工资、津贴补贴、退休人员生活补助等人员经费以及办公费、印刷费、水电费及办公设备购置等日常公用经费，。</w:t>
      </w:r>
    </w:p>
    <w:p w:rsidR="00264CA1" w:rsidRDefault="004D5D94">
      <w:pPr>
        <w:ind w:firstLineChars="200" w:firstLine="600"/>
        <w:rPr>
          <w:rFonts w:ascii="仿宋" w:eastAsia="仿宋" w:hAnsi="仿宋" w:cs="仿宋"/>
          <w:color w:val="FF0000"/>
          <w:sz w:val="30"/>
          <w:szCs w:val="30"/>
        </w:rPr>
      </w:pPr>
      <w:r>
        <w:rPr>
          <w:rFonts w:ascii="仿宋" w:eastAsia="仿宋" w:hAnsi="仿宋" w:cs="仿宋" w:hint="eastAsia"/>
          <w:sz w:val="30"/>
          <w:szCs w:val="30"/>
        </w:rPr>
        <w:t>（二）项目支出：2020年年末决算数为</w:t>
      </w:r>
      <w:r>
        <w:rPr>
          <w:rFonts w:ascii="仿宋" w:eastAsia="仿宋" w:hAnsi="仿宋" w:cs="仿宋" w:hint="eastAsia"/>
          <w:sz w:val="32"/>
          <w:szCs w:val="32"/>
        </w:rPr>
        <w:t>318.75</w:t>
      </w:r>
      <w:r>
        <w:rPr>
          <w:rFonts w:ascii="仿宋" w:eastAsia="仿宋" w:hAnsi="仿宋" w:cs="仿宋" w:hint="eastAsia"/>
          <w:sz w:val="30"/>
          <w:szCs w:val="30"/>
        </w:rPr>
        <w:t>万元，主要用于地质灾害防治、自然灾害救灾、创建省级安全生产示范县等。</w:t>
      </w:r>
    </w:p>
    <w:p w:rsidR="00264CA1" w:rsidRDefault="004D5D94">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（三） “三公”经费情况</w:t>
      </w:r>
    </w:p>
    <w:p w:rsidR="00264CA1" w:rsidRDefault="004D5D94">
      <w:pPr>
        <w:widowControl/>
        <w:ind w:firstLine="480"/>
        <w:rPr>
          <w:rFonts w:ascii="仿宋" w:eastAsia="仿宋" w:hAnsi="仿宋" w:cs="仿宋"/>
          <w:sz w:val="30"/>
          <w:szCs w:val="30"/>
        </w:rPr>
      </w:pPr>
      <w:r>
        <w:rPr>
          <w:rFonts w:ascii="仿宋" w:eastAsia="仿宋" w:hAnsi="仿宋" w:cs="仿宋" w:hint="eastAsia"/>
          <w:sz w:val="30"/>
          <w:szCs w:val="30"/>
        </w:rPr>
        <w:lastRenderedPageBreak/>
        <w:t>2020年我局 “三公经费”总额6.36万元，比上年减少了1.49万元，其中，公务用车3.39万元，比上年减少了0.46万元，公务接待2.96万元，比上年减少1.04万元。主要原因是节约开支，严控三公经费。没有因公出国（境）费用，公务接待36批次，290人次。</w:t>
      </w:r>
    </w:p>
    <w:p w:rsidR="00264CA1" w:rsidRDefault="004D5D94">
      <w:pPr>
        <w:ind w:firstLineChars="200" w:firstLine="602"/>
        <w:rPr>
          <w:rFonts w:ascii="仿宋" w:eastAsia="仿宋" w:hAnsi="仿宋" w:cs="仿宋"/>
          <w:b/>
          <w:sz w:val="30"/>
          <w:szCs w:val="30"/>
        </w:rPr>
      </w:pPr>
      <w:r>
        <w:rPr>
          <w:rFonts w:ascii="仿宋" w:eastAsia="仿宋" w:hAnsi="仿宋" w:cs="仿宋" w:hint="eastAsia"/>
          <w:b/>
          <w:sz w:val="30"/>
          <w:szCs w:val="30"/>
        </w:rPr>
        <w:t>三、部门整体支出绩效情况</w:t>
      </w:r>
    </w:p>
    <w:p w:rsidR="00264CA1" w:rsidRDefault="004D5D94">
      <w:pPr>
        <w:spacing w:line="600" w:lineRule="exact"/>
        <w:ind w:firstLineChars="200" w:firstLine="600"/>
        <w:rPr>
          <w:rFonts w:ascii="仿宋" w:eastAsia="仿宋" w:hAnsi="仿宋"/>
          <w:color w:val="FF0000"/>
          <w:sz w:val="32"/>
          <w:szCs w:val="32"/>
        </w:rPr>
      </w:pPr>
      <w:r>
        <w:rPr>
          <w:rFonts w:ascii="仿宋" w:eastAsia="仿宋" w:hAnsi="仿宋" w:cs="仿宋" w:hint="eastAsia"/>
          <w:sz w:val="30"/>
          <w:szCs w:val="30"/>
        </w:rPr>
        <w:t>总的来看，我局部门整体支出绩效较好，资金的使用在我县应急管理中，尤其是在安全生产、防汛防火和救灾工作中起到了积极的推动作用，2020年荣获市级安全生产先进县。</w:t>
      </w:r>
    </w:p>
    <w:p w:rsidR="00264CA1" w:rsidRDefault="004D5D94">
      <w:pPr>
        <w:ind w:firstLineChars="200" w:firstLine="602"/>
        <w:rPr>
          <w:rFonts w:ascii="仿宋" w:eastAsia="仿宋" w:hAnsi="仿宋" w:cs="仿宋"/>
          <w:b/>
          <w:sz w:val="30"/>
          <w:szCs w:val="30"/>
        </w:rPr>
      </w:pPr>
      <w:r>
        <w:rPr>
          <w:rFonts w:ascii="仿宋" w:eastAsia="仿宋" w:hAnsi="仿宋" w:cs="仿宋" w:hint="eastAsia"/>
          <w:b/>
          <w:sz w:val="30"/>
          <w:szCs w:val="30"/>
        </w:rPr>
        <w:t>四、 存在的问题</w:t>
      </w:r>
    </w:p>
    <w:p w:rsidR="00264CA1" w:rsidRDefault="004D5D94">
      <w:pPr>
        <w:ind w:right="640" w:firstLine="645"/>
        <w:rPr>
          <w:rFonts w:ascii="仿宋" w:eastAsia="仿宋" w:hAnsi="仿宋"/>
          <w:sz w:val="32"/>
          <w:szCs w:val="32"/>
        </w:rPr>
      </w:pPr>
      <w:r>
        <w:rPr>
          <w:rFonts w:ascii="仿宋" w:eastAsia="仿宋" w:hAnsi="仿宋" w:cs="仿宋" w:hint="eastAsia"/>
          <w:sz w:val="30"/>
          <w:szCs w:val="30"/>
        </w:rPr>
        <w:t>一是上级专项资金的使用滞后；二是公用经费和工会经费预算不足；三是常规性工作经费没纳入预算。</w:t>
      </w:r>
    </w:p>
    <w:p w:rsidR="00264CA1" w:rsidRDefault="004D5D94">
      <w:pPr>
        <w:ind w:firstLineChars="200" w:firstLine="602"/>
        <w:rPr>
          <w:rFonts w:ascii="仿宋" w:eastAsia="仿宋" w:hAnsi="仿宋" w:cs="仿宋"/>
          <w:b/>
          <w:sz w:val="30"/>
          <w:szCs w:val="30"/>
        </w:rPr>
      </w:pPr>
      <w:r>
        <w:rPr>
          <w:rFonts w:ascii="仿宋" w:eastAsia="仿宋" w:hAnsi="仿宋" w:cs="仿宋" w:hint="eastAsia"/>
          <w:b/>
          <w:sz w:val="30"/>
          <w:szCs w:val="30"/>
        </w:rPr>
        <w:t>五、改进措施和有关建议</w:t>
      </w:r>
    </w:p>
    <w:p w:rsidR="00264CA1" w:rsidRDefault="004D5D94">
      <w:pPr>
        <w:ind w:firstLineChars="200" w:firstLine="600"/>
        <w:rPr>
          <w:rFonts w:ascii="仿宋" w:eastAsia="仿宋" w:hAnsi="仿宋"/>
          <w:sz w:val="32"/>
          <w:szCs w:val="32"/>
          <w:shd w:val="clear" w:color="auto" w:fill="FFFFFF"/>
        </w:rPr>
      </w:pPr>
      <w:r>
        <w:rPr>
          <w:rFonts w:ascii="仿宋" w:eastAsia="仿宋" w:hAnsi="仿宋" w:cs="仿宋" w:hint="eastAsia"/>
          <w:sz w:val="30"/>
          <w:szCs w:val="30"/>
        </w:rPr>
        <w:t>一是总结工作经验，加快上级专项资金的使用；二是根据工作实际保障公用经费和工会经费预算；三是每年常规性工作经费纳入年初预算，保障各项工作能按时顺利开展。</w:t>
      </w:r>
    </w:p>
    <w:p w:rsidR="00264CA1" w:rsidRDefault="00264CA1">
      <w:pPr>
        <w:pStyle w:val="a7"/>
        <w:spacing w:before="0" w:beforeAutospacing="0" w:after="0" w:afterAutospacing="0" w:line="560" w:lineRule="exact"/>
        <w:ind w:firstLineChars="200" w:firstLine="640"/>
        <w:jc w:val="both"/>
        <w:rPr>
          <w:rFonts w:ascii="仿宋" w:eastAsia="仿宋" w:hAnsi="仿宋"/>
          <w:sz w:val="32"/>
          <w:szCs w:val="32"/>
          <w:shd w:val="clear" w:color="auto" w:fill="FFFFFF"/>
        </w:rPr>
      </w:pPr>
    </w:p>
    <w:p w:rsidR="00264CA1" w:rsidRDefault="004D5D94">
      <w:pPr>
        <w:pStyle w:val="a7"/>
        <w:spacing w:before="0" w:beforeAutospacing="0" w:after="0" w:afterAutospacing="0" w:line="560" w:lineRule="exact"/>
        <w:ind w:firstLineChars="1500" w:firstLine="480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隆回县应急管理局</w:t>
      </w:r>
    </w:p>
    <w:p w:rsidR="00264CA1" w:rsidRDefault="004D5D94">
      <w:pPr>
        <w:pStyle w:val="a7"/>
        <w:spacing w:before="0" w:beforeAutospacing="0" w:after="0" w:afterAutospacing="0" w:line="560" w:lineRule="exact"/>
        <w:ind w:firstLineChars="1500" w:firstLine="4800"/>
        <w:jc w:val="both"/>
        <w:rPr>
          <w:rFonts w:ascii="仿宋" w:eastAsia="仿宋" w:hAnsi="仿宋"/>
          <w:sz w:val="32"/>
          <w:szCs w:val="32"/>
        </w:rPr>
      </w:pPr>
      <w:r>
        <w:rPr>
          <w:rFonts w:ascii="仿宋" w:eastAsia="仿宋" w:hAnsi="仿宋" w:hint="eastAsia"/>
          <w:sz w:val="32"/>
          <w:szCs w:val="32"/>
          <w:shd w:val="clear" w:color="auto" w:fill="FFFFFF"/>
        </w:rPr>
        <w:t>2021年4月23日</w:t>
      </w:r>
    </w:p>
    <w:sectPr w:rsidR="00264CA1" w:rsidSect="00264CA1">
      <w:headerReference w:type="default" r:id="rId7"/>
      <w:footerReference w:type="even" r:id="rId8"/>
      <w:footerReference w:type="default" r:id="rId9"/>
      <w:pgSz w:w="11905" w:h="16837"/>
      <w:pgMar w:top="1418" w:right="1588" w:bottom="1418" w:left="1588" w:header="720" w:footer="1701" w:gutter="0"/>
      <w:pgNumType w:start="1"/>
      <w:cols w:space="720"/>
      <w:docGrid w:type="lines"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2D" w:rsidRDefault="00485F2D" w:rsidP="00264CA1">
      <w:r>
        <w:separator/>
      </w:r>
    </w:p>
  </w:endnote>
  <w:endnote w:type="continuationSeparator" w:id="0">
    <w:p w:rsidR="00485F2D" w:rsidRDefault="00485F2D" w:rsidP="00264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A1" w:rsidRDefault="00E61BE3">
    <w:pPr>
      <w:pStyle w:val="a5"/>
      <w:framePr w:wrap="around" w:vAnchor="text" w:hAnchor="margin" w:xAlign="outside" w:y="1"/>
      <w:rPr>
        <w:rStyle w:val="a8"/>
      </w:rPr>
    </w:pPr>
    <w:r>
      <w:fldChar w:fldCharType="begin"/>
    </w:r>
    <w:r w:rsidR="004D5D94">
      <w:rPr>
        <w:rStyle w:val="a8"/>
      </w:rPr>
      <w:instrText xml:space="preserve">PAGE  </w:instrText>
    </w:r>
    <w:r>
      <w:fldChar w:fldCharType="end"/>
    </w:r>
  </w:p>
  <w:p w:rsidR="00264CA1" w:rsidRDefault="00264CA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A1" w:rsidRDefault="004D5D94">
    <w:pPr>
      <w:pStyle w:val="a5"/>
      <w:framePr w:wrap="around" w:vAnchor="text" w:hAnchor="margin" w:xAlign="outside" w:y="1"/>
      <w:rPr>
        <w:rStyle w:val="a8"/>
        <w:sz w:val="28"/>
        <w:szCs w:val="28"/>
      </w:rPr>
    </w:pPr>
    <w:r>
      <w:rPr>
        <w:rStyle w:val="a8"/>
        <w:rFonts w:cs="宋体" w:hint="eastAsia"/>
      </w:rPr>
      <w:t>—</w:t>
    </w:r>
    <w:r w:rsidR="00E61BE3">
      <w:rPr>
        <w:sz w:val="28"/>
        <w:szCs w:val="28"/>
      </w:rPr>
      <w:fldChar w:fldCharType="begin"/>
    </w:r>
    <w:r>
      <w:rPr>
        <w:rStyle w:val="a8"/>
        <w:sz w:val="28"/>
        <w:szCs w:val="28"/>
      </w:rPr>
      <w:instrText xml:space="preserve">PAGE  </w:instrText>
    </w:r>
    <w:r w:rsidR="00E61BE3">
      <w:rPr>
        <w:sz w:val="28"/>
        <w:szCs w:val="28"/>
      </w:rPr>
      <w:fldChar w:fldCharType="separate"/>
    </w:r>
    <w:r w:rsidR="00BA2DF0">
      <w:rPr>
        <w:rStyle w:val="a8"/>
        <w:noProof/>
        <w:sz w:val="28"/>
        <w:szCs w:val="28"/>
      </w:rPr>
      <w:t>11</w:t>
    </w:r>
    <w:r w:rsidR="00E61BE3">
      <w:rPr>
        <w:sz w:val="28"/>
        <w:szCs w:val="28"/>
      </w:rPr>
      <w:fldChar w:fldCharType="end"/>
    </w:r>
    <w:r>
      <w:rPr>
        <w:rStyle w:val="a8"/>
        <w:rFonts w:cs="宋体" w:hint="eastAsia"/>
      </w:rPr>
      <w:t>—</w:t>
    </w:r>
  </w:p>
  <w:p w:rsidR="00264CA1" w:rsidRDefault="00264CA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2D" w:rsidRDefault="00485F2D" w:rsidP="00264CA1">
      <w:r>
        <w:separator/>
      </w:r>
    </w:p>
  </w:footnote>
  <w:footnote w:type="continuationSeparator" w:id="0">
    <w:p w:rsidR="00485F2D" w:rsidRDefault="00485F2D" w:rsidP="00264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A1" w:rsidRDefault="00264CA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D538B0"/>
    <w:rsid w:val="00046342"/>
    <w:rsid w:val="00082332"/>
    <w:rsid w:val="000D5801"/>
    <w:rsid w:val="00146A24"/>
    <w:rsid w:val="001B1586"/>
    <w:rsid w:val="001C7A98"/>
    <w:rsid w:val="00264CA1"/>
    <w:rsid w:val="002A01BE"/>
    <w:rsid w:val="00403312"/>
    <w:rsid w:val="00485F2D"/>
    <w:rsid w:val="004C1D20"/>
    <w:rsid w:val="004D5D94"/>
    <w:rsid w:val="005C6B3B"/>
    <w:rsid w:val="006A45CF"/>
    <w:rsid w:val="007F3D08"/>
    <w:rsid w:val="007F417E"/>
    <w:rsid w:val="008261AB"/>
    <w:rsid w:val="00860BE5"/>
    <w:rsid w:val="00944BFD"/>
    <w:rsid w:val="00966B23"/>
    <w:rsid w:val="009E315A"/>
    <w:rsid w:val="00A61CA2"/>
    <w:rsid w:val="00B56E2F"/>
    <w:rsid w:val="00B75756"/>
    <w:rsid w:val="00BA2DF0"/>
    <w:rsid w:val="00C25C8A"/>
    <w:rsid w:val="00CA0407"/>
    <w:rsid w:val="00E00739"/>
    <w:rsid w:val="00E51648"/>
    <w:rsid w:val="00E61BE3"/>
    <w:rsid w:val="00E82785"/>
    <w:rsid w:val="0173411D"/>
    <w:rsid w:val="021865EC"/>
    <w:rsid w:val="02BD5B4E"/>
    <w:rsid w:val="030A7923"/>
    <w:rsid w:val="037560C0"/>
    <w:rsid w:val="063441D2"/>
    <w:rsid w:val="07B02286"/>
    <w:rsid w:val="07E942B5"/>
    <w:rsid w:val="0801164E"/>
    <w:rsid w:val="099370AE"/>
    <w:rsid w:val="0A217EE0"/>
    <w:rsid w:val="0C650FD4"/>
    <w:rsid w:val="0CCB693F"/>
    <w:rsid w:val="11C9334F"/>
    <w:rsid w:val="13113C31"/>
    <w:rsid w:val="150F25C9"/>
    <w:rsid w:val="163F6D3F"/>
    <w:rsid w:val="16FB462A"/>
    <w:rsid w:val="18D538B0"/>
    <w:rsid w:val="19203082"/>
    <w:rsid w:val="193D591B"/>
    <w:rsid w:val="19CA28F6"/>
    <w:rsid w:val="19DE2049"/>
    <w:rsid w:val="1C686F8D"/>
    <w:rsid w:val="1C763E65"/>
    <w:rsid w:val="1FE14729"/>
    <w:rsid w:val="21070CAE"/>
    <w:rsid w:val="221B4427"/>
    <w:rsid w:val="2483632E"/>
    <w:rsid w:val="298C5439"/>
    <w:rsid w:val="2DF74012"/>
    <w:rsid w:val="32CD02D8"/>
    <w:rsid w:val="34830B53"/>
    <w:rsid w:val="35987031"/>
    <w:rsid w:val="36A17A89"/>
    <w:rsid w:val="36BC5454"/>
    <w:rsid w:val="3DD50C02"/>
    <w:rsid w:val="40E70B19"/>
    <w:rsid w:val="445C57AF"/>
    <w:rsid w:val="49201968"/>
    <w:rsid w:val="498B4C7C"/>
    <w:rsid w:val="4BBE11AA"/>
    <w:rsid w:val="4C4A1DB3"/>
    <w:rsid w:val="4D98283F"/>
    <w:rsid w:val="4F7025E9"/>
    <w:rsid w:val="51D82BA5"/>
    <w:rsid w:val="52A04CD3"/>
    <w:rsid w:val="53803E8F"/>
    <w:rsid w:val="542663AA"/>
    <w:rsid w:val="57043D67"/>
    <w:rsid w:val="578373A3"/>
    <w:rsid w:val="57E65FB4"/>
    <w:rsid w:val="58B0666E"/>
    <w:rsid w:val="593158EA"/>
    <w:rsid w:val="59627B8D"/>
    <w:rsid w:val="59681F71"/>
    <w:rsid w:val="5A46362C"/>
    <w:rsid w:val="5AD20C58"/>
    <w:rsid w:val="5E1A25D1"/>
    <w:rsid w:val="5F1F7741"/>
    <w:rsid w:val="606438DA"/>
    <w:rsid w:val="62CA13E2"/>
    <w:rsid w:val="635B32B1"/>
    <w:rsid w:val="64311B10"/>
    <w:rsid w:val="65D97339"/>
    <w:rsid w:val="66FD561D"/>
    <w:rsid w:val="67D7165E"/>
    <w:rsid w:val="68191A5A"/>
    <w:rsid w:val="68343AF9"/>
    <w:rsid w:val="6B533148"/>
    <w:rsid w:val="6E7B1A2D"/>
    <w:rsid w:val="70410079"/>
    <w:rsid w:val="70B173B6"/>
    <w:rsid w:val="73EA69F3"/>
    <w:rsid w:val="74292921"/>
    <w:rsid w:val="76755F49"/>
    <w:rsid w:val="78853E63"/>
    <w:rsid w:val="793E75EE"/>
    <w:rsid w:val="7B1E659F"/>
    <w:rsid w:val="7DFA2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4CA1"/>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264CA1"/>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64CA1"/>
    <w:pPr>
      <w:ind w:firstLine="420"/>
    </w:pPr>
  </w:style>
  <w:style w:type="paragraph" w:styleId="a4">
    <w:name w:val="Body Text Indent"/>
    <w:basedOn w:val="a"/>
    <w:qFormat/>
    <w:rsid w:val="00264CA1"/>
    <w:pPr>
      <w:ind w:firstLineChars="200" w:firstLine="640"/>
    </w:pPr>
    <w:rPr>
      <w:sz w:val="32"/>
    </w:rPr>
  </w:style>
  <w:style w:type="paragraph" w:styleId="a5">
    <w:name w:val="footer"/>
    <w:basedOn w:val="a"/>
    <w:qFormat/>
    <w:rsid w:val="00264CA1"/>
    <w:pPr>
      <w:tabs>
        <w:tab w:val="center" w:pos="4153"/>
        <w:tab w:val="right" w:pos="8306"/>
      </w:tabs>
      <w:snapToGrid w:val="0"/>
      <w:jc w:val="left"/>
    </w:pPr>
    <w:rPr>
      <w:sz w:val="18"/>
      <w:szCs w:val="18"/>
    </w:rPr>
  </w:style>
  <w:style w:type="paragraph" w:styleId="a6">
    <w:name w:val="header"/>
    <w:basedOn w:val="a"/>
    <w:qFormat/>
    <w:rsid w:val="00264CA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64CA1"/>
    <w:pPr>
      <w:spacing w:before="100" w:beforeAutospacing="1" w:after="100" w:afterAutospacing="1"/>
      <w:jc w:val="left"/>
    </w:pPr>
    <w:rPr>
      <w:rFonts w:ascii="Calibri" w:hAnsi="Calibri" w:cs="宋体"/>
      <w:kern w:val="0"/>
      <w:sz w:val="24"/>
    </w:rPr>
  </w:style>
  <w:style w:type="paragraph" w:styleId="20">
    <w:name w:val="Body Text First Indent 2"/>
    <w:basedOn w:val="a4"/>
    <w:uiPriority w:val="99"/>
    <w:qFormat/>
    <w:rsid w:val="00264CA1"/>
    <w:pPr>
      <w:ind w:firstLine="420"/>
    </w:pPr>
  </w:style>
  <w:style w:type="character" w:styleId="a8">
    <w:name w:val="page number"/>
    <w:basedOn w:val="a1"/>
    <w:qFormat/>
    <w:rsid w:val="00264CA1"/>
  </w:style>
  <w:style w:type="paragraph" w:customStyle="1" w:styleId="p16">
    <w:name w:val="p16"/>
    <w:basedOn w:val="a"/>
    <w:uiPriority w:val="99"/>
    <w:qFormat/>
    <w:rsid w:val="00264CA1"/>
    <w:pPr>
      <w:widowControl/>
    </w:pPr>
    <w:rPr>
      <w:kern w:val="0"/>
      <w:szCs w:val="21"/>
    </w:rPr>
  </w:style>
  <w:style w:type="paragraph" w:customStyle="1" w:styleId="p18">
    <w:name w:val="p18"/>
    <w:basedOn w:val="a"/>
    <w:qFormat/>
    <w:rsid w:val="00264CA1"/>
    <w:pPr>
      <w:spacing w:before="100" w:beforeAutospacing="1"/>
    </w:pPr>
    <w:rPr>
      <w:szCs w:val="21"/>
    </w:rPr>
  </w:style>
  <w:style w:type="paragraph" w:customStyle="1" w:styleId="p0">
    <w:name w:val="p0"/>
    <w:basedOn w:val="a"/>
    <w:uiPriority w:val="99"/>
    <w:qFormat/>
    <w:rsid w:val="00264CA1"/>
    <w:pPr>
      <w:widowControl/>
    </w:pPr>
    <w:rPr>
      <w:kern w:val="0"/>
      <w:szCs w:val="21"/>
    </w:rPr>
  </w:style>
  <w:style w:type="paragraph" w:styleId="a9">
    <w:name w:val="List Paragraph"/>
    <w:basedOn w:val="a"/>
    <w:uiPriority w:val="99"/>
    <w:unhideWhenUsed/>
    <w:qFormat/>
    <w:rsid w:val="00264CA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1018</Words>
  <Characters>5808</Characters>
  <Application>Microsoft Office Word</Application>
  <DocSecurity>0</DocSecurity>
  <Lines>48</Lines>
  <Paragraphs>13</Paragraphs>
  <ScaleCrop>false</ScaleCrop>
  <Company>微软中国</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DELL</cp:lastModifiedBy>
  <cp:revision>26</cp:revision>
  <cp:lastPrinted>2021-04-20T07:04:00Z</cp:lastPrinted>
  <dcterms:created xsi:type="dcterms:W3CDTF">2021-04-19T07:48:00Z</dcterms:created>
  <dcterms:modified xsi:type="dcterms:W3CDTF">2022-05-09T07:11:00Z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FC4AD5B48165493FADE0A0374E14E380</vt:lpwstr>
  </property>
</Properties>
</file>