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8"/>
        <w:tblW w:w="907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295"/>
        <w:gridCol w:w="825"/>
        <w:gridCol w:w="720"/>
        <w:gridCol w:w="923"/>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2"/>
            <w:tcBorders>
              <w:top w:val="nil"/>
              <w:left w:val="nil"/>
              <w:bottom w:val="nil"/>
              <w:right w:val="nil"/>
            </w:tcBorders>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rPr>
              <w:t>2</w:t>
            </w:r>
            <w:r>
              <w:rPr>
                <w:rFonts w:hint="eastAsia" w:ascii="黑体" w:hAnsi="黑体" w:eastAsia="黑体" w:cs="黑体"/>
                <w:sz w:val="24"/>
                <w:lang w:val="en-US" w:eastAsia="zh-CN"/>
              </w:rPr>
              <w:t>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52"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8"/>
          </w:tcPr>
          <w:p>
            <w:pPr>
              <w:spacing w:line="540" w:lineRule="exact"/>
              <w:jc w:val="left"/>
              <w:rPr>
                <w:rFonts w:ascii="楷体" w:hAnsi="楷体" w:eastAsia="楷体" w:cs="楷体"/>
                <w:szCs w:val="21"/>
              </w:rPr>
            </w:pPr>
            <w:r>
              <w:rPr>
                <w:rFonts w:hint="eastAsia" w:ascii="楷体" w:hAnsi="楷体" w:eastAsia="楷体" w:cs="楷体"/>
                <w:szCs w:val="21"/>
              </w:rPr>
              <w:t>隆回县红十字会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val="en-US" w:eastAsia="zh-CN"/>
              </w:rPr>
              <w:t>7</w:t>
            </w:r>
          </w:p>
        </w:tc>
        <w:tc>
          <w:tcPr>
            <w:tcW w:w="1559" w:type="dxa"/>
            <w:gridSpan w:val="2"/>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4"/>
          </w:tcPr>
          <w:p>
            <w:pPr>
              <w:spacing w:line="540" w:lineRule="exact"/>
              <w:ind w:firstLine="105" w:firstLineChars="50"/>
              <w:jc w:val="left"/>
              <w:rPr>
                <w:rFonts w:hint="eastAsia" w:ascii="楷体" w:hAnsi="楷体" w:eastAsia="楷体" w:cs="楷体"/>
                <w:szCs w:val="21"/>
                <w:lang w:eastAsia="zh-CN"/>
              </w:rPr>
            </w:pPr>
            <w:r>
              <w:rPr>
                <w:rFonts w:hint="eastAsia" w:ascii="楷体" w:hAnsi="楷体" w:eastAsia="楷体" w:cs="楷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3510"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8"/>
          </w:tcPr>
          <w:p>
            <w:pPr>
              <w:spacing w:line="340" w:lineRule="exact"/>
              <w:jc w:val="left"/>
              <w:rPr>
                <w:rFonts w:ascii="楷体" w:hAnsi="楷体" w:eastAsia="楷体" w:cs="楷体"/>
                <w:szCs w:val="21"/>
              </w:rPr>
            </w:pPr>
            <w:r>
              <w:rPr>
                <w:rFonts w:hint="eastAsia" w:ascii="楷体" w:hAnsi="楷体" w:eastAsia="楷体" w:cs="楷体"/>
                <w:szCs w:val="21"/>
              </w:rPr>
              <w:t>（一）宣传、执行《中华人民共和国红十字会法》、《湖南省实施&lt;中华人民共和国红十字会法&gt;办法》等法律法规。（二）开展备灾救灾工作，在自然灾害和突发事件中开展救援救护和救助，及时向灾区群众和受难者提供急需的人道主义援助。（三）开展卫生救护和防病知识的宣传普及和初级救护培训工作，并组织动员群众参加意外伤害和自然灾害的现场救护。（四）参与组织、宣传、动员输血献血工作；推动无偿献血事业发展；组织管理器官捐献、造血干细胞捐献和遗体捐献。（五）组织和管理会员、志愿工作者开展符合红十字会宗旨的社会服务工作；依法开展社会募捐活动。（六）组织红十字青少年开展建设社会主义精神文明和弘扬人道主义活动。（七）按照国家有关规定开展国内、境外、国外红十字会的交流和合作。（八）完成县委、县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117.29</w:t>
            </w:r>
          </w:p>
        </w:tc>
        <w:tc>
          <w:tcPr>
            <w:tcW w:w="1287" w:type="dxa"/>
            <w:gridSpan w:val="2"/>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825" w:type="dxa"/>
          </w:tcPr>
          <w:p>
            <w:pPr>
              <w:spacing w:line="560" w:lineRule="exact"/>
              <w:jc w:val="left"/>
              <w:rPr>
                <w:rFonts w:ascii="楷体" w:hAnsi="楷体" w:eastAsia="楷体" w:cs="楷体"/>
                <w:szCs w:val="21"/>
              </w:rPr>
            </w:pPr>
            <w:r>
              <w:rPr>
                <w:rFonts w:hint="eastAsia" w:ascii="楷体" w:hAnsi="楷体" w:eastAsia="楷体" w:cs="楷体"/>
                <w:szCs w:val="21"/>
              </w:rPr>
              <w:t>0</w:t>
            </w:r>
          </w:p>
        </w:tc>
        <w:tc>
          <w:tcPr>
            <w:tcW w:w="720"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923" w:type="dxa"/>
            <w:vMerge w:val="restart"/>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117.29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spacing w:line="240" w:lineRule="atLeast"/>
              <w:jc w:val="center"/>
              <w:rPr>
                <w:rFonts w:ascii="楷体" w:hAnsi="楷体" w:eastAsia="楷体" w:cs="楷体"/>
                <w:szCs w:val="21"/>
              </w:rPr>
            </w:pPr>
          </w:p>
        </w:tc>
        <w:tc>
          <w:tcPr>
            <w:tcW w:w="2372" w:type="dxa"/>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vAlign w:val="center"/>
          </w:tcPr>
          <w:p>
            <w:pPr>
              <w:jc w:val="center"/>
              <w:rPr>
                <w:rFonts w:ascii="楷体" w:hAnsi="楷体" w:eastAsia="楷体" w:cs="楷体"/>
                <w:szCs w:val="21"/>
              </w:rPr>
            </w:pPr>
            <w:r>
              <w:rPr>
                <w:rFonts w:hint="eastAsia" w:ascii="楷体" w:hAnsi="楷体" w:eastAsia="楷体" w:cs="楷体"/>
                <w:szCs w:val="21"/>
              </w:rPr>
              <w:t>0</w:t>
            </w:r>
          </w:p>
        </w:tc>
        <w:tc>
          <w:tcPr>
            <w:tcW w:w="1287" w:type="dxa"/>
            <w:gridSpan w:val="2"/>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825" w:type="dxa"/>
          </w:tcPr>
          <w:p>
            <w:pPr>
              <w:spacing w:line="560" w:lineRule="exact"/>
              <w:jc w:val="left"/>
              <w:rPr>
                <w:rFonts w:ascii="楷体" w:hAnsi="楷体" w:eastAsia="楷体" w:cs="楷体"/>
                <w:szCs w:val="21"/>
              </w:rPr>
            </w:pPr>
            <w:r>
              <w:rPr>
                <w:rFonts w:hint="eastAsia" w:ascii="楷体" w:hAnsi="楷体" w:eastAsia="楷体" w:cs="楷体"/>
                <w:szCs w:val="21"/>
              </w:rPr>
              <w:t>0</w:t>
            </w:r>
          </w:p>
        </w:tc>
        <w:tc>
          <w:tcPr>
            <w:tcW w:w="720" w:type="dxa"/>
            <w:vMerge w:val="continue"/>
            <w:vAlign w:val="center"/>
          </w:tcPr>
          <w:p>
            <w:pPr>
              <w:spacing w:line="560" w:lineRule="exact"/>
              <w:jc w:val="center"/>
              <w:rPr>
                <w:rFonts w:ascii="楷体" w:hAnsi="楷体" w:eastAsia="楷体" w:cs="楷体"/>
                <w:szCs w:val="21"/>
              </w:rPr>
            </w:pPr>
          </w:p>
        </w:tc>
        <w:tc>
          <w:tcPr>
            <w:tcW w:w="923" w:type="dxa"/>
            <w:vMerge w:val="continue"/>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vAlign w:val="center"/>
          </w:tcPr>
          <w:p>
            <w:pPr>
              <w:widowControl/>
              <w:jc w:val="left"/>
              <w:rPr>
                <w:rFonts w:ascii="楷体" w:hAnsi="楷体" w:eastAsia="楷体" w:cs="楷体"/>
                <w:szCs w:val="21"/>
              </w:rPr>
            </w:pPr>
          </w:p>
        </w:tc>
        <w:tc>
          <w:tcPr>
            <w:tcW w:w="1168" w:type="dxa"/>
            <w:vMerge w:val="restart"/>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102.97</w:t>
            </w:r>
          </w:p>
        </w:tc>
        <w:tc>
          <w:tcPr>
            <w:tcW w:w="1287" w:type="dxa"/>
            <w:gridSpan w:val="2"/>
            <w:vMerge w:val="restart"/>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825" w:type="dxa"/>
            <w:vMerge w:val="restart"/>
            <w:vAlign w:val="center"/>
          </w:tcPr>
          <w:p>
            <w:pPr>
              <w:jc w:val="left"/>
              <w:rPr>
                <w:rFonts w:hint="default" w:ascii="楷体" w:hAnsi="楷体" w:eastAsia="楷体" w:cs="楷体"/>
                <w:szCs w:val="21"/>
                <w:lang w:val="en-US" w:eastAsia="zh-CN"/>
              </w:rPr>
            </w:pPr>
            <w:r>
              <w:rPr>
                <w:rFonts w:hint="eastAsia" w:ascii="楷体" w:hAnsi="楷体" w:eastAsia="楷体" w:cs="楷体"/>
                <w:szCs w:val="21"/>
                <w:lang w:val="en-US" w:eastAsia="zh-CN"/>
              </w:rPr>
              <w:t>27.92</w:t>
            </w:r>
          </w:p>
        </w:tc>
        <w:tc>
          <w:tcPr>
            <w:tcW w:w="720" w:type="dxa"/>
            <w:vMerge w:val="restart"/>
            <w:vAlign w:val="center"/>
          </w:tcPr>
          <w:p>
            <w:pPr>
              <w:jc w:val="center"/>
              <w:rPr>
                <w:rFonts w:ascii="楷体" w:hAnsi="楷体" w:eastAsia="楷体" w:cs="楷体"/>
                <w:szCs w:val="21"/>
              </w:rPr>
            </w:pPr>
            <w:r>
              <w:rPr>
                <w:rFonts w:hint="eastAsia" w:ascii="楷体" w:hAnsi="楷体" w:eastAsia="楷体" w:cs="楷体"/>
                <w:szCs w:val="21"/>
              </w:rPr>
              <w:t>合计</w:t>
            </w:r>
          </w:p>
        </w:tc>
        <w:tc>
          <w:tcPr>
            <w:tcW w:w="923" w:type="dxa"/>
            <w:vMerge w:val="restart"/>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88" w:hRule="exact"/>
        </w:trPr>
        <w:tc>
          <w:tcPr>
            <w:tcW w:w="533" w:type="dxa"/>
            <w:vMerge w:val="continue"/>
            <w:vAlign w:val="center"/>
          </w:tcPr>
          <w:p>
            <w:pPr>
              <w:widowControl/>
              <w:jc w:val="left"/>
              <w:rPr>
                <w:rFonts w:ascii="楷体" w:hAnsi="楷体" w:eastAsia="楷体" w:cs="楷体"/>
                <w:szCs w:val="21"/>
              </w:rPr>
            </w:pPr>
          </w:p>
        </w:tc>
        <w:tc>
          <w:tcPr>
            <w:tcW w:w="1168" w:type="dxa"/>
            <w:vMerge w:val="continue"/>
            <w:vAlign w:val="center"/>
          </w:tcPr>
          <w:p>
            <w:pPr>
              <w:jc w:val="center"/>
              <w:rPr>
                <w:rFonts w:ascii="楷体" w:hAnsi="楷体" w:eastAsia="楷体" w:cs="楷体"/>
                <w:szCs w:val="21"/>
              </w:rPr>
            </w:pPr>
          </w:p>
        </w:tc>
        <w:tc>
          <w:tcPr>
            <w:tcW w:w="2372" w:type="dxa"/>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vAlign w:val="center"/>
          </w:tcPr>
          <w:p>
            <w:pPr>
              <w:jc w:val="center"/>
              <w:rPr>
                <w:rFonts w:hint="eastAsia" w:ascii="楷体" w:hAnsi="楷体" w:eastAsia="楷体" w:cs="楷体"/>
                <w:szCs w:val="21"/>
                <w:lang w:eastAsia="zh-CN"/>
              </w:rPr>
            </w:pPr>
            <w:r>
              <w:rPr>
                <w:rFonts w:hint="eastAsia" w:ascii="楷体" w:hAnsi="楷体" w:eastAsia="楷体" w:cs="楷体"/>
                <w:szCs w:val="21"/>
                <w:lang w:val="en-US" w:eastAsia="zh-CN"/>
              </w:rPr>
              <w:t>0</w:t>
            </w:r>
          </w:p>
        </w:tc>
        <w:tc>
          <w:tcPr>
            <w:tcW w:w="1287" w:type="dxa"/>
            <w:gridSpan w:val="2"/>
            <w:vMerge w:val="continue"/>
          </w:tcPr>
          <w:p>
            <w:pPr>
              <w:jc w:val="center"/>
              <w:rPr>
                <w:rFonts w:ascii="楷体" w:hAnsi="楷体" w:eastAsia="楷体" w:cs="楷体"/>
                <w:szCs w:val="21"/>
              </w:rPr>
            </w:pPr>
          </w:p>
        </w:tc>
        <w:tc>
          <w:tcPr>
            <w:tcW w:w="825" w:type="dxa"/>
            <w:vMerge w:val="continue"/>
          </w:tcPr>
          <w:p>
            <w:pPr>
              <w:jc w:val="center"/>
              <w:rPr>
                <w:rFonts w:ascii="楷体" w:hAnsi="楷体" w:eastAsia="楷体" w:cs="楷体"/>
                <w:szCs w:val="21"/>
              </w:rPr>
            </w:pPr>
          </w:p>
        </w:tc>
        <w:tc>
          <w:tcPr>
            <w:tcW w:w="720" w:type="dxa"/>
            <w:vMerge w:val="continue"/>
            <w:vAlign w:val="center"/>
          </w:tcPr>
          <w:p>
            <w:pPr>
              <w:jc w:val="center"/>
              <w:rPr>
                <w:rFonts w:ascii="楷体" w:hAnsi="楷体" w:eastAsia="楷体" w:cs="楷体"/>
                <w:szCs w:val="21"/>
              </w:rPr>
            </w:pPr>
          </w:p>
        </w:tc>
        <w:tc>
          <w:tcPr>
            <w:tcW w:w="923" w:type="dxa"/>
            <w:vMerge w:val="continue"/>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319"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8"/>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21.42</w:t>
            </w:r>
            <w:r>
              <w:rPr>
                <w:rFonts w:hint="eastAsia" w:ascii="楷体" w:hAnsi="楷体" w:eastAsia="楷体" w:cs="楷体"/>
                <w:szCs w:val="21"/>
              </w:rPr>
              <w:t>万元，实际采购金额</w:t>
            </w:r>
            <w:r>
              <w:rPr>
                <w:rFonts w:hint="eastAsia" w:ascii="楷体" w:hAnsi="楷体" w:eastAsia="楷体" w:cs="楷体"/>
                <w:szCs w:val="21"/>
                <w:lang w:val="en-US" w:eastAsia="zh-CN"/>
              </w:rPr>
              <w:t>7.41</w:t>
            </w:r>
            <w:r>
              <w:rPr>
                <w:rFonts w:hint="eastAsia" w:ascii="楷体" w:hAnsi="楷体" w:eastAsia="楷体" w:cs="楷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564"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hint="eastAsia" w:ascii="楷体" w:hAnsi="楷体" w:eastAsia="楷体" w:cs="楷体"/>
                <w:szCs w:val="21"/>
                <w:lang w:val="en-US" w:eastAsia="zh-CN"/>
              </w:rPr>
              <w:t>46.89</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00A8"/>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2" w:char="0052"/>
            </w:r>
            <w:r>
              <w:rPr>
                <w:rFonts w:ascii="楷体" w:hAnsi="楷体" w:eastAsia="楷体" w:cs="楷体"/>
                <w:szCs w:val="21"/>
              </w:rPr>
              <w:t>,</w:t>
            </w:r>
            <w:r>
              <w:rPr>
                <w:rFonts w:hint="eastAsia" w:ascii="楷体" w:hAnsi="楷体" w:eastAsia="楷体" w:cs="楷体"/>
                <w:szCs w:val="21"/>
              </w:rPr>
              <w:t>结余金额</w:t>
            </w:r>
            <w:r>
              <w:rPr>
                <w:rFonts w:ascii="楷体" w:hAnsi="楷体" w:eastAsia="楷体" w:cs="楷体"/>
                <w:szCs w:val="21"/>
              </w:rPr>
              <w:t xml:space="preserve"> </w:t>
            </w:r>
            <w:r>
              <w:rPr>
                <w:rFonts w:hint="eastAsia" w:ascii="楷体" w:hAnsi="楷体" w:eastAsia="楷体" w:cs="楷体"/>
                <w:szCs w:val="21"/>
                <w:lang w:val="en-US" w:eastAsia="zh-CN"/>
              </w:rPr>
              <w:t>0</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 xml:space="preserve">:  </w:t>
            </w:r>
            <w:r>
              <w:rPr>
                <w:rFonts w:hint="eastAsia" w:ascii="楷体" w:hAnsi="楷体" w:eastAsia="楷体" w:cs="楷体"/>
                <w:szCs w:val="21"/>
              </w:rPr>
              <w:t>2021年1月</w:t>
            </w:r>
            <w:r>
              <w:rPr>
                <w:rFonts w:ascii="楷体" w:hAnsi="楷体" w:eastAsia="楷体" w:cs="楷体"/>
                <w:szCs w:val="21"/>
              </w:rPr>
              <w:t xml:space="preserve"> </w:t>
            </w:r>
            <w:r>
              <w:rPr>
                <w:rFonts w:hint="eastAsia" w:ascii="楷体" w:hAnsi="楷体" w:eastAsia="楷体" w:cs="楷体"/>
                <w:szCs w:val="21"/>
              </w:rPr>
              <w:t>25日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ascii="楷体" w:hAnsi="楷体" w:eastAsia="楷体" w:cs="楷体"/>
                <w:szCs w:val="21"/>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55"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8"/>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11" w:hRule="exact"/>
        </w:trPr>
        <w:tc>
          <w:tcPr>
            <w:tcW w:w="533" w:type="dxa"/>
            <w:vMerge w:val="continue"/>
            <w:vAlign w:val="center"/>
          </w:tcPr>
          <w:p>
            <w:pPr>
              <w:widowControl/>
              <w:jc w:val="left"/>
              <w:rPr>
                <w:rFonts w:ascii="楷体" w:hAnsi="楷体" w:eastAsia="楷体" w:cs="楷体"/>
                <w:szCs w:val="21"/>
              </w:rPr>
            </w:pPr>
          </w:p>
        </w:tc>
        <w:tc>
          <w:tcPr>
            <w:tcW w:w="1168" w:type="dxa"/>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8"/>
          </w:tcPr>
          <w:p>
            <w:pPr>
              <w:spacing w:line="560" w:lineRule="exac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rPr>
              <w:sym w:font="Wingdings" w:char="F0FE"/>
            </w:r>
            <w:r>
              <w:rPr>
                <w:rFonts w:ascii="楷体" w:hAnsi="楷体" w:eastAsia="楷体" w:cs="楷体"/>
                <w:szCs w:val="21"/>
              </w:rPr>
              <w:t xml:space="preserve"> </w:t>
            </w:r>
            <w:r>
              <w:rPr>
                <w:rFonts w:hint="eastAsia" w:ascii="楷体" w:hAnsi="楷体" w:eastAsia="楷体" w:cs="楷体"/>
                <w:szCs w:val="21"/>
              </w:rPr>
              <w:t>否□</w:t>
            </w:r>
          </w:p>
          <w:p>
            <w:pPr>
              <w:spacing w:line="560" w:lineRule="exac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3665"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9"/>
          </w:tcPr>
          <w:p>
            <w:pPr>
              <w:spacing w:line="320" w:lineRule="exact"/>
              <w:rPr>
                <w:rFonts w:ascii="楷体" w:hAnsi="楷体" w:eastAsia="楷体" w:cs="楷体"/>
                <w:szCs w:val="21"/>
              </w:rPr>
            </w:pPr>
            <w:r>
              <w:rPr>
                <w:rFonts w:hint="eastAsia" w:ascii="楷体" w:hAnsi="楷体" w:eastAsia="楷体" w:cs="楷体"/>
                <w:szCs w:val="21"/>
              </w:rPr>
              <w:t>①县红十字会组织无偿献血活动52次，献血4406人次，完成计划人次的110.15%，保障了全县人民的医疗用血。②开展造血干细胞捐献宣传，招募志愿者 20 人。③器官捐献工作。1人成功捐献了肝、心、双肾、眼角膜。新增器官捐献志愿登记6人</w:t>
            </w:r>
            <w:r>
              <w:rPr>
                <w:rFonts w:hint="eastAsia" w:ascii="楷体" w:hAnsi="楷体" w:eastAsia="楷体" w:cs="楷体"/>
                <w:szCs w:val="21"/>
                <w:lang w:eastAsia="zh-CN"/>
              </w:rPr>
              <w:t>。</w:t>
            </w:r>
            <w:r>
              <w:rPr>
                <w:rFonts w:hint="eastAsia" w:ascii="楷体" w:hAnsi="楷体" w:eastAsia="楷体" w:cs="楷体"/>
                <w:szCs w:val="21"/>
              </w:rPr>
              <w:t>④人道救助工作。一是白血病救助工作，为7名白血病儿童申请小天使基金3-5万元/人，共计25万元。二是特困家庭救助工作，为14个特困家庭向省红十字会申请人道救助资金5000元-1万元/户，共计8.5万元。三是儿童营养健康帮扶项目，中国红十字基金会联合爱心企业惠氏营养品发起儿童营养健康帮扶项目，通过邵阳市红十字会转赠给县红十字会惠氏幼儿乐配方奶粉900罐、儿童配方调制乳粉2100罐，价值72.6万元，全部分配给大水田乡、麻塘山乡、虎形山瑶族乡等十个乡镇，发放给弱势群体家庭。四是博爱送万家活动，长沙市澳优公益慈善基金会等爱心单位通过省、市红十字会转赠给县红十字会价值43.26万元的美优高、欧选奶粉等物资，用于开展博爱送万家活动。全部分配给西洋江镇、南岳庙镇、滩头镇，发放给困难群众。接受定向捐赠15万元。⑤救护培训工作。举办红十字救护员培训班3期，共培训150名救护员</w:t>
            </w:r>
            <w:r>
              <w:rPr>
                <w:rFonts w:hint="eastAsia" w:ascii="楷体" w:hAnsi="楷体" w:eastAsia="楷体" w:cs="楷体"/>
                <w:szCs w:val="21"/>
                <w:lang w:eastAsia="zh-CN"/>
              </w:rPr>
              <w:t>。</w:t>
            </w:r>
            <w:r>
              <w:rPr>
                <w:rFonts w:hint="eastAsia" w:ascii="楷体" w:hAnsi="楷体" w:eastAsia="楷体" w:cs="楷体"/>
                <w:szCs w:val="21"/>
              </w:rPr>
              <w:t>开展救护普及培训5000人次。</w:t>
            </w:r>
            <w:r>
              <w:rPr>
                <w:rFonts w:hint="eastAsia" w:ascii="楷体" w:hAnsi="楷体" w:eastAsia="楷体" w:cs="楷体"/>
                <w:szCs w:val="21"/>
                <w:lang w:val="en-US" w:eastAsia="zh-CN"/>
              </w:rPr>
              <w:t>⑥</w:t>
            </w:r>
            <w:r>
              <w:rPr>
                <w:rFonts w:hint="eastAsia" w:ascii="楷体" w:hAnsi="楷体" w:eastAsia="楷体" w:cs="楷体"/>
                <w:szCs w:val="21"/>
              </w:rPr>
              <w:t>争取到2021年度省红十字会投资20万元援建小沙江镇响龙村博爱家园项目如期保质完成项目建设。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141"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9"/>
            <w:vAlign w:val="center"/>
          </w:tcPr>
          <w:p>
            <w:pPr>
              <w:jc w:val="center"/>
              <w:rPr>
                <w:rFonts w:ascii="楷体" w:hAnsi="楷体" w:eastAsia="楷体" w:cs="楷体"/>
                <w:szCs w:val="21"/>
              </w:rPr>
            </w:pPr>
            <w:r>
              <w:rPr>
                <w:rFonts w:hint="eastAsia" w:eastAsia="黑体"/>
                <w:kern w:val="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9"/>
          </w:tcPr>
          <w:p>
            <w:pPr>
              <w:rPr>
                <w:rFonts w:ascii="楷体" w:hAnsi="楷体" w:eastAsia="楷体" w:cs="楷体"/>
                <w:szCs w:val="21"/>
              </w:rPr>
            </w:pPr>
            <w:r>
              <w:rPr>
                <w:rFonts w:hint="eastAsia" w:ascii="楷体" w:hAnsi="楷体" w:eastAsia="楷体" w:cs="楷体"/>
                <w:szCs w:val="21"/>
              </w:rPr>
              <w:t>1、分析细化程度不足。提高决算分析水平，发挥决算对加强预算管理的促进作用。</w:t>
            </w:r>
          </w:p>
          <w:p>
            <w:pPr>
              <w:rPr>
                <w:rFonts w:ascii="楷体" w:hAnsi="楷体" w:eastAsia="楷体" w:cs="楷体"/>
                <w:szCs w:val="21"/>
              </w:rPr>
            </w:pPr>
            <w:r>
              <w:rPr>
                <w:rFonts w:hint="eastAsia" w:ascii="楷体" w:hAnsi="楷体" w:eastAsia="楷体" w:cs="楷体"/>
                <w:szCs w:val="21"/>
              </w:rPr>
              <w:t>2、财务管理有待创新。加强财务管理，严格财务审核。</w:t>
            </w:r>
          </w:p>
          <w:p>
            <w:pPr>
              <w:rPr>
                <w:rFonts w:ascii="楷体" w:hAnsi="楷体" w:eastAsia="楷体" w:cs="楷体"/>
                <w:szCs w:val="21"/>
              </w:rPr>
            </w:pPr>
            <w:r>
              <w:rPr>
                <w:rFonts w:hint="eastAsia" w:ascii="楷体" w:hAnsi="楷体" w:eastAsia="楷体" w:cs="楷体"/>
                <w:szCs w:val="21"/>
              </w:rPr>
              <w:t>3、资产管理有待加强。强化监督部门的职责意识，对财务管理机制进行调整与规范。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725" w:hRule="atLeast"/>
        </w:trPr>
        <w:tc>
          <w:tcPr>
            <w:tcW w:w="533" w:type="dxa"/>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9"/>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rPr>
                <w:rFonts w:hint="eastAsia" w:ascii="楷体" w:hAnsi="楷体" w:eastAsia="楷体" w:cs="楷体"/>
                <w:szCs w:val="21"/>
                <w:lang w:val="en-US" w:eastAsia="zh-CN"/>
              </w:rPr>
            </w:pPr>
            <w:r>
              <w:rPr>
                <w:rFonts w:hint="eastAsia" w:ascii="楷体" w:hAnsi="楷体" w:eastAsia="楷体" w:cs="楷体"/>
                <w:szCs w:val="21"/>
                <w:lang w:val="en-US" w:eastAsia="zh-CN"/>
              </w:rPr>
              <w:t>同意</w:t>
            </w: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bookmarkStart w:id="0" w:name="_GoBack"/>
            <w:bookmarkEnd w:id="0"/>
          </w:p>
        </w:tc>
      </w:tr>
    </w:tbl>
    <w:p>
      <w:pPr>
        <w:rPr>
          <w:rFonts w:ascii="宋体"/>
          <w:szCs w:val="21"/>
        </w:rPr>
      </w:pPr>
    </w:p>
    <w:p>
      <w:pPr>
        <w:rPr>
          <w:rFonts w:hint="eastAsia" w:ascii="楷体" w:hAnsi="楷体" w:eastAsia="楷体" w:cs="楷体"/>
          <w:szCs w:val="21"/>
        </w:rPr>
      </w:pPr>
    </w:p>
    <w:sectPr>
      <w:headerReference r:id="rId3" w:type="default"/>
      <w:footerReference r:id="rId4" w:type="default"/>
      <w:footerReference r:id="rId5" w:type="even"/>
      <w:pgSz w:w="11905" w:h="16837"/>
      <w:pgMar w:top="0"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hint="eastAsia" w:cs="宋体"/>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r>
      <w:rPr>
        <w:rStyle w:val="10"/>
        <w:rFonts w:hint="eastAsia" w:cs="宋体"/>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4M2VhZjRiNTA4ZjU2ZTM3N2IzM2EyNTA1MGFlNDAifQ=="/>
  </w:docVars>
  <w:rsids>
    <w:rsidRoot w:val="18D538B0"/>
    <w:rsid w:val="00105AAA"/>
    <w:rsid w:val="00114A9A"/>
    <w:rsid w:val="00176E4B"/>
    <w:rsid w:val="001C0A52"/>
    <w:rsid w:val="00200319"/>
    <w:rsid w:val="00217F36"/>
    <w:rsid w:val="00335742"/>
    <w:rsid w:val="00364154"/>
    <w:rsid w:val="003D3F76"/>
    <w:rsid w:val="004049AB"/>
    <w:rsid w:val="00444CF6"/>
    <w:rsid w:val="004A2640"/>
    <w:rsid w:val="00514CAB"/>
    <w:rsid w:val="00562459"/>
    <w:rsid w:val="005D4F26"/>
    <w:rsid w:val="005F7C1F"/>
    <w:rsid w:val="00634EC1"/>
    <w:rsid w:val="00855CCB"/>
    <w:rsid w:val="00AC55BF"/>
    <w:rsid w:val="00C102E6"/>
    <w:rsid w:val="00C358CC"/>
    <w:rsid w:val="00C47987"/>
    <w:rsid w:val="00C6261B"/>
    <w:rsid w:val="00E671D7"/>
    <w:rsid w:val="00E7197C"/>
    <w:rsid w:val="00FA37E6"/>
    <w:rsid w:val="113078EE"/>
    <w:rsid w:val="13113C31"/>
    <w:rsid w:val="18D538B0"/>
    <w:rsid w:val="1C715B8C"/>
    <w:rsid w:val="1EAF76CD"/>
    <w:rsid w:val="2483632E"/>
    <w:rsid w:val="49201968"/>
    <w:rsid w:val="54596730"/>
    <w:rsid w:val="635B32B1"/>
    <w:rsid w:val="645B49B4"/>
    <w:rsid w:val="7709593C"/>
    <w:rsid w:val="78853E63"/>
    <w:rsid w:val="7DCD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b/>
      <w:bCs/>
      <w:sz w:val="44"/>
    </w:r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99"/>
    <w:pPr>
      <w:ind w:firstLine="420"/>
    </w:pPr>
  </w:style>
  <w:style w:type="character" w:styleId="10">
    <w:name w:val="page number"/>
    <w:basedOn w:val="9"/>
    <w:qFormat/>
    <w:uiPriority w:val="0"/>
  </w:style>
  <w:style w:type="paragraph" w:customStyle="1" w:styleId="11">
    <w:name w:val="cjk"/>
    <w:basedOn w:val="1"/>
    <w:qFormat/>
    <w:uiPriority w:val="0"/>
    <w:pPr>
      <w:widowControl/>
      <w:spacing w:before="100" w:beforeAutospacing="1" w:after="142"/>
    </w:pPr>
    <w:rPr>
      <w:rFonts w:ascii="等线" w:hAnsi="等线" w:eastAsia="等线"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C0E9A7-39F2-43F8-B52D-18BDDEB3303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1682</Words>
  <Characters>1782</Characters>
  <Lines>12</Lines>
  <Paragraphs>3</Paragraphs>
  <TotalTime>4</TotalTime>
  <ScaleCrop>false</ScaleCrop>
  <LinksUpToDate>false</LinksUpToDate>
  <CharactersWithSpaces>1902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2021-04-20T06:50:00Z</dcterms:created>
  <dc:creator>彭礼孝</dc:creator>
  <cp:lastModifiedBy>五月天</cp:lastModifiedBy>
  <dcterms:modified xsi:type="dcterms:W3CDTF">2022-08-23T03:17:59Z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FC4AD5B48165493FADE0A0374E14E380</vt:lpwstr>
  </property>
</Properties>
</file>