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eastAsia="zh-CN"/>
        </w:rPr>
        <w:t>隆回县人民政府桃花坪街道办事处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>
      <w:pPr>
        <w:ind w:firstLine="420" w:firstLineChars="20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机构情况。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(一）街道党工委、办事处设置6个党政内设机构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1.党政综合办公室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负责机关党务和行政事务工作；负责机关文电、机要、保密、信息、会务、档案、督办、政务公开、后勤保障等工作；负责重要事项的综合协调和重要文稿的起草审核工作；承担社会经济调查和综合统计等职责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2.基层党建办公室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主要负责基层党的建设、意识形态、统一战线工作；负责协调辖区内群团组织开展工作；负责机关干部队伍建设等工作。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3.经济发展办公室（挂农业农村工作办公室牌子和扶贫工作办公室两块牌子）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紧扣城乡基层治理，聚焦乡村振兴等重点工作，承担经济发展规划的制定和落实，第一、二、三产业的指导、管理等职责；负责道路交通建设的相关工作；负责精准扶贫、移民开发等工作；负责产业发展、乡镇企业、民营企业、招商引资、科技普及等工作；负责产品质量、食品药品安全、市场监管等工作；负责农村经济、农业发展、水利等工作；负责动物检疫防疫等工作；承担农民负担监督管理、农村土地承包管理、集体资产与村级财务管理指导、村级财务审计、农民专业合作组织指导和管理等职责；负责协调与发展经济相关的其他工作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4.社会事务办公室（挂行政审批服务办公室牌子）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就业和社会保障、民政优抚、社会救助、医疗保障、卫生健康、文体、计生、教育、慈善、民族宗教等工作；负责退役军人事务等工作；负责行政审批和公共服务事项管理工作；负责协调职业技能培训和劳务输出、劳动争议调解、社会保障服务等工作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5.社会治安和应急管理办公室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社会治安、维护社会稳定、群众工作和应急管理工作；承担人民来信来访职责，协调政法综治、群防群治、司法、人民调解、安全文明创建等工作。负责宣传贯彻安全生产有关法律、法规、政策；负责安全生产综合监管和打非治违、禁毒等工作；负责突发公共事件（如火灾、洪灾、旱灾、地震、地质灾害等自然灾害、事故灾难、公共卫生事件，社会安全事件等）的应急管理和处置等工作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6.自然资源和生态环境办公室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宣传贯彻自然资源、生态环境保护、城镇建设和管理有关法律、法规政策；负责自然资源管理工作；负责村镇城市规划、建设、管理工作；负责市容市貌、环境卫生整治工作；负责基础设施建设与维护工作；负责协调小区物业管理工作；负责生态环境建设、环境保护监督管理等工作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依法设置人大机构，依章程依规定设置政协机构、党的纪律检查委员会和监察机构、工会、共青团、妇联等组织。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设立人民武装部，依法履行国防动员、国防教育、国防设施保护、兵役征集、双拥、民兵预备役建设等职能。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财政所暂维持现有管理体制。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（二）街道党工委、办事处设置1个综合行政执法大队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级主管部门未设置专业执法机构的，根据县级主管部门的委托，由行政综合执法大队以镇（乡）人民政府（街道办事处）名义开展执法工作，依法相对集中行使行政处罚权，接受县级主管部门的业务指导和监督；县级主管部门设置有专业执法机构的，根据县级主管部门的委托，负责本行政区域（县城规划区除外）范围内的日常巡查、综合检查、接受投诉举报、协助调查取证等工作，加强联合执法、联动执法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（三）街道党工委、办事处设置4个直属事业单位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（1）社会事务综合服务中心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群众提供社会事业公共服务。宣传贯彻相关政策方针；负责劳动就业、残疾人事业和基本养老、医疗、工伤、失业等社会保险相关事务性工作；为群众文化生活提供服务。组织群众文化体育活动，繁荣群众文化生活，协助管理文化市场、广播电视等工作；负责网格化综合管理的事务性、辅助性工作，为网格化管理的巡查、指挥、调度、督办等工作提供技术支撑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（2）农业综合服务中心（挂动物防疫站牌子）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农村农业发展、提高农民科技文化水平提供保障和服务。宣传贯彻相关法律、法规、政策；负责农业技术推广应用与指导，农作物病虫害监测与防治，农产品质量监管服务；负责国家强制免疫的动物疫病的免疫接种和重大动物疫病的检测、报告、控制与扑灭，开展畜禽水产品品种改良工作；负责水利基本建设规划的实施，水利设施防洪保安与开发利用，防汛抗旱等事务性工作；负责保护森林资源，推广林业科学技术，加强林区生态建设、森林防火与病虫害防治等工作；做好其他相关社会服务工作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（3）政务服务中心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本级和经授权行使的相关行政审批服务、证照办理、信息咨询、非涉密文件查询服务等工作，进一步优化审批流程，简化审批程序，为居民提供优质快捷的政务服务；负责对窗口工作人员的绩效考核工作；受理当事人对窗口及窗口工作人员服务质量、办事效率等方面的投诉等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(4)退役军人服务站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协调落实就业创业、优扶优待、权益保障等方面的政策，承担信息采集、关系转接、联络接待、帮扶援助、情况摸底、走访慰问等事务性工作。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人员编制情况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年12月31日，单位共计201人，其中机关公务员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61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人，工勤人员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人，财政所公务员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人，工勤人员4人，其余事业单位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127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主要职能职责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贯彻执行党的路线、方针、政策和国家法律法规，贯彻执行上级行政机关的决议，执行街道人民代表大会的决议。制定和实施本行政区域的经济和社会发展计划，编制并执行财政预算。管理本行政区域经济和各项社会事业的行政工作。负责辖区内行政执法工作，维护社会秩序，保护公民人身、民主、财产等合法权利，保护各种经济组织的合法权益。完成上级党委政府交办的其他事项以及法律规定的其它职责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年的重点工作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桃花坪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街道办事处在县委、县政府的正确领导下，认真贯彻落实中央、省、市、县指示精神，街道上下同心协力，各项工作较好完成。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、夯实基础，党建工作统筹引领。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聚焦中心强思想，坚持旗帜鲜明讲政治；强化意识形态，深化巩固“党史学习教育”成果；规范提升强基础，夯实基层组织凝聚力；加强队伍管理，提升党员素质；严肃纪律监督，纯洁干部队伍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napToGrid/>
        <w:spacing w:line="640" w:lineRule="exact"/>
        <w:ind w:firstLine="640" w:firstLineChars="200"/>
        <w:rPr>
          <w:rFonts w:hint="default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、群策群力，乡村振兴全面展开。重点抓防返贫监测和结对帮扶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着力抓基础设施和项目建设；有序开展“12345识别工作法”和“三网三员三色”工作；巩固乡村振兴“七大专项行动”。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、戮力同心，重大风险防范可控。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(4)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、多措并举，项目建设扎实推进。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(5)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、筑牢根基，产业发展顺利推动。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(6)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、至微至诚，保障民生积极作为。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绩效目标设定情况。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）部门整体支出情况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本年支出合计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5650.77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万元，与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4886.48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万元相比增加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764.29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万元，增加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15.64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%，其中人员经费支出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4600.42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万元，与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4102.07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万元相比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498.35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12.15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%，公用经费支出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1034.35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万元，与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778.42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万元相比增加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255.93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万元，增加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32.88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%，项目支出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万元，与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万元相比增加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万元，增加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%，增加主要原因为本年度村级基础建设项目增加。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差异原因分析。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年本单位决算数与预算数相差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1757.02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万元，其中：一般公共服务支出相差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156.59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万元、社会保障和就业支出相差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36.34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万元、卫生健康支出相差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19.01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万元、城乡社区支出农林水支出相差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25.58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万元、农林水支出相差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1824.69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万元、其他支出相差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万元。主要是因为年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初预算未涉及部门分功能分类科目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（一）基本支出情况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年度我单位的基本支出数为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5650.77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万元，这是为保障单位机构正常运转、完成日常工作任务而发生的各项支出，包括用于基本工资、津贴补贴等人员经费以及办公费、印刷费、水电费、办公设备购置等日常公用经费及村级运转等经费。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县级专项资金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情况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我单位在202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年度，项目支出为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元。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（三）“三公”经费情况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因公出国（境）费用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0元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公务接待费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0元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公务用车购置及运行费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5.02万元，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主要是公车运行的加油、保险等开支。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三、政府性基金预算支出情况</w:t>
      </w:r>
    </w:p>
    <w:p>
      <w:pPr>
        <w:snapToGrid/>
        <w:spacing w:line="6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2023年政府性基金预算财政拨款支出16万元，2022年支出6万元，同比增加10万元，增加率166.67%，原因为2023年村级公益事业基建项目增加。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>
      <w:pPr>
        <w:snapToGrid/>
        <w:spacing w:line="640" w:lineRule="exact"/>
        <w:ind w:firstLine="640" w:firstLineChars="200"/>
        <w:rPr>
          <w:rFonts w:hint="default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2023年国有资本经营预算支出0元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>
      <w:pPr>
        <w:snapToGrid/>
        <w:spacing w:line="640" w:lineRule="exact"/>
        <w:ind w:firstLine="640" w:firstLineChars="200"/>
        <w:rPr>
          <w:rFonts w:hint="default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2023年社会保险基金预算支出0元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1.坚持脱贫攻坚不放松。切实做好积极应对疫情影响,强化监测防止返贫，继续强化脱贫攻坚后续帮扶措施，全面建立健全稳定脱贫长效机制。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2.坚持乡村振兴有效衔接。坚持因地制宜,围绕农业强镇、旅游兴镇发展战略,坚持发展经济作物与水稻轮种模式，推进特色养殖业提质增效，创建生态农业观光采摘基地。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3.全面提升乡风文明。持续开展农村环境整治和改厕工作,提升全镇人居环境。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4.坚持社会治理有序推进。完善矛盾风险联排联调机制,充分发挥党建的统领作用，完善社区网格化主抓手,进步完善“五户五联”网格体系。加大扫黑除恶专项斗争和防范金融风险工作力度。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>
      <w:pPr>
        <w:spacing w:line="500" w:lineRule="exact"/>
        <w:ind w:firstLine="640" w:firstLineChars="200"/>
        <w:contextualSpacing/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1.近些年来，县对街道（乡镇）这实行了新的财政体制，对街道（乡镇）的财政投入越来越大，但各项公共事业等工作开支日益增大，而公用经费有限，财政非常困难，保工资保运转的资金压力较大。</w:t>
      </w:r>
    </w:p>
    <w:p>
      <w:pPr>
        <w:spacing w:line="500" w:lineRule="exact"/>
        <w:ind w:firstLine="640" w:firstLineChars="200"/>
        <w:contextualSpacing/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2.街道（乡镇）无其他收入来源，基本依靠县财政拨款。</w:t>
      </w:r>
    </w:p>
    <w:p>
      <w:pPr>
        <w:pStyle w:val="9"/>
        <w:ind w:left="0" w:leftChars="0" w:firstLine="640" w:firstLineChars="200"/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3.各种突发工作增多，却无经费解决。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</w:p>
    <w:p>
      <w:pPr>
        <w:spacing w:line="500" w:lineRule="exact"/>
        <w:ind w:firstLine="640" w:firstLineChars="200"/>
        <w:contextualSpacing/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规范财政管理，严格执行预算。一是在预算编制上要严格按照“零基预算、部门预算”的编制方法，本着透明、公开的原则进行详细、具体的编制。二是在预算执行过程中，加强管理，严格监督，按时足额发放工资。三是增强支出透明度，实行政务公开。堵塞漏洞，减少支出随意性，发挥财政支出的效益。</w:t>
      </w:r>
    </w:p>
    <w:p>
      <w:pPr>
        <w:spacing w:line="500" w:lineRule="exact"/>
        <w:ind w:firstLine="640" w:firstLineChars="200"/>
        <w:contextualSpacing/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2、县财政应加大对乡镇（街道）财力投入，应保尽保。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报告应包括以下附件：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1.部门整体支出绩效评价基础数据表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2.部门整体支出绩效自评表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>
      <w:pPr>
        <w:pStyle w:val="9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11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1053"/>
        <w:gridCol w:w="936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6127" w:type="dxa"/>
            <w:gridSpan w:val="6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隆回县人民政府桃花坪街道办事处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203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201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0" w:type="dxa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28.51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2.41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pStyle w:val="9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9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2.41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00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26.1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778.42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294.53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1034.35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9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150.83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80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9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25.7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9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8.01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21.52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89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80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9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936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1078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83" w:type="dxa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78" w:type="dxa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6127" w:type="dxa"/>
            <w:gridSpan w:val="6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9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9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9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>
      <w:pPr>
        <w:pStyle w:val="9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填报日期：     联系电话：           单位负责人签字：</w:t>
      </w: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10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隆回县人民政府桃花坪街道办事处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3893.75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5650.77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5650.77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5634.77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5634.77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40" w:firstLineChars="3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6466435.4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审批服务便民化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50件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50件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禁毒宣传活动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≥200次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200次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工程验收合格率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各项工作合格率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各个项目完成时间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按计划完成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按计划完成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预算执行率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98%以上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基本支出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23657500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56347719.23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年初绩效目标根据预算填报，实际拨款数大于预算数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项目支出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15280000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160000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年初绩效目标根据预算填报，实际拨款数小于预算数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村集体经济收入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提高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农业增收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Cs w:val="21"/>
              </w:rPr>
              <w:t>00万元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Cs w:val="21"/>
              </w:rPr>
              <w:t>00万元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社会维稳形势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较好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较好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带动就业增长率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Cs w:val="21"/>
              </w:rPr>
              <w:t>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Cs w:val="21"/>
              </w:rPr>
              <w:t>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河道绿化情况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较好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较好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生态环境污染防治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显著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显著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提升全镇人居环境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长期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长期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脱贫攻坚帮扶措施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健全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健全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群众满意度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95%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信访群众满意度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ind w:firstLine="420"/>
        <w:jc w:val="left"/>
        <w:rPr>
          <w:rFonts w:hint="eastAsia" w:ascii="仿宋" w:hAnsi="仿宋" w:eastAsia="仿宋" w:cs="仿宋"/>
          <w:kern w:val="0"/>
        </w:rPr>
      </w:pPr>
      <w:r>
        <w:rPr>
          <w:rFonts w:eastAsia="仿宋_GB2312"/>
          <w:kern w:val="0"/>
          <w:sz w:val="21"/>
          <w:szCs w:val="21"/>
        </w:rPr>
        <w:t>填表人：        填报日期：          联系电话：          单位负责人签字：</w:t>
      </w: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03C9D6"/>
    <w:multiLevelType w:val="singleLevel"/>
    <w:tmpl w:val="0F03C9D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817AF1"/>
    <w:multiLevelType w:val="singleLevel"/>
    <w:tmpl w:val="7D817AF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Y2E2MGNmMGY3ZGE5M2VkYWJiNzdlOGIzNTg5M2I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856C30"/>
    <w:rsid w:val="0A9B55FC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EF44384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C72A25"/>
    <w:rsid w:val="13DD7ADC"/>
    <w:rsid w:val="13E40E6B"/>
    <w:rsid w:val="13EB2DF0"/>
    <w:rsid w:val="144F5156"/>
    <w:rsid w:val="14740441"/>
    <w:rsid w:val="14B52807"/>
    <w:rsid w:val="15916DD0"/>
    <w:rsid w:val="161D68B6"/>
    <w:rsid w:val="167504A0"/>
    <w:rsid w:val="1711641B"/>
    <w:rsid w:val="17233A58"/>
    <w:rsid w:val="174148B4"/>
    <w:rsid w:val="1767588B"/>
    <w:rsid w:val="176D1177"/>
    <w:rsid w:val="17D007DC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B4365C"/>
    <w:rsid w:val="1DCF1B02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0D1F62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7819CD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5702EB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9D61EE"/>
    <w:rsid w:val="3FEA0343"/>
    <w:rsid w:val="40363F4D"/>
    <w:rsid w:val="4044666A"/>
    <w:rsid w:val="40550877"/>
    <w:rsid w:val="4061225A"/>
    <w:rsid w:val="409A272E"/>
    <w:rsid w:val="413B181B"/>
    <w:rsid w:val="418307B3"/>
    <w:rsid w:val="41A25D3E"/>
    <w:rsid w:val="41CC2DBB"/>
    <w:rsid w:val="42A25018"/>
    <w:rsid w:val="42E80618"/>
    <w:rsid w:val="42E867DB"/>
    <w:rsid w:val="43016A94"/>
    <w:rsid w:val="43366D8F"/>
    <w:rsid w:val="434A21E9"/>
    <w:rsid w:val="435B61A4"/>
    <w:rsid w:val="43925E19"/>
    <w:rsid w:val="442347E8"/>
    <w:rsid w:val="446A440B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BC3CE3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3C01A33"/>
    <w:rsid w:val="545D5AF4"/>
    <w:rsid w:val="547370C6"/>
    <w:rsid w:val="54CF07A0"/>
    <w:rsid w:val="54E62062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6C6306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727F7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057314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51A5610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4">
    <w:name w:val="Body Text"/>
    <w:basedOn w:val="1"/>
    <w:next w:val="5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autoRedefine/>
    <w:qFormat/>
    <w:uiPriority w:val="99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4535</Words>
  <Characters>4878</Characters>
  <Lines>0</Lines>
  <Paragraphs>0</Paragraphs>
  <TotalTime>2</TotalTime>
  <ScaleCrop>false</ScaleCrop>
  <LinksUpToDate>false</LinksUpToDate>
  <CharactersWithSpaces>5077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小脸猫</cp:lastModifiedBy>
  <cp:lastPrinted>2024-05-23T01:55:04Z</cp:lastPrinted>
  <dcterms:modified xsi:type="dcterms:W3CDTF">2024-05-23T01:55:07Z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AB810C59E2894EE691622EC438F15754_13</vt:lpwstr>
  </property>
</Properties>
</file>