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仿宋"/>
          <w:color w:val="000000"/>
          <w:sz w:val="32"/>
          <w:szCs w:val="32"/>
        </w:rPr>
      </w:pPr>
      <w:r>
        <w:rPr>
          <w:rFonts w:eastAsia="仿宋_GB2312"/>
          <w:color w:val="000000"/>
          <w:sz w:val="32"/>
          <w:szCs w:val="32"/>
        </w:rPr>
        <w:t>附件</w:t>
      </w:r>
    </w:p>
    <w:p>
      <w:pPr>
        <w:spacing w:after="156" w:afterLines="50" w:line="500" w:lineRule="exact"/>
        <w:jc w:val="center"/>
        <w:rPr>
          <w:rFonts w:eastAsia="方正小标宋_GBK"/>
          <w:color w:val="000000"/>
          <w:sz w:val="40"/>
          <w:szCs w:val="40"/>
        </w:rPr>
      </w:pPr>
      <w:r>
        <w:rPr>
          <w:rFonts w:eastAsia="方正小标宋_GBK"/>
          <w:color w:val="000000"/>
          <w:kern w:val="0"/>
          <w:sz w:val="40"/>
          <w:szCs w:val="40"/>
        </w:rPr>
        <w:t>湖南省水利系统行政事业性收费项目和标准表</w:t>
      </w:r>
    </w:p>
    <w:tbl>
      <w:tblPr>
        <w:tblStyle w:val="3"/>
        <w:tblW w:w="0" w:type="auto"/>
        <w:jc w:val="center"/>
        <w:tblLayout w:type="fixed"/>
        <w:tblCellMar>
          <w:top w:w="0" w:type="dxa"/>
          <w:left w:w="108" w:type="dxa"/>
          <w:bottom w:w="0" w:type="dxa"/>
          <w:right w:w="108" w:type="dxa"/>
        </w:tblCellMar>
      </w:tblPr>
      <w:tblGrid>
        <w:gridCol w:w="802"/>
        <w:gridCol w:w="3495"/>
        <w:gridCol w:w="1344"/>
        <w:gridCol w:w="1378"/>
        <w:gridCol w:w="2228"/>
        <w:gridCol w:w="2299"/>
        <w:gridCol w:w="2852"/>
      </w:tblGrid>
      <w:tr>
        <w:tblPrEx>
          <w:tblCellMar>
            <w:top w:w="0" w:type="dxa"/>
            <w:left w:w="108" w:type="dxa"/>
            <w:bottom w:w="0" w:type="dxa"/>
            <w:right w:w="108" w:type="dxa"/>
          </w:tblCellMar>
        </w:tblPrEx>
        <w:trPr>
          <w:trHeight w:val="454" w:hRule="atLeast"/>
          <w:tblHeader/>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序号</w:t>
            </w:r>
          </w:p>
        </w:tc>
        <w:tc>
          <w:tcPr>
            <w:tcW w:w="3495"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收费项目</w:t>
            </w:r>
          </w:p>
        </w:tc>
        <w:tc>
          <w:tcPr>
            <w:tcW w:w="1344"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计费单位</w:t>
            </w:r>
          </w:p>
        </w:tc>
        <w:tc>
          <w:tcPr>
            <w:tcW w:w="1378"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收费标准（元）</w:t>
            </w:r>
          </w:p>
        </w:tc>
        <w:tc>
          <w:tcPr>
            <w:tcW w:w="2228"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征收单位</w:t>
            </w:r>
          </w:p>
        </w:tc>
        <w:tc>
          <w:tcPr>
            <w:tcW w:w="2299"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收费对象及范围</w:t>
            </w:r>
          </w:p>
        </w:tc>
        <w:tc>
          <w:tcPr>
            <w:tcW w:w="2852"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备注</w:t>
            </w: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22"/>
                <w:szCs w:val="22"/>
              </w:rPr>
            </w:pPr>
            <w:r>
              <w:rPr>
                <w:b/>
                <w:bCs/>
                <w:color w:val="000000"/>
                <w:kern w:val="0"/>
                <w:sz w:val="22"/>
                <w:szCs w:val="22"/>
              </w:rPr>
              <w:t>一</w:t>
            </w:r>
          </w:p>
        </w:tc>
        <w:tc>
          <w:tcPr>
            <w:tcW w:w="3495" w:type="dxa"/>
            <w:tcBorders>
              <w:top w:val="nil"/>
              <w:left w:val="nil"/>
              <w:bottom w:val="single" w:color="auto" w:sz="4" w:space="0"/>
              <w:right w:val="single" w:color="auto" w:sz="4" w:space="0"/>
            </w:tcBorders>
            <w:noWrap w:val="0"/>
            <w:vAlign w:val="center"/>
          </w:tcPr>
          <w:p>
            <w:pPr>
              <w:widowControl/>
              <w:rPr>
                <w:b/>
                <w:bCs/>
                <w:color w:val="000000"/>
                <w:kern w:val="0"/>
                <w:sz w:val="22"/>
                <w:szCs w:val="22"/>
              </w:rPr>
            </w:pPr>
            <w:r>
              <w:rPr>
                <w:b/>
                <w:bCs/>
                <w:color w:val="000000"/>
                <w:kern w:val="0"/>
                <w:sz w:val="22"/>
                <w:szCs w:val="22"/>
              </w:rPr>
              <w:t>水资源费</w:t>
            </w:r>
          </w:p>
        </w:tc>
        <w:tc>
          <w:tcPr>
            <w:tcW w:w="1344"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137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各级水行政主管部门</w:t>
            </w: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sz w:val="22"/>
                <w:szCs w:val="22"/>
              </w:rPr>
              <w:t>取用水的单位和个人</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（一）</w:t>
            </w:r>
          </w:p>
        </w:tc>
        <w:tc>
          <w:tcPr>
            <w:tcW w:w="3495" w:type="dxa"/>
            <w:tcBorders>
              <w:top w:val="nil"/>
              <w:left w:val="nil"/>
              <w:bottom w:val="single" w:color="auto" w:sz="4" w:space="0"/>
              <w:right w:val="single" w:color="auto" w:sz="4" w:space="0"/>
            </w:tcBorders>
            <w:noWrap w:val="0"/>
            <w:vAlign w:val="center"/>
          </w:tcPr>
          <w:p>
            <w:pPr>
              <w:widowControl/>
              <w:rPr>
                <w:color w:val="000000"/>
                <w:kern w:val="0"/>
                <w:sz w:val="22"/>
                <w:szCs w:val="22"/>
              </w:rPr>
            </w:pPr>
            <w:r>
              <w:rPr>
                <w:color w:val="000000"/>
                <w:kern w:val="0"/>
                <w:sz w:val="22"/>
                <w:szCs w:val="22"/>
              </w:rPr>
              <w:t>地表水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p>
        </w:tc>
        <w:tc>
          <w:tcPr>
            <w:tcW w:w="137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xml:space="preserve"> </w:t>
            </w: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1、工业用水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0.1</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2、生活取水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0.1</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rPr>
                <w:color w:val="000000"/>
                <w:kern w:val="0"/>
                <w:sz w:val="22"/>
                <w:szCs w:val="22"/>
              </w:rPr>
            </w:pPr>
          </w:p>
        </w:tc>
        <w:tc>
          <w:tcPr>
            <w:tcW w:w="3495" w:type="dxa"/>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3、公共供水取水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0.08</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xml:space="preserve">  </w:t>
            </w: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3495" w:type="dxa"/>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4、水力发电取水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元/kW·h</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0.003</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3495" w:type="dxa"/>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5、火力发电贯流式冷却取水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元/kW·h</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0.003</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sz w:val="22"/>
                <w:szCs w:val="22"/>
              </w:rPr>
              <w:t>在开征水资源税前暂按0.0015</w:t>
            </w:r>
            <w:r>
              <w:rPr>
                <w:color w:val="000000"/>
                <w:kern w:val="0"/>
                <w:sz w:val="22"/>
                <w:szCs w:val="22"/>
              </w:rPr>
              <w:t>元/kW·h</w:t>
            </w:r>
            <w:r>
              <w:rPr>
                <w:color w:val="000000"/>
                <w:sz w:val="22"/>
                <w:szCs w:val="22"/>
              </w:rPr>
              <w:t>标准执行</w:t>
            </w: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22"/>
                <w:szCs w:val="22"/>
              </w:rPr>
            </w:pPr>
          </w:p>
        </w:tc>
        <w:tc>
          <w:tcPr>
            <w:tcW w:w="3495" w:type="dxa"/>
            <w:tcBorders>
              <w:top w:val="nil"/>
              <w:left w:val="nil"/>
              <w:bottom w:val="single" w:color="auto" w:sz="4" w:space="0"/>
              <w:right w:val="single" w:color="auto" w:sz="4" w:space="0"/>
            </w:tcBorders>
            <w:noWrap w:val="0"/>
            <w:vAlign w:val="center"/>
          </w:tcPr>
          <w:p>
            <w:pPr>
              <w:widowControl/>
              <w:rPr>
                <w:color w:val="000000"/>
                <w:kern w:val="0"/>
                <w:sz w:val="22"/>
                <w:szCs w:val="22"/>
              </w:rPr>
            </w:pPr>
            <w:r>
              <w:rPr>
                <w:color w:val="000000"/>
                <w:kern w:val="0"/>
                <w:sz w:val="22"/>
                <w:szCs w:val="22"/>
              </w:rPr>
              <w:t>6、火力发电闭式循环取水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0.6</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852" w:type="dxa"/>
            <w:tcBorders>
              <w:top w:val="single" w:color="auto" w:sz="4" w:space="0"/>
              <w:left w:val="nil"/>
              <w:bottom w:val="single" w:color="auto" w:sz="4" w:space="0"/>
              <w:right w:val="single" w:color="auto" w:sz="4" w:space="0"/>
            </w:tcBorders>
            <w:noWrap w:val="0"/>
            <w:vAlign w:val="center"/>
          </w:tcPr>
          <w:p>
            <w:pPr>
              <w:widowControl/>
              <w:rPr>
                <w:color w:val="000000"/>
                <w:kern w:val="0"/>
                <w:sz w:val="22"/>
                <w:szCs w:val="22"/>
              </w:rPr>
            </w:pPr>
            <w:r>
              <w:rPr>
                <w:color w:val="000000"/>
                <w:sz w:val="22"/>
                <w:szCs w:val="22"/>
              </w:rPr>
              <w:t>在开征水资源税前暂按0.3</w:t>
            </w:r>
            <w:r>
              <w:rPr>
                <w:color w:val="000000"/>
                <w:kern w:val="0"/>
                <w:sz w:val="22"/>
                <w:szCs w:val="22"/>
              </w:rPr>
              <w:t>元/m</w:t>
            </w:r>
            <w:r>
              <w:rPr>
                <w:color w:val="000000"/>
                <w:kern w:val="0"/>
                <w:sz w:val="22"/>
                <w:szCs w:val="22"/>
                <w:vertAlign w:val="superscript"/>
              </w:rPr>
              <w:t>3</w:t>
            </w:r>
            <w:r>
              <w:rPr>
                <w:color w:val="000000"/>
                <w:sz w:val="22"/>
                <w:szCs w:val="22"/>
              </w:rPr>
              <w:t>标准执行</w:t>
            </w: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rPr>
                <w:color w:val="000000"/>
                <w:kern w:val="0"/>
                <w:sz w:val="22"/>
                <w:szCs w:val="22"/>
              </w:rPr>
            </w:pPr>
          </w:p>
        </w:tc>
        <w:tc>
          <w:tcPr>
            <w:tcW w:w="3495" w:type="dxa"/>
            <w:tcBorders>
              <w:top w:val="nil"/>
              <w:left w:val="nil"/>
              <w:bottom w:val="single" w:color="auto" w:sz="4" w:space="0"/>
              <w:right w:val="single" w:color="auto" w:sz="4" w:space="0"/>
            </w:tcBorders>
            <w:noWrap w:val="0"/>
            <w:vAlign w:val="center"/>
          </w:tcPr>
          <w:p>
            <w:pPr>
              <w:widowControl/>
              <w:rPr>
                <w:color w:val="000000"/>
                <w:kern w:val="0"/>
                <w:sz w:val="22"/>
                <w:szCs w:val="22"/>
              </w:rPr>
            </w:pPr>
            <w:r>
              <w:rPr>
                <w:color w:val="000000"/>
                <w:kern w:val="0"/>
                <w:sz w:val="22"/>
                <w:szCs w:val="22"/>
              </w:rPr>
              <w:t>7、特种行业取水</w:t>
            </w:r>
          </w:p>
        </w:tc>
        <w:tc>
          <w:tcPr>
            <w:tcW w:w="1344"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0.2</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rPr>
                <w:color w:val="000000"/>
                <w:kern w:val="0"/>
                <w:sz w:val="22"/>
                <w:szCs w:val="22"/>
              </w:rPr>
            </w:pPr>
            <w:r>
              <w:rPr>
                <w:color w:val="000000"/>
                <w:kern w:val="0"/>
                <w:sz w:val="22"/>
                <w:szCs w:val="22"/>
              </w:rPr>
              <w:t>（二）</w:t>
            </w: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rPr>
                <w:color w:val="000000"/>
                <w:kern w:val="0"/>
                <w:sz w:val="22"/>
                <w:szCs w:val="22"/>
              </w:rPr>
            </w:pPr>
            <w:r>
              <w:rPr>
                <w:color w:val="000000"/>
                <w:kern w:val="0"/>
                <w:sz w:val="22"/>
                <w:szCs w:val="22"/>
              </w:rPr>
              <w:t>地下水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1、公共供水取水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0.15</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rPr>
                <w:color w:val="000000"/>
                <w:kern w:val="0"/>
                <w:sz w:val="22"/>
                <w:szCs w:val="22"/>
              </w:rPr>
            </w:pPr>
            <w:r>
              <w:rPr>
                <w:color w:val="000000"/>
                <w:sz w:val="22"/>
                <w:szCs w:val="22"/>
              </w:rPr>
              <w:t>2、用于制作纯净水取水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2"/>
                <w:szCs w:val="22"/>
              </w:rPr>
            </w:pPr>
            <w:r>
              <w:rPr>
                <w:color w:val="000000"/>
                <w:sz w:val="22"/>
                <w:szCs w:val="22"/>
              </w:rPr>
              <w:t>1.00</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3、其他取水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ind w:firstLine="220" w:firstLineChars="100"/>
              <w:jc w:val="left"/>
              <w:rPr>
                <w:color w:val="000000"/>
                <w:kern w:val="0"/>
                <w:sz w:val="22"/>
                <w:szCs w:val="22"/>
              </w:rPr>
            </w:pPr>
            <w:r>
              <w:rPr>
                <w:color w:val="000000"/>
                <w:kern w:val="0"/>
                <w:sz w:val="22"/>
                <w:szCs w:val="22"/>
              </w:rPr>
              <w:t xml:space="preserve"> 供水管网覆盖区</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0.7</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ind w:firstLine="220" w:firstLineChars="100"/>
              <w:jc w:val="left"/>
              <w:rPr>
                <w:color w:val="000000"/>
                <w:kern w:val="0"/>
                <w:sz w:val="22"/>
                <w:szCs w:val="22"/>
              </w:rPr>
            </w:pPr>
            <w:r>
              <w:rPr>
                <w:color w:val="000000"/>
                <w:kern w:val="0"/>
                <w:sz w:val="22"/>
                <w:szCs w:val="22"/>
              </w:rPr>
              <w:t xml:space="preserve"> 供水管网未覆盖区</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0.2</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color w:val="000000"/>
                <w:kern w:val="0"/>
                <w:sz w:val="22"/>
                <w:szCs w:val="22"/>
              </w:rPr>
            </w:pPr>
            <w:r>
              <w:rPr>
                <w:b/>
                <w:bCs/>
                <w:color w:val="000000"/>
                <w:kern w:val="0"/>
                <w:sz w:val="22"/>
                <w:szCs w:val="22"/>
              </w:rPr>
              <w:t>二</w:t>
            </w: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b/>
                <w:bCs/>
                <w:color w:val="000000"/>
                <w:kern w:val="0"/>
                <w:sz w:val="22"/>
                <w:szCs w:val="22"/>
              </w:rPr>
            </w:pPr>
            <w:r>
              <w:rPr>
                <w:b/>
                <w:bCs/>
                <w:color w:val="000000"/>
                <w:kern w:val="0"/>
                <w:sz w:val="22"/>
                <w:szCs w:val="22"/>
              </w:rPr>
              <w:t>水土保持补偿费</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税务部门</w:t>
            </w:r>
          </w:p>
        </w:tc>
        <w:tc>
          <w:tcPr>
            <w:tcW w:w="2299" w:type="dxa"/>
            <w:vMerge w:val="restart"/>
            <w:tcBorders>
              <w:top w:val="single" w:color="auto" w:sz="4" w:space="0"/>
              <w:left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shd w:val="clear" w:color="auto" w:fill="FFFFFF"/>
                <w:lang w:bidi="ar"/>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1、一般性建设项目</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2</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1.0</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2、开采矿产资源的</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xml:space="preserve">   建设期间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2</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1.0</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xml:space="preserve">   开采期间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元/吨</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0.7</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3、取土、挖砂、采石及烧制砖、瓦、瓷和石灰</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1.0</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4、排放废弃土、石、渣</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1.0</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bl>
    <w:p>
      <w:pPr>
        <w:autoSpaceDE w:val="0"/>
        <w:spacing w:line="400" w:lineRule="exact"/>
        <w:ind w:left="210" w:hanging="210" w:hangingChars="100"/>
        <w:rPr>
          <w:color w:val="000000"/>
          <w:szCs w:val="21"/>
        </w:rPr>
      </w:pPr>
      <w:r>
        <w:rPr>
          <w:color w:val="000000"/>
          <w:szCs w:val="21"/>
        </w:rPr>
        <w:t>注：</w:t>
      </w:r>
    </w:p>
    <w:p>
      <w:pPr>
        <w:autoSpaceDE w:val="0"/>
        <w:spacing w:line="400" w:lineRule="exact"/>
        <w:ind w:left="210" w:hanging="210" w:hangingChars="100"/>
        <w:rPr>
          <w:color w:val="000000"/>
          <w:spacing w:val="-6"/>
          <w:szCs w:val="21"/>
        </w:rPr>
      </w:pPr>
      <w:r>
        <w:rPr>
          <w:color w:val="000000"/>
          <w:szCs w:val="21"/>
        </w:rPr>
        <w:t>1、</w:t>
      </w:r>
      <w:r>
        <w:rPr>
          <w:color w:val="000000"/>
          <w:spacing w:val="-6"/>
          <w:szCs w:val="21"/>
        </w:rPr>
        <w:t>因采矿和工程建设过程中破坏地下水层、发生地下水涌水而疏干排水的，按地下水水源中取水用途为其他取水的城市供水管网未覆盖区征收标准的20%征收；</w:t>
      </w:r>
    </w:p>
    <w:p>
      <w:pPr>
        <w:autoSpaceDE w:val="0"/>
        <w:spacing w:line="400" w:lineRule="exact"/>
        <w:ind w:left="210" w:hanging="210" w:hangingChars="100"/>
        <w:rPr>
          <w:color w:val="000000"/>
          <w:szCs w:val="21"/>
        </w:rPr>
      </w:pPr>
      <w:r>
        <w:rPr>
          <w:color w:val="000000"/>
          <w:szCs w:val="21"/>
        </w:rPr>
        <w:t>2、漂流取用水，按其年营业收入的1%征收；</w:t>
      </w:r>
    </w:p>
    <w:p>
      <w:pPr>
        <w:autoSpaceDE w:val="0"/>
        <w:spacing w:line="400" w:lineRule="exact"/>
        <w:ind w:left="210" w:hanging="210" w:hangingChars="100"/>
        <w:rPr>
          <w:rFonts w:eastAsia="仿宋_GB2312"/>
          <w:color w:val="000000"/>
          <w:sz w:val="32"/>
          <w:szCs w:val="32"/>
        </w:rPr>
      </w:pPr>
      <w:r>
        <w:rPr>
          <w:color w:val="000000"/>
          <w:szCs w:val="21"/>
        </w:rPr>
        <w:t>3、</w:t>
      </w:r>
      <w:r>
        <w:rPr>
          <w:color w:val="000000"/>
          <w:kern w:val="0"/>
          <w:szCs w:val="21"/>
        </w:rPr>
        <w:t>火力发电闭式循环取水的水资源费由按发电量计征调整为按实际取水量计征，计费单位由“元/kW·h”改为“元/m</w:t>
      </w:r>
      <w:r>
        <w:rPr>
          <w:color w:val="000000"/>
          <w:kern w:val="0"/>
          <w:szCs w:val="21"/>
          <w:vertAlign w:val="superscript"/>
        </w:rPr>
        <w:t>3</w:t>
      </w:r>
      <w:r>
        <w:rPr>
          <w:color w:val="000000"/>
          <w:kern w:val="0"/>
          <w:szCs w:val="21"/>
        </w:rPr>
        <w:t>”。</w:t>
      </w:r>
    </w:p>
    <w:p>
      <w:pPr>
        <w:autoSpaceDE w:val="0"/>
        <w:spacing w:line="556" w:lineRule="exact"/>
        <w:ind w:firstLine="4800" w:firstLineChars="1500"/>
        <w:rPr>
          <w:rFonts w:eastAsia="仿宋_GB2312"/>
          <w:color w:val="000000"/>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134EC"/>
    <w:rsid w:val="5831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2021-07-30T09:33:00Z</dcterms:created>
  <dc:creator>朱佳妮</dc:creator>
  <cp:lastModifiedBy>朱佳妮</cp:lastModifiedBy>
  <dcterms:modified xsi:type="dcterms:W3CDTF">2021-07-30T09:34:05Z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B7E37C61B025420BB678474A3196B628</vt:lpwstr>
  </property>
</Properties>
</file>