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_GB2312"/>
          <w:color w:val="000000"/>
          <w:sz w:val="32"/>
          <w:szCs w:val="32"/>
        </w:rPr>
      </w:pPr>
      <w:r>
        <w:rPr>
          <w:rFonts w:eastAsia="仿宋_GB2312"/>
          <w:color w:val="000000"/>
          <w:sz w:val="32"/>
          <w:szCs w:val="32"/>
        </w:rPr>
        <w:t>附件</w:t>
      </w:r>
    </w:p>
    <w:p>
      <w:pPr>
        <w:spacing w:before="156" w:beforeLines="50" w:after="156" w:afterLines="50" w:line="500" w:lineRule="exact"/>
        <w:jc w:val="center"/>
        <w:rPr>
          <w:rFonts w:eastAsia="方正小标宋_GBK"/>
          <w:color w:val="000000"/>
          <w:sz w:val="40"/>
          <w:szCs w:val="40"/>
        </w:rPr>
      </w:pPr>
      <w:bookmarkStart w:id="0" w:name="_GoBack"/>
      <w:r>
        <w:rPr>
          <w:rFonts w:eastAsia="方正小标宋_GBK"/>
          <w:color w:val="000000"/>
          <w:sz w:val="40"/>
          <w:szCs w:val="40"/>
        </w:rPr>
        <w:t>湖南省住房城乡建设系统行政事业性收费项目及标准表</w:t>
      </w:r>
      <w:bookmarkEnd w:id="0"/>
    </w:p>
    <w:p>
      <w:pPr>
        <w:spacing w:line="500" w:lineRule="exact"/>
        <w:jc w:val="right"/>
        <w:rPr>
          <w:rFonts w:eastAsia="方正小标宋_GBK"/>
          <w:color w:val="000000"/>
          <w:sz w:val="40"/>
          <w:szCs w:val="40"/>
        </w:rPr>
      </w:pPr>
      <w:r>
        <w:rPr>
          <w:color w:val="000000"/>
          <w:kern w:val="0"/>
          <w:sz w:val="24"/>
        </w:rPr>
        <w:t>单位：元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42"/>
        <w:gridCol w:w="1142"/>
        <w:gridCol w:w="2881"/>
        <w:gridCol w:w="2268"/>
        <w:gridCol w:w="1575"/>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14" w:type="dxa"/>
            <w:vAlign w:val="center"/>
          </w:tcPr>
          <w:p>
            <w:pPr>
              <w:spacing w:line="300" w:lineRule="exact"/>
              <w:jc w:val="center"/>
              <w:rPr>
                <w:rFonts w:eastAsia="黑体"/>
                <w:color w:val="000000"/>
                <w:kern w:val="0"/>
                <w:szCs w:val="21"/>
              </w:rPr>
            </w:pPr>
            <w:r>
              <w:rPr>
                <w:rFonts w:eastAsia="黑体"/>
                <w:color w:val="000000"/>
                <w:kern w:val="0"/>
                <w:szCs w:val="21"/>
              </w:rPr>
              <w:t>序号</w:t>
            </w:r>
          </w:p>
        </w:tc>
        <w:tc>
          <w:tcPr>
            <w:tcW w:w="1742" w:type="dxa"/>
            <w:vAlign w:val="center"/>
          </w:tcPr>
          <w:p>
            <w:pPr>
              <w:spacing w:line="300" w:lineRule="exact"/>
              <w:jc w:val="center"/>
              <w:rPr>
                <w:rFonts w:eastAsia="黑体"/>
                <w:color w:val="000000"/>
                <w:kern w:val="0"/>
                <w:szCs w:val="21"/>
              </w:rPr>
            </w:pPr>
            <w:r>
              <w:rPr>
                <w:rFonts w:eastAsia="黑体"/>
                <w:color w:val="000000"/>
                <w:kern w:val="0"/>
                <w:szCs w:val="21"/>
              </w:rPr>
              <w:t>收费项目</w:t>
            </w:r>
          </w:p>
        </w:tc>
        <w:tc>
          <w:tcPr>
            <w:tcW w:w="1142" w:type="dxa"/>
            <w:vAlign w:val="center"/>
          </w:tcPr>
          <w:p>
            <w:pPr>
              <w:spacing w:line="300" w:lineRule="exact"/>
              <w:jc w:val="center"/>
              <w:rPr>
                <w:rFonts w:eastAsia="黑体"/>
                <w:color w:val="000000"/>
                <w:kern w:val="0"/>
                <w:szCs w:val="21"/>
              </w:rPr>
            </w:pPr>
            <w:r>
              <w:rPr>
                <w:rFonts w:eastAsia="黑体"/>
                <w:color w:val="000000"/>
                <w:kern w:val="0"/>
                <w:szCs w:val="21"/>
              </w:rPr>
              <w:t>计费单位</w:t>
            </w:r>
          </w:p>
        </w:tc>
        <w:tc>
          <w:tcPr>
            <w:tcW w:w="2881" w:type="dxa"/>
            <w:vAlign w:val="center"/>
          </w:tcPr>
          <w:p>
            <w:pPr>
              <w:spacing w:line="300" w:lineRule="exact"/>
              <w:jc w:val="center"/>
              <w:rPr>
                <w:rFonts w:eastAsia="黑体"/>
                <w:color w:val="000000"/>
                <w:kern w:val="0"/>
                <w:szCs w:val="21"/>
              </w:rPr>
            </w:pPr>
            <w:r>
              <w:rPr>
                <w:rFonts w:eastAsia="黑体"/>
                <w:color w:val="000000"/>
                <w:kern w:val="0"/>
                <w:szCs w:val="21"/>
              </w:rPr>
              <w:t>收费对象</w:t>
            </w:r>
          </w:p>
        </w:tc>
        <w:tc>
          <w:tcPr>
            <w:tcW w:w="2268" w:type="dxa"/>
            <w:vAlign w:val="center"/>
          </w:tcPr>
          <w:p>
            <w:pPr>
              <w:spacing w:line="300" w:lineRule="exact"/>
              <w:jc w:val="center"/>
              <w:rPr>
                <w:rFonts w:eastAsia="黑体"/>
                <w:color w:val="000000"/>
                <w:kern w:val="0"/>
                <w:szCs w:val="21"/>
              </w:rPr>
            </w:pPr>
            <w:r>
              <w:rPr>
                <w:rFonts w:eastAsia="黑体"/>
                <w:color w:val="000000"/>
                <w:kern w:val="0"/>
                <w:szCs w:val="21"/>
              </w:rPr>
              <w:t>执收单位</w:t>
            </w:r>
          </w:p>
        </w:tc>
        <w:tc>
          <w:tcPr>
            <w:tcW w:w="1575" w:type="dxa"/>
            <w:vAlign w:val="center"/>
          </w:tcPr>
          <w:p>
            <w:pPr>
              <w:spacing w:line="300" w:lineRule="exact"/>
              <w:jc w:val="center"/>
              <w:rPr>
                <w:rFonts w:eastAsia="黑体"/>
                <w:color w:val="000000"/>
                <w:kern w:val="0"/>
                <w:szCs w:val="21"/>
              </w:rPr>
            </w:pPr>
            <w:r>
              <w:rPr>
                <w:rFonts w:eastAsia="黑体"/>
                <w:color w:val="000000"/>
                <w:kern w:val="0"/>
                <w:szCs w:val="21"/>
              </w:rPr>
              <w:t>收费标准</w:t>
            </w:r>
          </w:p>
        </w:tc>
        <w:tc>
          <w:tcPr>
            <w:tcW w:w="4302" w:type="dxa"/>
            <w:vAlign w:val="center"/>
          </w:tcPr>
          <w:p>
            <w:pPr>
              <w:spacing w:line="300" w:lineRule="exact"/>
              <w:jc w:val="center"/>
              <w:rPr>
                <w:rFonts w:eastAsia="黑体"/>
                <w:color w:val="000000"/>
                <w:kern w:val="0"/>
                <w:szCs w:val="21"/>
              </w:rPr>
            </w:pPr>
            <w:r>
              <w:rPr>
                <w:rFonts w:eastAsia="黑体"/>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tcBorders>
              <w:bottom w:val="single" w:color="auto" w:sz="4" w:space="0"/>
            </w:tcBorders>
            <w:vAlign w:val="center"/>
          </w:tcPr>
          <w:p>
            <w:pPr>
              <w:spacing w:line="300" w:lineRule="exact"/>
              <w:jc w:val="center"/>
              <w:rPr>
                <w:color w:val="000000"/>
                <w:kern w:val="0"/>
                <w:szCs w:val="21"/>
              </w:rPr>
            </w:pPr>
            <w:r>
              <w:rPr>
                <w:color w:val="000000"/>
                <w:kern w:val="0"/>
                <w:szCs w:val="21"/>
              </w:rPr>
              <w:t>一</w:t>
            </w:r>
          </w:p>
        </w:tc>
        <w:tc>
          <w:tcPr>
            <w:tcW w:w="1742" w:type="dxa"/>
            <w:tcBorders>
              <w:bottom w:val="single" w:color="auto" w:sz="4" w:space="0"/>
            </w:tcBorders>
            <w:vAlign w:val="center"/>
          </w:tcPr>
          <w:p>
            <w:pPr>
              <w:spacing w:line="300" w:lineRule="exact"/>
              <w:rPr>
                <w:color w:val="000000"/>
                <w:kern w:val="0"/>
                <w:szCs w:val="21"/>
              </w:rPr>
            </w:pPr>
            <w:r>
              <w:rPr>
                <w:color w:val="000000"/>
                <w:kern w:val="0"/>
                <w:szCs w:val="21"/>
              </w:rPr>
              <w:t>城市道路占用与挖掘修复费</w:t>
            </w:r>
          </w:p>
        </w:tc>
        <w:tc>
          <w:tcPr>
            <w:tcW w:w="1142" w:type="dxa"/>
            <w:vAlign w:val="center"/>
          </w:tcPr>
          <w:p>
            <w:pPr>
              <w:spacing w:line="300" w:lineRule="exact"/>
              <w:rPr>
                <w:color w:val="000000"/>
                <w:szCs w:val="21"/>
              </w:rPr>
            </w:pPr>
          </w:p>
        </w:tc>
        <w:tc>
          <w:tcPr>
            <w:tcW w:w="2881" w:type="dxa"/>
            <w:vAlign w:val="center"/>
          </w:tcPr>
          <w:p>
            <w:pPr>
              <w:spacing w:line="300" w:lineRule="exact"/>
              <w:rPr>
                <w:color w:val="000000"/>
                <w:szCs w:val="21"/>
              </w:rPr>
            </w:pPr>
          </w:p>
        </w:tc>
        <w:tc>
          <w:tcPr>
            <w:tcW w:w="2268" w:type="dxa"/>
            <w:vAlign w:val="center"/>
          </w:tcPr>
          <w:p>
            <w:pPr>
              <w:spacing w:line="300" w:lineRule="exact"/>
              <w:rPr>
                <w:color w:val="000000"/>
                <w:szCs w:val="21"/>
              </w:rPr>
            </w:pPr>
          </w:p>
        </w:tc>
        <w:tc>
          <w:tcPr>
            <w:tcW w:w="1575" w:type="dxa"/>
            <w:tcBorders>
              <w:bottom w:val="single" w:color="auto" w:sz="4" w:space="0"/>
            </w:tcBorders>
            <w:vAlign w:val="center"/>
          </w:tcPr>
          <w:p>
            <w:pPr>
              <w:spacing w:line="300" w:lineRule="exact"/>
              <w:jc w:val="center"/>
              <w:rPr>
                <w:color w:val="000000"/>
                <w:kern w:val="0"/>
                <w:szCs w:val="21"/>
              </w:rPr>
            </w:pPr>
          </w:p>
        </w:tc>
        <w:tc>
          <w:tcPr>
            <w:tcW w:w="4302" w:type="dxa"/>
            <w:vAlign w:val="center"/>
          </w:tcPr>
          <w:p>
            <w:pPr>
              <w:spacing w:line="300" w:lineRule="exact"/>
              <w:rPr>
                <w:color w:val="000000"/>
                <w:szCs w:val="21"/>
              </w:rPr>
            </w:pPr>
            <w:r>
              <w:rPr>
                <w:color w:val="000000"/>
                <w:szCs w:val="21"/>
              </w:rPr>
              <w:t>收取了城市道路挖掘修复费的，不得再收取城市道路占用费。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tcBorders>
              <w:bottom w:val="single" w:color="auto" w:sz="4" w:space="0"/>
            </w:tcBorders>
            <w:vAlign w:val="center"/>
          </w:tcPr>
          <w:p>
            <w:pPr>
              <w:spacing w:line="300" w:lineRule="exact"/>
              <w:jc w:val="center"/>
              <w:rPr>
                <w:color w:val="000000"/>
                <w:kern w:val="0"/>
                <w:szCs w:val="21"/>
              </w:rPr>
            </w:pPr>
            <w:r>
              <w:rPr>
                <w:color w:val="000000"/>
                <w:kern w:val="0"/>
                <w:szCs w:val="21"/>
              </w:rPr>
              <w:t>1</w:t>
            </w:r>
          </w:p>
        </w:tc>
        <w:tc>
          <w:tcPr>
            <w:tcW w:w="1742" w:type="dxa"/>
            <w:tcBorders>
              <w:bottom w:val="single" w:color="auto" w:sz="4" w:space="0"/>
            </w:tcBorders>
            <w:vAlign w:val="center"/>
          </w:tcPr>
          <w:p>
            <w:pPr>
              <w:spacing w:line="300" w:lineRule="exact"/>
              <w:rPr>
                <w:color w:val="000000"/>
                <w:kern w:val="0"/>
                <w:szCs w:val="21"/>
              </w:rPr>
            </w:pPr>
            <w:r>
              <w:rPr>
                <w:color w:val="000000"/>
                <w:kern w:val="0"/>
                <w:szCs w:val="21"/>
              </w:rPr>
              <w:t>城市道路占用费</w:t>
            </w:r>
          </w:p>
        </w:tc>
        <w:tc>
          <w:tcPr>
            <w:tcW w:w="1142" w:type="dxa"/>
            <w:vAlign w:val="center"/>
          </w:tcPr>
          <w:p>
            <w:pPr>
              <w:spacing w:line="300" w:lineRule="exact"/>
              <w:rPr>
                <w:color w:val="000000"/>
                <w:szCs w:val="21"/>
              </w:rPr>
            </w:pPr>
          </w:p>
        </w:tc>
        <w:tc>
          <w:tcPr>
            <w:tcW w:w="2881" w:type="dxa"/>
            <w:vAlign w:val="center"/>
          </w:tcPr>
          <w:p>
            <w:pPr>
              <w:spacing w:line="300" w:lineRule="exact"/>
              <w:rPr>
                <w:color w:val="000000"/>
                <w:szCs w:val="21"/>
              </w:rPr>
            </w:pPr>
          </w:p>
        </w:tc>
        <w:tc>
          <w:tcPr>
            <w:tcW w:w="2268" w:type="dxa"/>
            <w:vAlign w:val="center"/>
          </w:tcPr>
          <w:p>
            <w:pPr>
              <w:spacing w:line="300" w:lineRule="exact"/>
              <w:rPr>
                <w:color w:val="000000"/>
                <w:szCs w:val="21"/>
              </w:rPr>
            </w:pPr>
          </w:p>
        </w:tc>
        <w:tc>
          <w:tcPr>
            <w:tcW w:w="1575" w:type="dxa"/>
            <w:tcBorders>
              <w:bottom w:val="single" w:color="auto" w:sz="4" w:space="0"/>
            </w:tcBorders>
            <w:vAlign w:val="center"/>
          </w:tcPr>
          <w:p>
            <w:pPr>
              <w:spacing w:line="300" w:lineRule="exact"/>
              <w:jc w:val="center"/>
              <w:rPr>
                <w:color w:val="000000"/>
                <w:kern w:val="0"/>
                <w:szCs w:val="21"/>
              </w:rPr>
            </w:pPr>
          </w:p>
        </w:tc>
        <w:tc>
          <w:tcPr>
            <w:tcW w:w="4302" w:type="dxa"/>
            <w:vAlign w:val="center"/>
          </w:tcPr>
          <w:p>
            <w:pPr>
              <w:spacing w:line="3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4" w:type="dxa"/>
            <w:tcBorders>
              <w:bottom w:val="single" w:color="auto" w:sz="4" w:space="0"/>
            </w:tcBorders>
            <w:vAlign w:val="center"/>
          </w:tcPr>
          <w:p>
            <w:pPr>
              <w:spacing w:line="300" w:lineRule="exact"/>
              <w:jc w:val="center"/>
              <w:rPr>
                <w:color w:val="000000"/>
                <w:kern w:val="0"/>
                <w:szCs w:val="21"/>
              </w:rPr>
            </w:pPr>
          </w:p>
        </w:tc>
        <w:tc>
          <w:tcPr>
            <w:tcW w:w="1742" w:type="dxa"/>
            <w:tcBorders>
              <w:bottom w:val="single" w:color="auto" w:sz="4" w:space="0"/>
            </w:tcBorders>
            <w:vAlign w:val="center"/>
          </w:tcPr>
          <w:p>
            <w:pPr>
              <w:spacing w:line="300" w:lineRule="exact"/>
              <w:rPr>
                <w:color w:val="000000"/>
                <w:kern w:val="0"/>
                <w:szCs w:val="21"/>
              </w:rPr>
            </w:pPr>
            <w:r>
              <w:rPr>
                <w:color w:val="000000"/>
                <w:kern w:val="0"/>
                <w:szCs w:val="21"/>
              </w:rPr>
              <w:t>市、州</w:t>
            </w:r>
          </w:p>
        </w:tc>
        <w:tc>
          <w:tcPr>
            <w:tcW w:w="1142" w:type="dxa"/>
            <w:vMerge w:val="restart"/>
            <w:vAlign w:val="center"/>
          </w:tcPr>
          <w:p>
            <w:pPr>
              <w:spacing w:line="300" w:lineRule="exact"/>
              <w:jc w:val="center"/>
              <w:rPr>
                <w:color w:val="000000"/>
                <w:szCs w:val="21"/>
              </w:rPr>
            </w:pPr>
            <w:r>
              <w:rPr>
                <w:color w:val="000000"/>
                <w:szCs w:val="21"/>
              </w:rPr>
              <w:t>每日每平方米</w:t>
            </w:r>
          </w:p>
        </w:tc>
        <w:tc>
          <w:tcPr>
            <w:tcW w:w="2881" w:type="dxa"/>
            <w:vMerge w:val="restart"/>
            <w:vAlign w:val="center"/>
          </w:tcPr>
          <w:p>
            <w:pPr>
              <w:spacing w:line="300" w:lineRule="exact"/>
              <w:rPr>
                <w:color w:val="000000"/>
                <w:szCs w:val="21"/>
              </w:rPr>
            </w:pPr>
            <w:r>
              <w:rPr>
                <w:color w:val="000000"/>
                <w:szCs w:val="21"/>
              </w:rPr>
              <w:t>经批准因兴建各种建筑物、构建物、基建施工、堆物堆料等建设工程项目占用城市规划区内道路的单位和个人</w:t>
            </w:r>
          </w:p>
        </w:tc>
        <w:tc>
          <w:tcPr>
            <w:tcW w:w="2268" w:type="dxa"/>
            <w:vMerge w:val="restart"/>
            <w:vAlign w:val="center"/>
          </w:tcPr>
          <w:p>
            <w:pPr>
              <w:spacing w:line="300" w:lineRule="exact"/>
              <w:rPr>
                <w:color w:val="000000"/>
                <w:szCs w:val="21"/>
              </w:rPr>
            </w:pPr>
            <w:r>
              <w:rPr>
                <w:color w:val="000000"/>
                <w:kern w:val="0"/>
                <w:szCs w:val="21"/>
              </w:rPr>
              <w:t>各市州、县（市）住建行政管理部门或当地政府分管城市道路的管理部门</w:t>
            </w:r>
          </w:p>
        </w:tc>
        <w:tc>
          <w:tcPr>
            <w:tcW w:w="1575" w:type="dxa"/>
            <w:tcBorders>
              <w:bottom w:val="single" w:color="auto" w:sz="4" w:space="0"/>
            </w:tcBorders>
            <w:vAlign w:val="center"/>
          </w:tcPr>
          <w:p>
            <w:pPr>
              <w:spacing w:line="300" w:lineRule="exact"/>
              <w:jc w:val="center"/>
              <w:rPr>
                <w:color w:val="000000"/>
                <w:kern w:val="0"/>
                <w:szCs w:val="21"/>
              </w:rPr>
            </w:pPr>
            <w:r>
              <w:rPr>
                <w:color w:val="000000"/>
                <w:kern w:val="0"/>
                <w:szCs w:val="21"/>
              </w:rPr>
              <w:t>0.75</w:t>
            </w:r>
          </w:p>
        </w:tc>
        <w:tc>
          <w:tcPr>
            <w:tcW w:w="4302" w:type="dxa"/>
            <w:vMerge w:val="restart"/>
            <w:vAlign w:val="center"/>
          </w:tcPr>
          <w:p>
            <w:pPr>
              <w:spacing w:line="300" w:lineRule="exact"/>
              <w:rPr>
                <w:color w:val="000000"/>
                <w:szCs w:val="21"/>
              </w:rPr>
            </w:pPr>
            <w:r>
              <w:rPr>
                <w:color w:val="000000"/>
                <w:szCs w:val="21"/>
              </w:rPr>
              <w:t>对经批准占用城市规划区内道路设置停车位、搭建棚亭、摆设摊点、设置广告标志等进行经营、涉及灵活就业的免征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4" w:type="dxa"/>
            <w:vAlign w:val="center"/>
          </w:tcPr>
          <w:p>
            <w:pPr>
              <w:spacing w:line="300" w:lineRule="exact"/>
              <w:jc w:val="center"/>
              <w:rPr>
                <w:color w:val="000000"/>
                <w:kern w:val="0"/>
                <w:szCs w:val="21"/>
              </w:rPr>
            </w:pPr>
          </w:p>
        </w:tc>
        <w:tc>
          <w:tcPr>
            <w:tcW w:w="1742" w:type="dxa"/>
            <w:vAlign w:val="center"/>
          </w:tcPr>
          <w:p>
            <w:pPr>
              <w:spacing w:line="300" w:lineRule="exact"/>
              <w:rPr>
                <w:color w:val="000000"/>
                <w:kern w:val="0"/>
                <w:szCs w:val="21"/>
              </w:rPr>
            </w:pPr>
            <w:r>
              <w:rPr>
                <w:color w:val="000000"/>
                <w:kern w:val="0"/>
                <w:szCs w:val="21"/>
              </w:rPr>
              <w:t>县(市)</w:t>
            </w:r>
          </w:p>
        </w:tc>
        <w:tc>
          <w:tcPr>
            <w:tcW w:w="1142" w:type="dxa"/>
            <w:vMerge w:val="continue"/>
            <w:vAlign w:val="center"/>
          </w:tcPr>
          <w:p>
            <w:pPr>
              <w:spacing w:line="300" w:lineRule="exact"/>
              <w:jc w:val="center"/>
              <w:rPr>
                <w:color w:val="000000"/>
                <w:szCs w:val="21"/>
              </w:rPr>
            </w:pPr>
          </w:p>
        </w:tc>
        <w:tc>
          <w:tcPr>
            <w:tcW w:w="2881" w:type="dxa"/>
            <w:vMerge w:val="continue"/>
            <w:vAlign w:val="center"/>
          </w:tcPr>
          <w:p>
            <w:pPr>
              <w:spacing w:line="300" w:lineRule="exact"/>
              <w:rPr>
                <w:color w:val="000000"/>
                <w:szCs w:val="21"/>
              </w:rPr>
            </w:pPr>
          </w:p>
        </w:tc>
        <w:tc>
          <w:tcPr>
            <w:tcW w:w="2268" w:type="dxa"/>
            <w:vMerge w:val="continue"/>
            <w:vAlign w:val="center"/>
          </w:tcPr>
          <w:p>
            <w:pPr>
              <w:spacing w:line="300" w:lineRule="exact"/>
              <w:rPr>
                <w:color w:val="000000"/>
                <w:szCs w:val="21"/>
              </w:rPr>
            </w:pPr>
          </w:p>
        </w:tc>
        <w:tc>
          <w:tcPr>
            <w:tcW w:w="1575" w:type="dxa"/>
            <w:vAlign w:val="center"/>
          </w:tcPr>
          <w:p>
            <w:pPr>
              <w:spacing w:line="300" w:lineRule="exact"/>
              <w:jc w:val="center"/>
              <w:rPr>
                <w:color w:val="000000"/>
                <w:kern w:val="0"/>
                <w:szCs w:val="21"/>
              </w:rPr>
            </w:pPr>
            <w:r>
              <w:rPr>
                <w:color w:val="000000"/>
                <w:kern w:val="0"/>
                <w:szCs w:val="21"/>
              </w:rPr>
              <w:t>0.5</w:t>
            </w:r>
          </w:p>
        </w:tc>
        <w:tc>
          <w:tcPr>
            <w:tcW w:w="4302" w:type="dxa"/>
            <w:vMerge w:val="continue"/>
            <w:vAlign w:val="center"/>
          </w:tcPr>
          <w:p>
            <w:pPr>
              <w:spacing w:line="3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Align w:val="center"/>
          </w:tcPr>
          <w:p>
            <w:pPr>
              <w:spacing w:line="300" w:lineRule="exact"/>
              <w:jc w:val="center"/>
              <w:rPr>
                <w:color w:val="000000"/>
                <w:kern w:val="0"/>
                <w:szCs w:val="21"/>
              </w:rPr>
            </w:pPr>
            <w:r>
              <w:rPr>
                <w:color w:val="000000"/>
                <w:kern w:val="0"/>
                <w:szCs w:val="21"/>
              </w:rPr>
              <w:t>2</w:t>
            </w:r>
          </w:p>
        </w:tc>
        <w:tc>
          <w:tcPr>
            <w:tcW w:w="1742" w:type="dxa"/>
            <w:vAlign w:val="center"/>
          </w:tcPr>
          <w:p>
            <w:pPr>
              <w:spacing w:line="300" w:lineRule="exact"/>
              <w:rPr>
                <w:color w:val="000000"/>
                <w:kern w:val="0"/>
                <w:szCs w:val="21"/>
              </w:rPr>
            </w:pPr>
            <w:r>
              <w:rPr>
                <w:color w:val="000000"/>
                <w:kern w:val="0"/>
                <w:szCs w:val="21"/>
              </w:rPr>
              <w:t>城市道路挖掘修复费</w:t>
            </w:r>
          </w:p>
        </w:tc>
        <w:tc>
          <w:tcPr>
            <w:tcW w:w="1142" w:type="dxa"/>
            <w:vAlign w:val="center"/>
          </w:tcPr>
          <w:p>
            <w:pPr>
              <w:spacing w:line="300" w:lineRule="exact"/>
              <w:jc w:val="center"/>
              <w:rPr>
                <w:color w:val="000000"/>
                <w:kern w:val="0"/>
                <w:szCs w:val="21"/>
              </w:rPr>
            </w:pPr>
            <w:r>
              <w:rPr>
                <w:color w:val="000000"/>
                <w:kern w:val="0"/>
                <w:szCs w:val="21"/>
              </w:rPr>
              <w:t>实时造价</w:t>
            </w:r>
          </w:p>
        </w:tc>
        <w:tc>
          <w:tcPr>
            <w:tcW w:w="2881" w:type="dxa"/>
            <w:vAlign w:val="center"/>
          </w:tcPr>
          <w:p>
            <w:pPr>
              <w:spacing w:line="300" w:lineRule="exact"/>
              <w:rPr>
                <w:color w:val="000000"/>
                <w:kern w:val="0"/>
                <w:szCs w:val="21"/>
              </w:rPr>
            </w:pPr>
            <w:r>
              <w:rPr>
                <w:color w:val="000000"/>
                <w:kern w:val="0"/>
                <w:szCs w:val="21"/>
              </w:rPr>
              <w:t>经住建行政管理部门或当地政府分管城市道路的管理部门批准，因施工、抢修地下管线等挖掘城市规划区内道路的单位和个人</w:t>
            </w:r>
          </w:p>
        </w:tc>
        <w:tc>
          <w:tcPr>
            <w:tcW w:w="2268" w:type="dxa"/>
            <w:vAlign w:val="center"/>
          </w:tcPr>
          <w:p>
            <w:pPr>
              <w:spacing w:line="300" w:lineRule="exact"/>
              <w:rPr>
                <w:color w:val="000000"/>
                <w:kern w:val="0"/>
                <w:szCs w:val="21"/>
              </w:rPr>
            </w:pPr>
            <w:r>
              <w:rPr>
                <w:color w:val="000000"/>
                <w:kern w:val="0"/>
                <w:szCs w:val="21"/>
              </w:rPr>
              <w:t>各市州、县（市）住建行政管理部门或当地政府分管城市道路的管理部门</w:t>
            </w:r>
          </w:p>
        </w:tc>
        <w:tc>
          <w:tcPr>
            <w:tcW w:w="1575" w:type="dxa"/>
            <w:vAlign w:val="center"/>
          </w:tcPr>
          <w:p>
            <w:pPr>
              <w:spacing w:line="300" w:lineRule="exact"/>
              <w:jc w:val="center"/>
              <w:rPr>
                <w:color w:val="000000"/>
                <w:kern w:val="0"/>
                <w:szCs w:val="21"/>
              </w:rPr>
            </w:pPr>
            <w:r>
              <w:rPr>
                <w:color w:val="000000"/>
                <w:kern w:val="0"/>
                <w:szCs w:val="21"/>
              </w:rPr>
              <w:t>按破损面积实时造价的150%</w:t>
            </w:r>
          </w:p>
        </w:tc>
        <w:tc>
          <w:tcPr>
            <w:tcW w:w="4302" w:type="dxa"/>
            <w:vAlign w:val="center"/>
          </w:tcPr>
          <w:p>
            <w:pPr>
              <w:spacing w:line="300" w:lineRule="exact"/>
              <w:rPr>
                <w:color w:val="000000"/>
                <w:kern w:val="0"/>
                <w:szCs w:val="21"/>
              </w:rPr>
            </w:pPr>
            <w:r>
              <w:rPr>
                <w:color w:val="000000"/>
                <w:kern w:val="0"/>
                <w:szCs w:val="21"/>
              </w:rPr>
              <w:t>城市道路挖掘和损毁后，原则上由城市建设管理部门进行修复。对挖掘和损毁城市道路的单位及个人自行修复并经城市建设主管部门验收合格的不得收费。新建、改建的城市道路两年内对其开挖的，按道路修复成本的两倍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Align w:val="center"/>
          </w:tcPr>
          <w:p>
            <w:pPr>
              <w:spacing w:line="300" w:lineRule="exact"/>
              <w:jc w:val="center"/>
              <w:rPr>
                <w:color w:val="000000"/>
                <w:kern w:val="0"/>
                <w:szCs w:val="21"/>
              </w:rPr>
            </w:pPr>
            <w:r>
              <w:rPr>
                <w:color w:val="000000"/>
                <w:kern w:val="0"/>
                <w:szCs w:val="21"/>
              </w:rPr>
              <w:t>二</w:t>
            </w:r>
          </w:p>
        </w:tc>
        <w:tc>
          <w:tcPr>
            <w:tcW w:w="1742" w:type="dxa"/>
            <w:vAlign w:val="center"/>
          </w:tcPr>
          <w:p>
            <w:pPr>
              <w:spacing w:line="300" w:lineRule="exact"/>
              <w:rPr>
                <w:color w:val="000000"/>
                <w:kern w:val="0"/>
                <w:szCs w:val="21"/>
              </w:rPr>
            </w:pPr>
            <w:r>
              <w:rPr>
                <w:color w:val="000000"/>
                <w:kern w:val="0"/>
                <w:szCs w:val="21"/>
              </w:rPr>
              <w:t>考试考务费</w:t>
            </w:r>
          </w:p>
        </w:tc>
        <w:tc>
          <w:tcPr>
            <w:tcW w:w="1142" w:type="dxa"/>
            <w:vAlign w:val="center"/>
          </w:tcPr>
          <w:p>
            <w:pPr>
              <w:spacing w:line="300" w:lineRule="exact"/>
              <w:jc w:val="center"/>
              <w:rPr>
                <w:color w:val="000000"/>
                <w:kern w:val="0"/>
                <w:szCs w:val="21"/>
              </w:rPr>
            </w:pPr>
          </w:p>
        </w:tc>
        <w:tc>
          <w:tcPr>
            <w:tcW w:w="2881" w:type="dxa"/>
            <w:vAlign w:val="center"/>
          </w:tcPr>
          <w:p>
            <w:pPr>
              <w:spacing w:line="300" w:lineRule="exact"/>
              <w:rPr>
                <w:color w:val="000000"/>
                <w:kern w:val="0"/>
                <w:szCs w:val="21"/>
              </w:rPr>
            </w:pPr>
          </w:p>
        </w:tc>
        <w:tc>
          <w:tcPr>
            <w:tcW w:w="2268" w:type="dxa"/>
            <w:vAlign w:val="center"/>
          </w:tcPr>
          <w:p>
            <w:pPr>
              <w:spacing w:line="300" w:lineRule="exact"/>
              <w:rPr>
                <w:color w:val="000000"/>
                <w:kern w:val="0"/>
                <w:szCs w:val="21"/>
              </w:rPr>
            </w:pPr>
          </w:p>
        </w:tc>
        <w:tc>
          <w:tcPr>
            <w:tcW w:w="1575" w:type="dxa"/>
            <w:vAlign w:val="center"/>
          </w:tcPr>
          <w:p>
            <w:pPr>
              <w:spacing w:line="300" w:lineRule="exact"/>
              <w:jc w:val="center"/>
              <w:rPr>
                <w:color w:val="000000"/>
                <w:kern w:val="0"/>
                <w:szCs w:val="21"/>
              </w:rPr>
            </w:pPr>
          </w:p>
        </w:tc>
        <w:tc>
          <w:tcPr>
            <w:tcW w:w="4302" w:type="dxa"/>
            <w:vAlign w:val="center"/>
          </w:tcPr>
          <w:p>
            <w:pPr>
              <w:spacing w:line="300" w:lineRule="exac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Align w:val="center"/>
          </w:tcPr>
          <w:p>
            <w:pPr>
              <w:spacing w:line="300" w:lineRule="exact"/>
              <w:jc w:val="center"/>
              <w:rPr>
                <w:color w:val="000000"/>
                <w:kern w:val="0"/>
                <w:szCs w:val="21"/>
              </w:rPr>
            </w:pPr>
          </w:p>
        </w:tc>
        <w:tc>
          <w:tcPr>
            <w:tcW w:w="1742" w:type="dxa"/>
            <w:vAlign w:val="center"/>
          </w:tcPr>
          <w:p>
            <w:pPr>
              <w:spacing w:line="300" w:lineRule="exact"/>
              <w:rPr>
                <w:color w:val="000000"/>
                <w:kern w:val="0"/>
                <w:szCs w:val="21"/>
              </w:rPr>
            </w:pPr>
            <w:r>
              <w:rPr>
                <w:color w:val="000000"/>
                <w:kern w:val="0"/>
                <w:szCs w:val="21"/>
              </w:rPr>
              <w:t>土建工程专业技术职务任职考试</w:t>
            </w:r>
          </w:p>
        </w:tc>
        <w:tc>
          <w:tcPr>
            <w:tcW w:w="1142" w:type="dxa"/>
            <w:vAlign w:val="center"/>
          </w:tcPr>
          <w:p>
            <w:pPr>
              <w:spacing w:line="300" w:lineRule="exact"/>
              <w:jc w:val="center"/>
              <w:rPr>
                <w:color w:val="000000"/>
                <w:kern w:val="0"/>
                <w:szCs w:val="21"/>
              </w:rPr>
            </w:pPr>
          </w:p>
        </w:tc>
        <w:tc>
          <w:tcPr>
            <w:tcW w:w="2881" w:type="dxa"/>
            <w:vAlign w:val="center"/>
          </w:tcPr>
          <w:p>
            <w:pPr>
              <w:spacing w:line="300" w:lineRule="exact"/>
              <w:jc w:val="center"/>
              <w:rPr>
                <w:color w:val="000000"/>
                <w:kern w:val="0"/>
                <w:szCs w:val="21"/>
              </w:rPr>
            </w:pPr>
            <w:r>
              <w:rPr>
                <w:color w:val="000000"/>
                <w:kern w:val="0"/>
                <w:szCs w:val="21"/>
              </w:rPr>
              <w:t>考生</w:t>
            </w:r>
          </w:p>
        </w:tc>
        <w:tc>
          <w:tcPr>
            <w:tcW w:w="2268" w:type="dxa"/>
            <w:vAlign w:val="center"/>
          </w:tcPr>
          <w:p>
            <w:pPr>
              <w:spacing w:line="300" w:lineRule="exact"/>
              <w:rPr>
                <w:color w:val="000000"/>
                <w:kern w:val="0"/>
                <w:szCs w:val="21"/>
              </w:rPr>
            </w:pPr>
            <w:r>
              <w:rPr>
                <w:color w:val="000000"/>
                <w:kern w:val="0"/>
                <w:szCs w:val="21"/>
              </w:rPr>
              <w:t>省级住建行政管理部门</w:t>
            </w:r>
          </w:p>
        </w:tc>
        <w:tc>
          <w:tcPr>
            <w:tcW w:w="1575" w:type="dxa"/>
            <w:vAlign w:val="center"/>
          </w:tcPr>
          <w:p>
            <w:pPr>
              <w:spacing w:line="300" w:lineRule="exact"/>
              <w:jc w:val="center"/>
              <w:rPr>
                <w:color w:val="000000"/>
                <w:kern w:val="0"/>
                <w:szCs w:val="21"/>
              </w:rPr>
            </w:pPr>
            <w:r>
              <w:rPr>
                <w:color w:val="000000"/>
                <w:kern w:val="0"/>
                <w:szCs w:val="21"/>
              </w:rPr>
              <w:t>见备注</w:t>
            </w:r>
          </w:p>
        </w:tc>
        <w:tc>
          <w:tcPr>
            <w:tcW w:w="4302" w:type="dxa"/>
            <w:vAlign w:val="center"/>
          </w:tcPr>
          <w:p>
            <w:pPr>
              <w:spacing w:line="300" w:lineRule="exact"/>
              <w:rPr>
                <w:color w:val="000000"/>
                <w:kern w:val="0"/>
                <w:szCs w:val="21"/>
              </w:rPr>
            </w:pPr>
            <w:r>
              <w:rPr>
                <w:color w:val="000000"/>
                <w:kern w:val="0"/>
                <w:szCs w:val="21"/>
              </w:rPr>
              <w:t>收费标准由省级住建行政管理部门按照《湖南省发展和改革委员会 湖南省财政厅关于贯彻落实〈国家发展和改革委员会 财政部关于改革全国性职业资格考试收费标准管理方式的通知〉有关问题的通知》（湘发改价费〔2018〕613号）的有关规定制定。</w:t>
            </w:r>
          </w:p>
        </w:tc>
      </w:tr>
    </w:tbl>
    <w:p>
      <w:pPr>
        <w:sectPr>
          <w:pgSz w:w="16838" w:h="11906" w:orient="landscape"/>
          <w:pgMar w:top="1418" w:right="1418" w:bottom="1247" w:left="1418" w:header="851" w:footer="1021"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78"/>
    <w:rsid w:val="00226BF0"/>
    <w:rsid w:val="00484278"/>
    <w:rsid w:val="004B09E0"/>
    <w:rsid w:val="00776C78"/>
    <w:rsid w:val="00CE1FF0"/>
    <w:rsid w:val="00DE29E4"/>
    <w:rsid w:val="00E1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339</Words>
  <Characters>351</Characters>
  <Lines>23</Lines>
  <Paragraphs>18</Paragraphs>
  <TotalTime>0</TotalTime>
  <ScaleCrop>false</ScaleCrop>
  <LinksUpToDate>false</LinksUpToDate>
  <CharactersWithSpaces>672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2021-02-04T06:59:00Z</dcterms:created>
  <dc:creator>朱佳妮</dc:creator>
  <cp:lastModifiedBy>*羊羊羊 *</cp:lastModifiedBy>
  <dcterms:modified xsi:type="dcterms:W3CDTF">2021-03-12T03:25:43Z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