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8F8"/>
  <w:body>
    <w:tbl>
      <w:tblPr>
        <w:tblStyle w:val="20"/>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624"/>
        <w:gridCol w:w="1806"/>
      </w:tblGrid>
      <w:tr w14:paraId="7650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right"/>
        </w:trPr>
        <w:tc>
          <w:tcPr>
            <w:tcW w:w="3430" w:type="dxa"/>
            <w:gridSpan w:val="2"/>
            <w:vAlign w:val="center"/>
          </w:tcPr>
          <w:p w14:paraId="71720F99">
            <w:pPr>
              <w:spacing w:line="240" w:lineRule="auto"/>
              <w:rPr>
                <w:sz w:val="21"/>
                <w:szCs w:val="21"/>
              </w:rPr>
            </w:pPr>
            <w:r>
              <w:rPr>
                <w:sz w:val="21"/>
                <w:szCs w:val="21"/>
              </w:rPr>
              <w:t>预案编号：</w:t>
            </w:r>
          </w:p>
        </w:tc>
      </w:tr>
      <w:tr w14:paraId="4487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right"/>
        </w:trPr>
        <w:tc>
          <w:tcPr>
            <w:tcW w:w="1624" w:type="dxa"/>
            <w:vAlign w:val="center"/>
          </w:tcPr>
          <w:p w14:paraId="45CA32F1">
            <w:pPr>
              <w:spacing w:line="240" w:lineRule="auto"/>
              <w:jc w:val="center"/>
              <w:rPr>
                <w:sz w:val="21"/>
                <w:szCs w:val="21"/>
              </w:rPr>
            </w:pPr>
            <w:r>
              <w:rPr>
                <w:sz w:val="21"/>
                <w:szCs w:val="21"/>
              </w:rPr>
              <w:t>版本号</w:t>
            </w:r>
          </w:p>
        </w:tc>
        <w:tc>
          <w:tcPr>
            <w:tcW w:w="1806" w:type="dxa"/>
            <w:vAlign w:val="center"/>
          </w:tcPr>
          <w:p w14:paraId="7AFD27E4">
            <w:pPr>
              <w:spacing w:line="240" w:lineRule="auto"/>
              <w:jc w:val="center"/>
              <w:rPr>
                <w:sz w:val="21"/>
                <w:szCs w:val="21"/>
              </w:rPr>
            </w:pPr>
          </w:p>
        </w:tc>
      </w:tr>
      <w:tr w14:paraId="6431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right"/>
        </w:trPr>
        <w:tc>
          <w:tcPr>
            <w:tcW w:w="1624" w:type="dxa"/>
            <w:vAlign w:val="center"/>
          </w:tcPr>
          <w:p w14:paraId="5FF67AEB">
            <w:pPr>
              <w:spacing w:line="240" w:lineRule="auto"/>
              <w:jc w:val="center"/>
              <w:rPr>
                <w:sz w:val="21"/>
                <w:szCs w:val="21"/>
              </w:rPr>
            </w:pPr>
            <w:r>
              <w:rPr>
                <w:sz w:val="21"/>
                <w:szCs w:val="21"/>
              </w:rPr>
              <w:t>修改次数</w:t>
            </w:r>
          </w:p>
        </w:tc>
        <w:tc>
          <w:tcPr>
            <w:tcW w:w="1806" w:type="dxa"/>
            <w:vAlign w:val="center"/>
          </w:tcPr>
          <w:p w14:paraId="46A4AF95">
            <w:pPr>
              <w:spacing w:line="240" w:lineRule="auto"/>
              <w:jc w:val="center"/>
              <w:rPr>
                <w:sz w:val="21"/>
                <w:szCs w:val="21"/>
              </w:rPr>
            </w:pPr>
          </w:p>
        </w:tc>
      </w:tr>
      <w:tr w14:paraId="2ADA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right"/>
        </w:trPr>
        <w:tc>
          <w:tcPr>
            <w:tcW w:w="1624" w:type="dxa"/>
            <w:vAlign w:val="center"/>
          </w:tcPr>
          <w:p w14:paraId="50B6BBA7">
            <w:pPr>
              <w:spacing w:line="240" w:lineRule="auto"/>
              <w:jc w:val="center"/>
              <w:rPr>
                <w:sz w:val="21"/>
                <w:szCs w:val="21"/>
              </w:rPr>
            </w:pPr>
            <w:r>
              <w:rPr>
                <w:sz w:val="21"/>
                <w:szCs w:val="21"/>
              </w:rPr>
              <w:t>发布、实施日期</w:t>
            </w:r>
          </w:p>
        </w:tc>
        <w:tc>
          <w:tcPr>
            <w:tcW w:w="1806" w:type="dxa"/>
            <w:vAlign w:val="center"/>
          </w:tcPr>
          <w:p w14:paraId="0EEF2FF6">
            <w:pPr>
              <w:spacing w:line="240" w:lineRule="auto"/>
              <w:jc w:val="center"/>
              <w:rPr>
                <w:sz w:val="21"/>
                <w:szCs w:val="21"/>
              </w:rPr>
            </w:pPr>
            <w:r>
              <w:rPr>
                <w:sz w:val="21"/>
                <w:szCs w:val="21"/>
              </w:rPr>
              <w:t>202</w:t>
            </w:r>
            <w:r>
              <w:rPr>
                <w:rFonts w:hint="eastAsia"/>
                <w:sz w:val="21"/>
                <w:szCs w:val="21"/>
                <w:lang w:val="en-US" w:eastAsia="zh-CN"/>
              </w:rPr>
              <w:t xml:space="preserve">4  </w:t>
            </w:r>
            <w:r>
              <w:rPr>
                <w:sz w:val="21"/>
                <w:szCs w:val="21"/>
              </w:rPr>
              <w:t>年</w:t>
            </w:r>
            <w:r>
              <w:rPr>
                <w:rFonts w:hint="eastAsia"/>
                <w:sz w:val="21"/>
                <w:szCs w:val="21"/>
              </w:rPr>
              <w:t xml:space="preserve">  </w:t>
            </w:r>
            <w:r>
              <w:rPr>
                <w:sz w:val="21"/>
                <w:szCs w:val="21"/>
              </w:rPr>
              <w:t>月</w:t>
            </w:r>
            <w:r>
              <w:rPr>
                <w:rFonts w:hint="eastAsia"/>
                <w:sz w:val="21"/>
                <w:szCs w:val="21"/>
              </w:rPr>
              <w:t xml:space="preserve">  </w:t>
            </w:r>
            <w:r>
              <w:rPr>
                <w:sz w:val="21"/>
                <w:szCs w:val="21"/>
              </w:rPr>
              <w:t>日</w:t>
            </w:r>
          </w:p>
        </w:tc>
      </w:tr>
    </w:tbl>
    <w:p w14:paraId="481731F5">
      <w:pPr>
        <w:jc w:val="center"/>
        <w:rPr>
          <w:b/>
          <w:bCs/>
          <w:sz w:val="48"/>
          <w:szCs w:val="48"/>
        </w:rPr>
      </w:pPr>
    </w:p>
    <w:p w14:paraId="77D84B94">
      <w:pPr>
        <w:jc w:val="center"/>
        <w:rPr>
          <w:b/>
          <w:bCs/>
          <w:sz w:val="48"/>
          <w:szCs w:val="48"/>
        </w:rPr>
      </w:pPr>
    </w:p>
    <w:p w14:paraId="5430C5A6">
      <w:pPr>
        <w:jc w:val="center"/>
        <w:rPr>
          <w:rFonts w:hint="eastAsia"/>
          <w:b/>
          <w:bCs/>
          <w:sz w:val="52"/>
          <w:szCs w:val="52"/>
        </w:rPr>
      </w:pPr>
      <w:r>
        <w:rPr>
          <w:rFonts w:hint="eastAsia"/>
          <w:b/>
          <w:bCs/>
          <w:w w:val="95"/>
          <w:sz w:val="52"/>
          <w:szCs w:val="52"/>
        </w:rPr>
        <w:t>绥宁县关峡苗族乡兰溪水饮用水</w:t>
      </w:r>
    </w:p>
    <w:p w14:paraId="509D9D50">
      <w:pPr>
        <w:jc w:val="center"/>
        <w:rPr>
          <w:b/>
          <w:bCs/>
          <w:sz w:val="52"/>
          <w:szCs w:val="52"/>
        </w:rPr>
      </w:pPr>
      <w:r>
        <w:rPr>
          <w:rFonts w:hint="eastAsia"/>
          <w:b/>
          <w:bCs/>
          <w:w w:val="95"/>
          <w:sz w:val="52"/>
          <w:szCs w:val="52"/>
        </w:rPr>
        <w:t>水源地保护区</w:t>
      </w:r>
      <w:r>
        <w:rPr>
          <w:b/>
          <w:bCs/>
          <w:w w:val="95"/>
          <w:sz w:val="52"/>
          <w:szCs w:val="52"/>
        </w:rPr>
        <w:t>突发环境事件应急预案</w:t>
      </w:r>
    </w:p>
    <w:p w14:paraId="5185EED6">
      <w:pPr>
        <w:jc w:val="center"/>
        <w:rPr>
          <w:rFonts w:hint="eastAsia"/>
        </w:rPr>
      </w:pPr>
      <w:r>
        <w:rPr>
          <w:rFonts w:hint="eastAsia"/>
          <w:b/>
          <w:snapToGrid w:val="0"/>
          <w:kern w:val="0"/>
          <w:sz w:val="48"/>
          <w:szCs w:val="48"/>
        </w:rPr>
        <w:t>（第一次修订，</w:t>
      </w:r>
      <w:r>
        <w:rPr>
          <w:rFonts w:hint="eastAsia"/>
          <w:b/>
          <w:snapToGrid w:val="0"/>
          <w:kern w:val="0"/>
          <w:sz w:val="48"/>
          <w:szCs w:val="48"/>
          <w:lang w:eastAsia="zh-CN"/>
        </w:rPr>
        <w:t>2024年版</w:t>
      </w:r>
      <w:r>
        <w:rPr>
          <w:rFonts w:hint="eastAsia"/>
          <w:b/>
          <w:snapToGrid w:val="0"/>
          <w:kern w:val="0"/>
          <w:sz w:val="48"/>
          <w:szCs w:val="48"/>
        </w:rPr>
        <w:t>）</w:t>
      </w:r>
    </w:p>
    <w:p w14:paraId="3336B85B">
      <w:pPr>
        <w:rPr>
          <w:sz w:val="44"/>
          <w:szCs w:val="44"/>
        </w:rPr>
      </w:pPr>
    </w:p>
    <w:p w14:paraId="13ACB477">
      <w:pPr>
        <w:rPr>
          <w:sz w:val="44"/>
          <w:szCs w:val="44"/>
        </w:rPr>
      </w:pPr>
    </w:p>
    <w:p w14:paraId="5D66CC98">
      <w:pPr>
        <w:rPr>
          <w:sz w:val="44"/>
          <w:szCs w:val="44"/>
        </w:rPr>
      </w:pPr>
    </w:p>
    <w:p w14:paraId="7DD365B7">
      <w:pPr>
        <w:rPr>
          <w:sz w:val="44"/>
          <w:szCs w:val="44"/>
        </w:rPr>
      </w:pPr>
    </w:p>
    <w:p w14:paraId="24C96980">
      <w:pPr>
        <w:rPr>
          <w:sz w:val="44"/>
          <w:szCs w:val="44"/>
        </w:rPr>
      </w:pPr>
    </w:p>
    <w:p w14:paraId="698D4F83">
      <w:pPr>
        <w:rPr>
          <w:sz w:val="44"/>
          <w:szCs w:val="44"/>
        </w:rPr>
      </w:pPr>
    </w:p>
    <w:p w14:paraId="73627782">
      <w:pPr>
        <w:rPr>
          <w:b/>
          <w:bCs/>
          <w:sz w:val="32"/>
          <w:szCs w:val="32"/>
        </w:rPr>
      </w:pPr>
    </w:p>
    <w:p w14:paraId="4C765336">
      <w:pPr>
        <w:jc w:val="center"/>
        <w:rPr>
          <w:b/>
          <w:bCs/>
          <w:sz w:val="32"/>
          <w:szCs w:val="32"/>
        </w:rPr>
      </w:pPr>
      <w:r>
        <w:rPr>
          <w:rFonts w:hint="eastAsia"/>
          <w:b/>
          <w:bCs/>
          <w:sz w:val="32"/>
          <w:szCs w:val="32"/>
        </w:rPr>
        <w:t>委托</w:t>
      </w:r>
      <w:r>
        <w:rPr>
          <w:b/>
          <w:bCs/>
          <w:sz w:val="32"/>
          <w:szCs w:val="32"/>
        </w:rPr>
        <w:t>单位：绥宁县人民政府</w:t>
      </w:r>
    </w:p>
    <w:p w14:paraId="75AC80CC">
      <w:pPr>
        <w:jc w:val="center"/>
        <w:rPr>
          <w:rFonts w:hint="eastAsia"/>
          <w:b/>
          <w:bCs/>
          <w:sz w:val="32"/>
          <w:szCs w:val="32"/>
        </w:rPr>
      </w:pPr>
      <w:r>
        <w:rPr>
          <w:rFonts w:hint="eastAsia"/>
          <w:b/>
          <w:bCs/>
          <w:sz w:val="32"/>
          <w:szCs w:val="32"/>
        </w:rPr>
        <w:t>承担单位：邵阳市生态环境局绥宁分局</w:t>
      </w:r>
    </w:p>
    <w:p w14:paraId="56B519E0">
      <w:pPr>
        <w:jc w:val="center"/>
        <w:rPr>
          <w:b/>
          <w:bCs/>
          <w:sz w:val="32"/>
          <w:szCs w:val="32"/>
        </w:rPr>
      </w:pPr>
      <w:r>
        <w:rPr>
          <w:rFonts w:hint="eastAsia"/>
          <w:b/>
          <w:bCs/>
          <w:sz w:val="32"/>
          <w:szCs w:val="32"/>
        </w:rPr>
        <w:t>编制单位：湖南天弘环保科技有限公司</w:t>
      </w:r>
    </w:p>
    <w:p w14:paraId="189E0275">
      <w:pPr>
        <w:jc w:val="center"/>
        <w:rPr>
          <w:b/>
          <w:bCs/>
          <w:sz w:val="32"/>
          <w:szCs w:val="32"/>
        </w:rPr>
      </w:pPr>
      <w:r>
        <w:rPr>
          <w:b/>
          <w:bCs/>
          <w:sz w:val="32"/>
          <w:szCs w:val="32"/>
        </w:rPr>
        <w:t>编制时间：</w:t>
      </w:r>
      <w:r>
        <w:rPr>
          <w:rFonts w:hint="eastAsia"/>
          <w:b/>
          <w:bCs/>
          <w:sz w:val="32"/>
          <w:szCs w:val="32"/>
        </w:rPr>
        <w:t>202</w:t>
      </w:r>
      <w:r>
        <w:rPr>
          <w:rFonts w:hint="eastAsia"/>
          <w:b/>
          <w:bCs/>
          <w:sz w:val="32"/>
          <w:szCs w:val="32"/>
          <w:lang w:val="en-US" w:eastAsia="zh-CN"/>
        </w:rPr>
        <w:t>4</w:t>
      </w:r>
      <w:r>
        <w:rPr>
          <w:b/>
          <w:bCs/>
          <w:sz w:val="32"/>
          <w:szCs w:val="32"/>
        </w:rPr>
        <w:t>年</w:t>
      </w:r>
      <w:r>
        <w:rPr>
          <w:rFonts w:hint="eastAsia"/>
          <w:b/>
          <w:bCs/>
          <w:sz w:val="32"/>
          <w:szCs w:val="32"/>
          <w:lang w:val="en-US" w:eastAsia="zh-CN"/>
        </w:rPr>
        <w:t>2</w:t>
      </w:r>
      <w:r>
        <w:rPr>
          <w:b/>
          <w:bCs/>
          <w:sz w:val="32"/>
          <w:szCs w:val="32"/>
        </w:rPr>
        <w:t>月</w:t>
      </w:r>
    </w:p>
    <w:p w14:paraId="504B371D">
      <w:pPr>
        <w:jc w:val="center"/>
        <w:rPr>
          <w:rFonts w:hint="eastAsia"/>
          <w:b/>
          <w:bCs/>
          <w:sz w:val="28"/>
          <w:szCs w:val="28"/>
        </w:rPr>
      </w:pPr>
    </w:p>
    <w:p w14:paraId="44038E92">
      <w:pPr>
        <w:jc w:val="center"/>
        <w:rPr>
          <w:rFonts w:hint="eastAsia"/>
          <w:b/>
          <w:bCs/>
          <w:sz w:val="28"/>
          <w:szCs w:val="28"/>
        </w:rPr>
      </w:pPr>
    </w:p>
    <w:p w14:paraId="1C066BEA">
      <w:pPr>
        <w:jc w:val="center"/>
        <w:rPr>
          <w:rFonts w:hint="eastAsia"/>
          <w:b/>
          <w:bCs/>
          <w:sz w:val="28"/>
          <w:szCs w:val="28"/>
        </w:rPr>
      </w:pPr>
    </w:p>
    <w:p w14:paraId="34238D97">
      <w:pPr>
        <w:jc w:val="center"/>
        <w:rPr>
          <w:rFonts w:hint="eastAsia"/>
          <w:b/>
          <w:bCs/>
          <w:sz w:val="28"/>
          <w:szCs w:val="28"/>
        </w:rPr>
      </w:pPr>
    </w:p>
    <w:p w14:paraId="71FF2D91">
      <w:pPr>
        <w:jc w:val="center"/>
        <w:rPr>
          <w:rFonts w:hint="eastAsia"/>
          <w:b/>
          <w:bCs/>
          <w:sz w:val="28"/>
          <w:szCs w:val="28"/>
        </w:rPr>
      </w:pPr>
    </w:p>
    <w:p w14:paraId="51FCFE14">
      <w:pPr>
        <w:jc w:val="center"/>
        <w:rPr>
          <w:rFonts w:hint="eastAsia"/>
          <w:b/>
          <w:bCs/>
          <w:sz w:val="28"/>
          <w:szCs w:val="28"/>
        </w:rPr>
      </w:pPr>
    </w:p>
    <w:p w14:paraId="22EF02A3">
      <w:pPr>
        <w:jc w:val="center"/>
        <w:rPr>
          <w:rFonts w:hint="eastAsia"/>
          <w:b/>
          <w:bCs/>
          <w:sz w:val="28"/>
          <w:szCs w:val="28"/>
        </w:rPr>
      </w:pPr>
    </w:p>
    <w:p w14:paraId="7C2ED387">
      <w:pPr>
        <w:jc w:val="center"/>
        <w:rPr>
          <w:rFonts w:hint="eastAsia"/>
          <w:b/>
          <w:bCs/>
          <w:sz w:val="28"/>
          <w:szCs w:val="28"/>
        </w:rPr>
      </w:pPr>
    </w:p>
    <w:p w14:paraId="4C3D00C5">
      <w:pPr>
        <w:jc w:val="center"/>
        <w:rPr>
          <w:rFonts w:hint="eastAsia"/>
          <w:b/>
          <w:bCs/>
          <w:sz w:val="28"/>
          <w:szCs w:val="28"/>
        </w:rPr>
      </w:pPr>
    </w:p>
    <w:p w14:paraId="2A41EAA1">
      <w:pPr>
        <w:jc w:val="center"/>
        <w:rPr>
          <w:rFonts w:hint="eastAsia"/>
          <w:b/>
          <w:bCs/>
          <w:sz w:val="28"/>
          <w:szCs w:val="28"/>
        </w:rPr>
      </w:pPr>
    </w:p>
    <w:p w14:paraId="4D602434">
      <w:pPr>
        <w:jc w:val="center"/>
        <w:rPr>
          <w:rFonts w:hint="eastAsia"/>
          <w:b/>
          <w:bCs/>
          <w:sz w:val="28"/>
          <w:szCs w:val="28"/>
        </w:rPr>
      </w:pPr>
    </w:p>
    <w:p w14:paraId="2A24E6D0">
      <w:pPr>
        <w:jc w:val="center"/>
        <w:rPr>
          <w:rFonts w:hint="eastAsia"/>
          <w:b/>
          <w:bCs/>
          <w:sz w:val="28"/>
          <w:szCs w:val="28"/>
        </w:rPr>
      </w:pPr>
    </w:p>
    <w:p w14:paraId="45342DD4">
      <w:pPr>
        <w:jc w:val="center"/>
        <w:rPr>
          <w:rFonts w:hint="eastAsia"/>
          <w:b/>
          <w:bCs/>
          <w:sz w:val="28"/>
          <w:szCs w:val="28"/>
        </w:rPr>
      </w:pPr>
    </w:p>
    <w:p w14:paraId="6377CB60">
      <w:pPr>
        <w:jc w:val="center"/>
        <w:rPr>
          <w:rFonts w:hint="eastAsia"/>
          <w:b/>
          <w:bCs/>
          <w:sz w:val="28"/>
          <w:szCs w:val="28"/>
        </w:rPr>
      </w:pPr>
    </w:p>
    <w:p w14:paraId="7C7B23A6">
      <w:pPr>
        <w:jc w:val="center"/>
        <w:rPr>
          <w:rFonts w:hint="eastAsia"/>
          <w:b/>
          <w:bCs/>
          <w:sz w:val="28"/>
          <w:szCs w:val="28"/>
        </w:rPr>
      </w:pPr>
    </w:p>
    <w:p w14:paraId="1514DF18">
      <w:pPr>
        <w:jc w:val="center"/>
        <w:rPr>
          <w:rFonts w:hint="eastAsia"/>
          <w:b/>
          <w:bCs/>
          <w:sz w:val="28"/>
          <w:szCs w:val="28"/>
        </w:rPr>
      </w:pPr>
    </w:p>
    <w:p w14:paraId="3DA53450">
      <w:pPr>
        <w:jc w:val="center"/>
        <w:rPr>
          <w:rFonts w:hint="eastAsia"/>
          <w:b/>
          <w:bCs/>
          <w:sz w:val="28"/>
          <w:szCs w:val="28"/>
        </w:rPr>
      </w:pPr>
    </w:p>
    <w:p w14:paraId="63E3994D">
      <w:pPr>
        <w:jc w:val="center"/>
        <w:rPr>
          <w:rFonts w:hint="eastAsia"/>
          <w:b/>
          <w:bCs/>
          <w:sz w:val="28"/>
          <w:szCs w:val="28"/>
        </w:rPr>
      </w:pPr>
    </w:p>
    <w:p w14:paraId="54E2FAAD">
      <w:pPr>
        <w:jc w:val="center"/>
        <w:rPr>
          <w:rFonts w:hint="eastAsia"/>
          <w:b/>
          <w:bCs/>
          <w:sz w:val="28"/>
          <w:szCs w:val="28"/>
        </w:rPr>
      </w:pPr>
    </w:p>
    <w:p w14:paraId="75FC8980">
      <w:pPr>
        <w:jc w:val="center"/>
        <w:rPr>
          <w:rFonts w:hint="eastAsia"/>
          <w:b/>
          <w:bCs/>
          <w:sz w:val="28"/>
          <w:szCs w:val="28"/>
        </w:rPr>
      </w:pPr>
    </w:p>
    <w:p w14:paraId="2BB31C6F">
      <w:pPr>
        <w:jc w:val="center"/>
        <w:rPr>
          <w:rFonts w:hint="eastAsia"/>
          <w:b/>
          <w:bCs/>
          <w:sz w:val="28"/>
          <w:szCs w:val="28"/>
        </w:rPr>
      </w:pPr>
    </w:p>
    <w:p w14:paraId="7CB7E5A8">
      <w:pPr>
        <w:jc w:val="center"/>
        <w:rPr>
          <w:rFonts w:hint="eastAsia"/>
          <w:b/>
          <w:bCs/>
          <w:sz w:val="28"/>
          <w:szCs w:val="28"/>
        </w:rPr>
      </w:pPr>
    </w:p>
    <w:p w14:paraId="1E8EF15F">
      <w:pPr>
        <w:jc w:val="center"/>
        <w:rPr>
          <w:rFonts w:hint="eastAsia"/>
          <w:b/>
          <w:bCs/>
          <w:sz w:val="28"/>
          <w:szCs w:val="28"/>
        </w:rPr>
      </w:pPr>
    </w:p>
    <w:p w14:paraId="5C42A68B">
      <w:pPr>
        <w:jc w:val="center"/>
        <w:rPr>
          <w:rFonts w:hint="eastAsia"/>
          <w:b/>
          <w:bCs/>
          <w:sz w:val="28"/>
          <w:szCs w:val="28"/>
        </w:rPr>
      </w:pPr>
    </w:p>
    <w:p w14:paraId="30C8A138">
      <w:pPr>
        <w:jc w:val="center"/>
        <w:rPr>
          <w:rFonts w:hint="eastAsia"/>
          <w:b/>
          <w:bCs/>
          <w:sz w:val="28"/>
          <w:szCs w:val="28"/>
        </w:rPr>
      </w:pPr>
    </w:p>
    <w:p w14:paraId="1B787D84">
      <w:pPr>
        <w:jc w:val="center"/>
        <w:rPr>
          <w:rFonts w:hint="eastAsia"/>
          <w:b/>
          <w:bCs/>
          <w:sz w:val="28"/>
          <w:szCs w:val="28"/>
        </w:rPr>
      </w:pPr>
    </w:p>
    <w:p w14:paraId="74A3E9BB">
      <w:pPr>
        <w:jc w:val="center"/>
        <w:rPr>
          <w:rFonts w:hint="eastAsia"/>
          <w:b/>
          <w:bCs/>
          <w:sz w:val="28"/>
          <w:szCs w:val="28"/>
        </w:rPr>
      </w:pPr>
    </w:p>
    <w:p w14:paraId="7E28A359">
      <w:pPr>
        <w:jc w:val="center"/>
        <w:rPr>
          <w:rFonts w:hint="eastAsia"/>
          <w:b/>
          <w:bCs/>
          <w:sz w:val="28"/>
          <w:szCs w:val="28"/>
        </w:rPr>
      </w:pPr>
    </w:p>
    <w:p w14:paraId="4461C067">
      <w:pPr>
        <w:spacing w:line="480" w:lineRule="auto"/>
        <w:jc w:val="center"/>
        <w:rPr>
          <w:rFonts w:hint="eastAsia" w:ascii="Times New Roman" w:hAnsi="Times New Roman" w:eastAsia="宋体" w:cs="Times New Roman"/>
          <w:b/>
          <w:bCs/>
          <w:color w:val="auto"/>
          <w:sz w:val="24"/>
          <w:szCs w:val="24"/>
          <w:lang w:val="en-US" w:eastAsia="zh-CN"/>
        </w:rPr>
      </w:pPr>
    </w:p>
    <w:p w14:paraId="1D1ABC5F">
      <w:pPr>
        <w:spacing w:line="480" w:lineRule="auto"/>
        <w:jc w:val="center"/>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绥宁县关峡苗族乡兰溪水饮用水</w:t>
      </w:r>
      <w:r>
        <w:rPr>
          <w:rFonts w:hint="eastAsia" w:ascii="Times New Roman" w:hAnsi="Times New Roman" w:eastAsia="宋体" w:cs="Times New Roman"/>
          <w:b/>
          <w:bCs/>
          <w:color w:val="auto"/>
          <w:sz w:val="24"/>
          <w:szCs w:val="24"/>
        </w:rPr>
        <w:t>水源地保护区</w:t>
      </w:r>
    </w:p>
    <w:p w14:paraId="5DE90199">
      <w:pPr>
        <w:spacing w:line="480" w:lineRule="auto"/>
        <w:jc w:val="center"/>
        <w:rPr>
          <w:rFonts w:ascii="Times New Roman" w:hAnsi="Times New Roman" w:eastAsia="宋体" w:cs="Times New Roman"/>
          <w:sz w:val="24"/>
          <w:szCs w:val="24"/>
        </w:rPr>
      </w:pPr>
      <w:r>
        <w:rPr>
          <w:rFonts w:hint="eastAsia" w:ascii="Times New Roman" w:hAnsi="Times New Roman" w:eastAsia="宋体" w:cs="Times New Roman"/>
          <w:b/>
          <w:bCs/>
          <w:color w:val="auto"/>
          <w:sz w:val="24"/>
          <w:szCs w:val="24"/>
        </w:rPr>
        <w:t>突发环境事件应急预案</w:t>
      </w:r>
      <w:r>
        <w:rPr>
          <w:rFonts w:hint="eastAsia" w:ascii="Times New Roman" w:hAnsi="Times New Roman" w:eastAsia="宋体" w:cs="Times New Roman"/>
          <w:b/>
          <w:bCs/>
          <w:color w:val="auto"/>
          <w:sz w:val="24"/>
          <w:szCs w:val="24"/>
          <w:lang w:eastAsia="zh-CN"/>
        </w:rPr>
        <w:t>（第一次修订，2024年版）</w:t>
      </w:r>
      <w:r>
        <w:rPr>
          <w:rFonts w:hint="eastAsia" w:ascii="Times New Roman" w:hAnsi="Times New Roman" w:eastAsia="宋体" w:cs="Times New Roman"/>
          <w:b/>
          <w:bCs/>
          <w:color w:val="auto"/>
          <w:sz w:val="24"/>
          <w:szCs w:val="24"/>
        </w:rPr>
        <w:t>评审会后修改说明</w:t>
      </w:r>
    </w:p>
    <w:tbl>
      <w:tblPr>
        <w:tblStyle w:val="20"/>
        <w:tblpPr w:leftFromText="181" w:rightFromText="181" w:vertAnchor="text" w:horzAnchor="margin" w:tblpXSpec="center" w:tblpY="1"/>
        <w:tblOverlap w:val="never"/>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419"/>
        <w:gridCol w:w="1113"/>
        <w:gridCol w:w="2695"/>
        <w:gridCol w:w="1236"/>
        <w:gridCol w:w="697"/>
      </w:tblGrid>
      <w:tr w14:paraId="5459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33" w:type="dxa"/>
            <w:noWrap w:val="0"/>
            <w:vAlign w:val="center"/>
          </w:tcPr>
          <w:p w14:paraId="5CF0B41E">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2419" w:type="dxa"/>
            <w:noWrap w:val="0"/>
            <w:vAlign w:val="center"/>
          </w:tcPr>
          <w:p w14:paraId="7682990E">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报告修改意见</w:t>
            </w:r>
          </w:p>
        </w:tc>
        <w:tc>
          <w:tcPr>
            <w:tcW w:w="1113" w:type="dxa"/>
            <w:noWrap w:val="0"/>
            <w:vAlign w:val="center"/>
          </w:tcPr>
          <w:p w14:paraId="3364E13F">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采纳情况</w:t>
            </w:r>
          </w:p>
        </w:tc>
        <w:tc>
          <w:tcPr>
            <w:tcW w:w="2695" w:type="dxa"/>
            <w:noWrap w:val="0"/>
            <w:vAlign w:val="center"/>
          </w:tcPr>
          <w:p w14:paraId="611B2215">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修改情况</w:t>
            </w:r>
          </w:p>
        </w:tc>
        <w:tc>
          <w:tcPr>
            <w:tcW w:w="1236" w:type="dxa"/>
            <w:noWrap w:val="0"/>
            <w:vAlign w:val="center"/>
          </w:tcPr>
          <w:p w14:paraId="1F56036A">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索引</w:t>
            </w:r>
          </w:p>
        </w:tc>
        <w:tc>
          <w:tcPr>
            <w:tcW w:w="697" w:type="dxa"/>
            <w:noWrap w:val="0"/>
            <w:vAlign w:val="center"/>
          </w:tcPr>
          <w:p w14:paraId="41B93D22">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1B49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Merge w:val="restart"/>
            <w:noWrap w:val="0"/>
            <w:vAlign w:val="center"/>
          </w:tcPr>
          <w:p w14:paraId="6A18463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419" w:type="dxa"/>
            <w:vMerge w:val="restart"/>
            <w:noWrap w:val="0"/>
            <w:vAlign w:val="center"/>
          </w:tcPr>
          <w:p w14:paraId="1893C6B2">
            <w:pPr>
              <w:spacing w:line="240" w:lineRule="auto"/>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核实编制说明，细化内部评审意见采纳情况。根据饮用水水源保护区勘界和斑块核查成果，核实饮用水水源保护区范围和环境问题，核实预案适用范围。完善上一版应急预案的回顾性分析，核实水源地基本情况、风险源、应急处置设施、应急组织体系等变化情况，说明风险防控措施落实情况，核实历史突发环境事件和涉水突发环境事件，据此明确上轮预案运行存在的问题、整改措施。</w:t>
            </w:r>
          </w:p>
        </w:tc>
        <w:tc>
          <w:tcPr>
            <w:tcW w:w="1113" w:type="dxa"/>
            <w:noWrap w:val="0"/>
            <w:vAlign w:val="center"/>
          </w:tcPr>
          <w:p w14:paraId="3E0F3188">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47037A83">
            <w:pPr>
              <w:spacing w:line="240" w:lineRule="auto"/>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w:t>
            </w:r>
            <w:r>
              <w:rPr>
                <w:rFonts w:hint="default" w:ascii="Times New Roman" w:hAnsi="Times New Roman" w:eastAsia="宋体" w:cs="Times New Roman"/>
                <w:kern w:val="2"/>
                <w:sz w:val="21"/>
                <w:szCs w:val="21"/>
                <w:lang w:val="en-US" w:eastAsia="zh-CN" w:bidi="ar"/>
              </w:rPr>
              <w:t>核实编制说明，</w:t>
            </w:r>
            <w:r>
              <w:rPr>
                <w:rFonts w:hint="eastAsia" w:ascii="Times New Roman" w:hAnsi="Times New Roman" w:eastAsia="宋体" w:cs="Times New Roman"/>
                <w:kern w:val="2"/>
                <w:sz w:val="21"/>
                <w:szCs w:val="21"/>
                <w:lang w:val="en-US" w:eastAsia="zh-CN" w:bidi="ar"/>
              </w:rPr>
              <w:t>已</w:t>
            </w:r>
            <w:r>
              <w:rPr>
                <w:rFonts w:hint="default" w:ascii="Times New Roman" w:hAnsi="Times New Roman" w:eastAsia="宋体" w:cs="Times New Roman"/>
                <w:kern w:val="2"/>
                <w:sz w:val="21"/>
                <w:szCs w:val="21"/>
                <w:lang w:val="en-US" w:eastAsia="zh-CN" w:bidi="ar"/>
              </w:rPr>
              <w:t>细化内部评审意见采纳情况</w:t>
            </w:r>
          </w:p>
        </w:tc>
        <w:tc>
          <w:tcPr>
            <w:tcW w:w="1236" w:type="dxa"/>
            <w:noWrap w:val="0"/>
            <w:vAlign w:val="center"/>
          </w:tcPr>
          <w:p w14:paraId="7F8CD7E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P</w:t>
            </w:r>
            <w:r>
              <w:rPr>
                <w:rFonts w:hint="eastAsia" w:ascii="Times New Roman" w:hAnsi="Times New Roman" w:eastAsia="宋体" w:cs="Times New Roman"/>
                <w:color w:val="auto"/>
                <w:kern w:val="2"/>
                <w:sz w:val="21"/>
                <w:szCs w:val="21"/>
                <w:lang w:val="en-US" w:eastAsia="zh-CN" w:bidi="ar-SA"/>
              </w:rPr>
              <w:t>8</w:t>
            </w:r>
          </w:p>
        </w:tc>
        <w:tc>
          <w:tcPr>
            <w:tcW w:w="697" w:type="dxa"/>
            <w:vMerge w:val="restart"/>
            <w:noWrap w:val="0"/>
            <w:vAlign w:val="center"/>
          </w:tcPr>
          <w:p w14:paraId="64B5365A">
            <w:pPr>
              <w:spacing w:line="240" w:lineRule="auto"/>
              <w:jc w:val="center"/>
              <w:rPr>
                <w:rFonts w:hint="default" w:ascii="Times New Roman" w:hAnsi="Times New Roman" w:eastAsia="宋体" w:cs="Times New Roman"/>
                <w:color w:val="auto"/>
                <w:sz w:val="21"/>
                <w:szCs w:val="21"/>
                <w:lang w:val="en-US" w:eastAsia="zh-CN"/>
              </w:rPr>
            </w:pPr>
          </w:p>
        </w:tc>
      </w:tr>
      <w:tr w14:paraId="7C0C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33" w:type="dxa"/>
            <w:vMerge w:val="continue"/>
            <w:noWrap w:val="0"/>
            <w:vAlign w:val="center"/>
          </w:tcPr>
          <w:p w14:paraId="38DE06F5">
            <w:pPr>
              <w:spacing w:line="240" w:lineRule="auto"/>
              <w:jc w:val="center"/>
              <w:rPr>
                <w:rFonts w:hint="default" w:ascii="Times New Roman" w:hAnsi="Times New Roman" w:eastAsia="宋体" w:cs="Times New Roman"/>
                <w:color w:val="auto"/>
                <w:sz w:val="21"/>
                <w:szCs w:val="21"/>
                <w:lang w:val="en-US" w:eastAsia="zh-CN"/>
              </w:rPr>
            </w:pPr>
          </w:p>
        </w:tc>
        <w:tc>
          <w:tcPr>
            <w:tcW w:w="2419" w:type="dxa"/>
            <w:vMerge w:val="continue"/>
            <w:noWrap w:val="0"/>
            <w:vAlign w:val="center"/>
          </w:tcPr>
          <w:p w14:paraId="2E3EB9C5">
            <w:pPr>
              <w:spacing w:line="240" w:lineRule="auto"/>
              <w:jc w:val="both"/>
              <w:rPr>
                <w:rFonts w:hint="default" w:ascii="Times New Roman" w:hAnsi="Times New Roman" w:eastAsia="宋体" w:cs="Times New Roman"/>
                <w:kern w:val="2"/>
                <w:sz w:val="21"/>
                <w:szCs w:val="21"/>
                <w:lang w:val="en-US" w:eastAsia="zh-CN" w:bidi="ar"/>
              </w:rPr>
            </w:pPr>
          </w:p>
        </w:tc>
        <w:tc>
          <w:tcPr>
            <w:tcW w:w="1113" w:type="dxa"/>
            <w:noWrap w:val="0"/>
            <w:vAlign w:val="center"/>
          </w:tcPr>
          <w:p w14:paraId="1DE23EA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110AF46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w:t>
            </w:r>
            <w:r>
              <w:rPr>
                <w:rFonts w:hint="default" w:ascii="Times New Roman" w:hAnsi="Times New Roman" w:eastAsia="宋体" w:cs="Times New Roman"/>
                <w:kern w:val="2"/>
                <w:sz w:val="21"/>
                <w:szCs w:val="21"/>
                <w:lang w:val="en-US" w:eastAsia="zh-CN" w:bidi="ar"/>
              </w:rPr>
              <w:t>根据饮用水水源保护区勘界和斑块核查成果，核实饮用水水源保护区范围和环境问题，核实预案适用范围</w:t>
            </w:r>
          </w:p>
        </w:tc>
        <w:tc>
          <w:tcPr>
            <w:tcW w:w="1236" w:type="dxa"/>
            <w:noWrap w:val="0"/>
            <w:vAlign w:val="center"/>
          </w:tcPr>
          <w:p w14:paraId="266157F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P</w:t>
            </w:r>
            <w:r>
              <w:rPr>
                <w:rFonts w:hint="eastAsia" w:ascii="Times New Roman" w:hAnsi="Times New Roman" w:eastAsia="宋体" w:cs="Times New Roman"/>
                <w:color w:val="auto"/>
                <w:kern w:val="2"/>
                <w:sz w:val="21"/>
                <w:szCs w:val="21"/>
                <w:lang w:val="en-US" w:eastAsia="zh-CN" w:bidi="ar-SA"/>
              </w:rPr>
              <w:t>1,21</w:t>
            </w:r>
          </w:p>
        </w:tc>
        <w:tc>
          <w:tcPr>
            <w:tcW w:w="697" w:type="dxa"/>
            <w:vMerge w:val="continue"/>
            <w:noWrap w:val="0"/>
            <w:vAlign w:val="center"/>
          </w:tcPr>
          <w:p w14:paraId="45BFBDBD">
            <w:pPr>
              <w:spacing w:line="240" w:lineRule="auto"/>
              <w:jc w:val="center"/>
              <w:rPr>
                <w:rFonts w:hint="default" w:ascii="Times New Roman" w:hAnsi="Times New Roman" w:eastAsia="宋体" w:cs="Times New Roman"/>
                <w:color w:val="auto"/>
                <w:sz w:val="21"/>
                <w:szCs w:val="21"/>
                <w:lang w:val="en-US" w:eastAsia="zh-CN"/>
              </w:rPr>
            </w:pPr>
          </w:p>
        </w:tc>
      </w:tr>
      <w:tr w14:paraId="681C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33" w:type="dxa"/>
            <w:vMerge w:val="continue"/>
            <w:noWrap w:val="0"/>
            <w:vAlign w:val="center"/>
          </w:tcPr>
          <w:p w14:paraId="276FEFD3">
            <w:pPr>
              <w:spacing w:line="240" w:lineRule="auto"/>
              <w:jc w:val="center"/>
              <w:rPr>
                <w:rFonts w:hint="default" w:ascii="Times New Roman" w:hAnsi="Times New Roman" w:eastAsia="宋体" w:cs="Times New Roman"/>
                <w:color w:val="auto"/>
                <w:sz w:val="21"/>
                <w:szCs w:val="21"/>
                <w:lang w:val="en-US" w:eastAsia="zh-CN"/>
              </w:rPr>
            </w:pPr>
          </w:p>
        </w:tc>
        <w:tc>
          <w:tcPr>
            <w:tcW w:w="2419" w:type="dxa"/>
            <w:vMerge w:val="continue"/>
            <w:noWrap w:val="0"/>
            <w:vAlign w:val="center"/>
          </w:tcPr>
          <w:p w14:paraId="2CD75996">
            <w:pPr>
              <w:spacing w:line="240" w:lineRule="auto"/>
              <w:jc w:val="both"/>
              <w:rPr>
                <w:rFonts w:hint="default" w:ascii="Times New Roman" w:hAnsi="Times New Roman" w:eastAsia="宋体" w:cs="Times New Roman"/>
                <w:kern w:val="2"/>
                <w:sz w:val="21"/>
                <w:szCs w:val="21"/>
                <w:lang w:val="en-US" w:eastAsia="zh-CN" w:bidi="ar"/>
              </w:rPr>
            </w:pPr>
          </w:p>
        </w:tc>
        <w:tc>
          <w:tcPr>
            <w:tcW w:w="1113" w:type="dxa"/>
            <w:noWrap w:val="0"/>
            <w:vAlign w:val="center"/>
          </w:tcPr>
          <w:p w14:paraId="6F3A526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688B50C1">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w:t>
            </w:r>
            <w:r>
              <w:rPr>
                <w:rFonts w:hint="default" w:ascii="Times New Roman" w:hAnsi="Times New Roman" w:eastAsia="宋体" w:cs="Times New Roman"/>
                <w:kern w:val="2"/>
                <w:sz w:val="21"/>
                <w:szCs w:val="21"/>
                <w:lang w:val="en-US" w:eastAsia="zh-CN" w:bidi="ar"/>
              </w:rPr>
              <w:t>完善上一版应急预案的回顾性分析，核实水源地基本情况、风险源、应急处置设施、应急组织体系等变化情况，说明风险防控措施落实情况</w:t>
            </w:r>
          </w:p>
        </w:tc>
        <w:tc>
          <w:tcPr>
            <w:tcW w:w="1236" w:type="dxa"/>
            <w:noWrap w:val="0"/>
            <w:vAlign w:val="center"/>
          </w:tcPr>
          <w:p w14:paraId="0C6F956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P</w:t>
            </w:r>
            <w:r>
              <w:rPr>
                <w:rFonts w:hint="eastAsia" w:ascii="Times New Roman" w:hAnsi="Times New Roman" w:eastAsia="宋体" w:cs="Times New Roman"/>
                <w:color w:val="auto"/>
                <w:kern w:val="2"/>
                <w:sz w:val="21"/>
                <w:szCs w:val="21"/>
                <w:lang w:val="en-US" w:eastAsia="zh-CN" w:bidi="ar-SA"/>
              </w:rPr>
              <w:t>5-8</w:t>
            </w:r>
          </w:p>
        </w:tc>
        <w:tc>
          <w:tcPr>
            <w:tcW w:w="697" w:type="dxa"/>
            <w:vMerge w:val="continue"/>
            <w:noWrap w:val="0"/>
            <w:vAlign w:val="center"/>
          </w:tcPr>
          <w:p w14:paraId="4D5C95E0">
            <w:pPr>
              <w:spacing w:line="240" w:lineRule="auto"/>
              <w:jc w:val="center"/>
              <w:rPr>
                <w:rFonts w:hint="default" w:ascii="Times New Roman" w:hAnsi="Times New Roman" w:eastAsia="宋体" w:cs="Times New Roman"/>
                <w:color w:val="auto"/>
                <w:sz w:val="21"/>
                <w:szCs w:val="21"/>
                <w:lang w:val="en-US" w:eastAsia="zh-CN"/>
              </w:rPr>
            </w:pPr>
          </w:p>
        </w:tc>
      </w:tr>
      <w:tr w14:paraId="0C0F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33" w:type="dxa"/>
            <w:vMerge w:val="continue"/>
            <w:noWrap w:val="0"/>
            <w:vAlign w:val="center"/>
          </w:tcPr>
          <w:p w14:paraId="307A9CE5">
            <w:pPr>
              <w:spacing w:line="240" w:lineRule="auto"/>
              <w:jc w:val="center"/>
              <w:rPr>
                <w:rFonts w:hint="default" w:ascii="Times New Roman" w:hAnsi="Times New Roman" w:eastAsia="宋体" w:cs="Times New Roman"/>
                <w:color w:val="auto"/>
                <w:sz w:val="21"/>
                <w:szCs w:val="21"/>
                <w:lang w:val="en-US" w:eastAsia="zh-CN"/>
              </w:rPr>
            </w:pPr>
          </w:p>
        </w:tc>
        <w:tc>
          <w:tcPr>
            <w:tcW w:w="2419" w:type="dxa"/>
            <w:vMerge w:val="continue"/>
            <w:noWrap w:val="0"/>
            <w:vAlign w:val="center"/>
          </w:tcPr>
          <w:p w14:paraId="782AF54B">
            <w:pPr>
              <w:spacing w:line="240" w:lineRule="auto"/>
              <w:jc w:val="both"/>
              <w:rPr>
                <w:rFonts w:hint="default" w:ascii="Times New Roman" w:hAnsi="Times New Roman" w:eastAsia="宋体" w:cs="Times New Roman"/>
                <w:kern w:val="2"/>
                <w:sz w:val="21"/>
                <w:szCs w:val="21"/>
                <w:lang w:val="en-US" w:eastAsia="zh-CN" w:bidi="ar"/>
              </w:rPr>
            </w:pPr>
          </w:p>
        </w:tc>
        <w:tc>
          <w:tcPr>
            <w:tcW w:w="1113" w:type="dxa"/>
            <w:noWrap w:val="0"/>
            <w:vAlign w:val="center"/>
          </w:tcPr>
          <w:p w14:paraId="12F9DDB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099BADCC">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w:t>
            </w:r>
            <w:r>
              <w:rPr>
                <w:rFonts w:hint="default" w:ascii="Times New Roman" w:hAnsi="Times New Roman" w:eastAsia="宋体" w:cs="Times New Roman"/>
                <w:kern w:val="2"/>
                <w:sz w:val="21"/>
                <w:szCs w:val="21"/>
                <w:lang w:val="en-US" w:eastAsia="zh-CN" w:bidi="ar"/>
              </w:rPr>
              <w:t>核实历史突发环境事件和涉水突发环境事件，据此明确上轮预案运行存在的问题、整改措施</w:t>
            </w:r>
          </w:p>
        </w:tc>
        <w:tc>
          <w:tcPr>
            <w:tcW w:w="1236" w:type="dxa"/>
            <w:noWrap w:val="0"/>
            <w:vAlign w:val="center"/>
          </w:tcPr>
          <w:p w14:paraId="03B6225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P</w:t>
            </w:r>
            <w:r>
              <w:rPr>
                <w:rFonts w:hint="eastAsia" w:ascii="Times New Roman" w:hAnsi="Times New Roman" w:eastAsia="宋体" w:cs="Times New Roman"/>
                <w:color w:val="auto"/>
                <w:kern w:val="2"/>
                <w:sz w:val="21"/>
                <w:szCs w:val="21"/>
                <w:lang w:val="en-US" w:eastAsia="zh-CN" w:bidi="ar-SA"/>
              </w:rPr>
              <w:t>1</w:t>
            </w:r>
          </w:p>
        </w:tc>
        <w:tc>
          <w:tcPr>
            <w:tcW w:w="697" w:type="dxa"/>
            <w:vMerge w:val="continue"/>
            <w:noWrap w:val="0"/>
            <w:vAlign w:val="center"/>
          </w:tcPr>
          <w:p w14:paraId="78433061">
            <w:pPr>
              <w:spacing w:line="240" w:lineRule="auto"/>
              <w:jc w:val="center"/>
              <w:rPr>
                <w:rFonts w:hint="default" w:ascii="Times New Roman" w:hAnsi="Times New Roman" w:eastAsia="宋体" w:cs="Times New Roman"/>
                <w:color w:val="auto"/>
                <w:sz w:val="21"/>
                <w:szCs w:val="21"/>
                <w:lang w:val="en-US" w:eastAsia="zh-CN"/>
              </w:rPr>
            </w:pPr>
          </w:p>
        </w:tc>
      </w:tr>
      <w:tr w14:paraId="5437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33" w:type="dxa"/>
            <w:noWrap w:val="0"/>
            <w:vAlign w:val="center"/>
          </w:tcPr>
          <w:p w14:paraId="4D44296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419" w:type="dxa"/>
            <w:noWrap w:val="0"/>
            <w:vAlign w:val="center"/>
          </w:tcPr>
          <w:p w14:paraId="5F7B59FA">
            <w:pPr>
              <w:spacing w:line="240" w:lineRule="auto"/>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完善与绥宁县突发环境事件应急预案、绥宁县县级饮用水水源地突发环境事件应急预案、其他部门应急预案等衔接。</w:t>
            </w:r>
          </w:p>
        </w:tc>
        <w:tc>
          <w:tcPr>
            <w:tcW w:w="1113" w:type="dxa"/>
            <w:noWrap w:val="0"/>
            <w:vAlign w:val="center"/>
          </w:tcPr>
          <w:p w14:paraId="5EB9CCD7">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6C026716">
            <w:pPr>
              <w:spacing w:line="240" w:lineRule="auto"/>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w:t>
            </w:r>
            <w:r>
              <w:rPr>
                <w:rFonts w:hint="default" w:ascii="Times New Roman" w:hAnsi="Times New Roman" w:eastAsia="宋体" w:cs="Times New Roman"/>
                <w:kern w:val="2"/>
                <w:sz w:val="21"/>
                <w:szCs w:val="21"/>
                <w:lang w:val="en-US" w:eastAsia="zh-CN" w:bidi="ar"/>
              </w:rPr>
              <w:t>完善与绥宁县突发环境事件应急预案、绥宁县县级饮用水水源地突发环境事件应急预案、其他部门应急预案等衔接</w:t>
            </w:r>
          </w:p>
        </w:tc>
        <w:tc>
          <w:tcPr>
            <w:tcW w:w="1236" w:type="dxa"/>
            <w:noWrap w:val="0"/>
            <w:vAlign w:val="center"/>
          </w:tcPr>
          <w:p w14:paraId="7567BCA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P</w:t>
            </w:r>
            <w:r>
              <w:rPr>
                <w:rFonts w:hint="eastAsia" w:ascii="Times New Roman" w:hAnsi="Times New Roman" w:eastAsia="宋体" w:cs="Times New Roman"/>
                <w:color w:val="auto"/>
                <w:kern w:val="2"/>
                <w:sz w:val="21"/>
                <w:szCs w:val="21"/>
                <w:lang w:val="en-US" w:eastAsia="zh-CN" w:bidi="ar-SA"/>
              </w:rPr>
              <w:t>23</w:t>
            </w:r>
          </w:p>
        </w:tc>
        <w:tc>
          <w:tcPr>
            <w:tcW w:w="697" w:type="dxa"/>
            <w:noWrap w:val="0"/>
            <w:vAlign w:val="center"/>
          </w:tcPr>
          <w:p w14:paraId="7BE018A8">
            <w:pPr>
              <w:spacing w:line="240" w:lineRule="auto"/>
              <w:jc w:val="center"/>
              <w:rPr>
                <w:rFonts w:hint="default" w:ascii="Times New Roman" w:hAnsi="Times New Roman" w:eastAsia="宋体" w:cs="Times New Roman"/>
                <w:color w:val="auto"/>
                <w:sz w:val="21"/>
                <w:szCs w:val="21"/>
                <w:lang w:val="en-US" w:eastAsia="zh-CN"/>
              </w:rPr>
            </w:pPr>
          </w:p>
        </w:tc>
      </w:tr>
      <w:tr w14:paraId="3B91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33" w:type="dxa"/>
            <w:vMerge w:val="restart"/>
            <w:noWrap w:val="0"/>
            <w:vAlign w:val="center"/>
          </w:tcPr>
          <w:p w14:paraId="65D0F14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419" w:type="dxa"/>
            <w:vMerge w:val="restart"/>
            <w:noWrap w:val="0"/>
            <w:vAlign w:val="center"/>
          </w:tcPr>
          <w:p w14:paraId="69F5C145">
            <w:pPr>
              <w:spacing w:line="240" w:lineRule="auto"/>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核实水源地水质监测，核实保护区规范化建设、污染源整治实施情况，核实R</w:t>
            </w:r>
            <w:r>
              <w:rPr>
                <w:rFonts w:hint="eastAsia" w:ascii="Times New Roman" w:hAnsi="Times New Roman" w:eastAsia="宋体" w:cs="Times New Roman"/>
                <w:kern w:val="2"/>
                <w:sz w:val="21"/>
                <w:szCs w:val="21"/>
                <w:vertAlign w:val="subscript"/>
                <w:lang w:val="en-US" w:eastAsia="zh-CN" w:bidi="ar"/>
              </w:rPr>
              <w:t>p</w:t>
            </w:r>
            <w:r>
              <w:rPr>
                <w:rFonts w:hint="default" w:ascii="Times New Roman" w:hAnsi="Times New Roman" w:eastAsia="宋体" w:cs="Times New Roman"/>
                <w:kern w:val="2"/>
                <w:sz w:val="21"/>
                <w:szCs w:val="21"/>
                <w:lang w:val="en-US" w:eastAsia="zh-CN" w:bidi="ar"/>
              </w:rPr>
              <w:t>（或R</w:t>
            </w:r>
            <w:r>
              <w:rPr>
                <w:rFonts w:hint="eastAsia" w:ascii="Times New Roman" w:hAnsi="Times New Roman" w:eastAsia="宋体" w:cs="Times New Roman"/>
                <w:kern w:val="2"/>
                <w:sz w:val="21"/>
                <w:szCs w:val="21"/>
                <w:vertAlign w:val="subscript"/>
                <w:lang w:val="en-US" w:eastAsia="zh-CN" w:bidi="ar"/>
              </w:rPr>
              <w:t>f</w:t>
            </w:r>
            <w:r>
              <w:rPr>
                <w:rFonts w:hint="default" w:ascii="Times New Roman" w:hAnsi="Times New Roman" w:eastAsia="宋体" w:cs="Times New Roman"/>
                <w:kern w:val="2"/>
                <w:sz w:val="21"/>
                <w:szCs w:val="21"/>
                <w:lang w:val="en-US" w:eastAsia="zh-CN" w:bidi="ar"/>
              </w:rPr>
              <w:t>、R</w:t>
            </w:r>
            <w:r>
              <w:rPr>
                <w:rFonts w:hint="eastAsia" w:ascii="Times New Roman" w:hAnsi="Times New Roman" w:eastAsia="宋体" w:cs="Times New Roman"/>
                <w:kern w:val="2"/>
                <w:sz w:val="21"/>
                <w:szCs w:val="21"/>
                <w:vertAlign w:val="subscript"/>
                <w:lang w:val="en-US" w:eastAsia="zh-CN" w:bidi="ar"/>
              </w:rPr>
              <w:t>y</w:t>
            </w:r>
            <w:r>
              <w:rPr>
                <w:rFonts w:hint="default" w:ascii="Times New Roman" w:hAnsi="Times New Roman" w:eastAsia="宋体" w:cs="Times New Roman"/>
                <w:kern w:val="2"/>
                <w:sz w:val="21"/>
                <w:szCs w:val="21"/>
                <w:lang w:val="en-US" w:eastAsia="zh-CN" w:bidi="ar"/>
              </w:rPr>
              <w:t>）值。核实风险源识别范围，加强预案适用范围内风险源调查，细化风险源防护措施调查，核实水源地风险源清单。补充水华事件，核实应急处置措施，完善突发环境事件应急处置卡。</w:t>
            </w:r>
          </w:p>
        </w:tc>
        <w:tc>
          <w:tcPr>
            <w:tcW w:w="1113" w:type="dxa"/>
            <w:noWrap w:val="0"/>
            <w:vAlign w:val="center"/>
          </w:tcPr>
          <w:p w14:paraId="548A662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0A9CBC37">
            <w:pPr>
              <w:spacing w:line="240" w:lineRule="auto"/>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w:t>
            </w:r>
            <w:r>
              <w:rPr>
                <w:rFonts w:hint="default" w:ascii="Times New Roman" w:hAnsi="Times New Roman" w:eastAsia="宋体" w:cs="Times New Roman"/>
                <w:kern w:val="2"/>
                <w:sz w:val="21"/>
                <w:szCs w:val="21"/>
                <w:lang w:val="en-US" w:eastAsia="zh-CN" w:bidi="ar"/>
              </w:rPr>
              <w:t>核实水源地水质监测</w:t>
            </w:r>
          </w:p>
        </w:tc>
        <w:tc>
          <w:tcPr>
            <w:tcW w:w="1236" w:type="dxa"/>
            <w:noWrap w:val="0"/>
            <w:vAlign w:val="center"/>
          </w:tcPr>
          <w:p w14:paraId="4129D6A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P</w:t>
            </w:r>
            <w:r>
              <w:rPr>
                <w:rFonts w:hint="eastAsia" w:ascii="Times New Roman" w:hAnsi="Times New Roman" w:eastAsia="宋体" w:cs="Times New Roman"/>
                <w:color w:val="auto"/>
                <w:kern w:val="2"/>
                <w:sz w:val="21"/>
                <w:szCs w:val="21"/>
                <w:lang w:val="en-US" w:eastAsia="zh-CN" w:bidi="ar-SA"/>
              </w:rPr>
              <w:t>76-79</w:t>
            </w:r>
          </w:p>
        </w:tc>
        <w:tc>
          <w:tcPr>
            <w:tcW w:w="697" w:type="dxa"/>
            <w:vMerge w:val="restart"/>
            <w:noWrap w:val="0"/>
            <w:vAlign w:val="center"/>
          </w:tcPr>
          <w:p w14:paraId="1AB17311">
            <w:pPr>
              <w:spacing w:line="240" w:lineRule="auto"/>
              <w:jc w:val="center"/>
              <w:rPr>
                <w:rFonts w:hint="default" w:ascii="Times New Roman" w:hAnsi="Times New Roman" w:eastAsia="宋体" w:cs="Times New Roman"/>
                <w:color w:val="auto"/>
                <w:sz w:val="21"/>
                <w:szCs w:val="21"/>
                <w:lang w:val="en-US" w:eastAsia="zh-CN"/>
              </w:rPr>
            </w:pPr>
          </w:p>
        </w:tc>
      </w:tr>
      <w:tr w14:paraId="4FEF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33" w:type="dxa"/>
            <w:vMerge w:val="continue"/>
            <w:noWrap w:val="0"/>
            <w:vAlign w:val="center"/>
          </w:tcPr>
          <w:p w14:paraId="507C1C16">
            <w:pPr>
              <w:spacing w:line="240" w:lineRule="auto"/>
              <w:jc w:val="center"/>
              <w:rPr>
                <w:rFonts w:hint="default" w:ascii="Times New Roman" w:hAnsi="Times New Roman" w:eastAsia="宋体" w:cs="Times New Roman"/>
                <w:color w:val="auto"/>
                <w:sz w:val="21"/>
                <w:szCs w:val="21"/>
                <w:lang w:val="en-US" w:eastAsia="zh-CN"/>
              </w:rPr>
            </w:pPr>
          </w:p>
        </w:tc>
        <w:tc>
          <w:tcPr>
            <w:tcW w:w="2419" w:type="dxa"/>
            <w:vMerge w:val="continue"/>
            <w:noWrap w:val="0"/>
            <w:vAlign w:val="center"/>
          </w:tcPr>
          <w:p w14:paraId="2E46201B">
            <w:pPr>
              <w:spacing w:line="240" w:lineRule="auto"/>
              <w:jc w:val="both"/>
              <w:rPr>
                <w:rFonts w:hint="default" w:ascii="Times New Roman" w:hAnsi="Times New Roman" w:eastAsia="宋体" w:cs="Times New Roman"/>
                <w:kern w:val="2"/>
                <w:sz w:val="21"/>
                <w:szCs w:val="21"/>
                <w:lang w:val="en-US" w:eastAsia="zh-CN" w:bidi="ar"/>
              </w:rPr>
            </w:pPr>
          </w:p>
        </w:tc>
        <w:tc>
          <w:tcPr>
            <w:tcW w:w="1113" w:type="dxa"/>
            <w:noWrap w:val="0"/>
            <w:vAlign w:val="center"/>
          </w:tcPr>
          <w:p w14:paraId="0A05D949">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588144BE">
            <w:pPr>
              <w:spacing w:line="240" w:lineRule="auto"/>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已核实保护区规范化建设、污染源整治实施情况</w:t>
            </w:r>
          </w:p>
        </w:tc>
        <w:tc>
          <w:tcPr>
            <w:tcW w:w="1236" w:type="dxa"/>
            <w:noWrap w:val="0"/>
            <w:vAlign w:val="center"/>
          </w:tcPr>
          <w:p w14:paraId="70120CE9">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P</w:t>
            </w:r>
            <w:r>
              <w:rPr>
                <w:rFonts w:hint="eastAsia" w:ascii="Times New Roman" w:hAnsi="Times New Roman" w:eastAsia="宋体" w:cs="Times New Roman"/>
                <w:color w:val="auto"/>
                <w:kern w:val="2"/>
                <w:sz w:val="21"/>
                <w:szCs w:val="21"/>
                <w:lang w:val="en-US" w:eastAsia="zh-CN" w:bidi="ar-SA"/>
              </w:rPr>
              <w:t>60，84-85</w:t>
            </w:r>
          </w:p>
        </w:tc>
        <w:tc>
          <w:tcPr>
            <w:tcW w:w="697" w:type="dxa"/>
            <w:vMerge w:val="continue"/>
            <w:noWrap w:val="0"/>
            <w:vAlign w:val="center"/>
          </w:tcPr>
          <w:p w14:paraId="1FE7F6EF">
            <w:pPr>
              <w:spacing w:line="240" w:lineRule="auto"/>
              <w:jc w:val="center"/>
              <w:rPr>
                <w:rFonts w:hint="default" w:ascii="Times New Roman" w:hAnsi="Times New Roman" w:eastAsia="宋体" w:cs="Times New Roman"/>
                <w:color w:val="auto"/>
                <w:sz w:val="21"/>
                <w:szCs w:val="21"/>
                <w:lang w:val="en-US" w:eastAsia="zh-CN"/>
              </w:rPr>
            </w:pPr>
          </w:p>
        </w:tc>
      </w:tr>
      <w:tr w14:paraId="3079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33" w:type="dxa"/>
            <w:vMerge w:val="continue"/>
            <w:noWrap w:val="0"/>
            <w:vAlign w:val="center"/>
          </w:tcPr>
          <w:p w14:paraId="1B4EECAB">
            <w:pPr>
              <w:spacing w:line="240" w:lineRule="auto"/>
              <w:jc w:val="center"/>
              <w:rPr>
                <w:rFonts w:hint="default" w:ascii="Times New Roman" w:hAnsi="Times New Roman" w:eastAsia="宋体" w:cs="Times New Roman"/>
                <w:color w:val="auto"/>
                <w:sz w:val="21"/>
                <w:szCs w:val="21"/>
                <w:lang w:val="en-US" w:eastAsia="zh-CN"/>
              </w:rPr>
            </w:pPr>
          </w:p>
        </w:tc>
        <w:tc>
          <w:tcPr>
            <w:tcW w:w="2419" w:type="dxa"/>
            <w:vMerge w:val="continue"/>
            <w:noWrap w:val="0"/>
            <w:vAlign w:val="center"/>
          </w:tcPr>
          <w:p w14:paraId="271263C6">
            <w:pPr>
              <w:spacing w:line="240" w:lineRule="auto"/>
              <w:jc w:val="both"/>
              <w:rPr>
                <w:rFonts w:hint="default" w:ascii="Times New Roman" w:hAnsi="Times New Roman" w:eastAsia="宋体" w:cs="Times New Roman"/>
                <w:kern w:val="2"/>
                <w:sz w:val="21"/>
                <w:szCs w:val="21"/>
                <w:lang w:val="en-US" w:eastAsia="zh-CN" w:bidi="ar"/>
              </w:rPr>
            </w:pPr>
          </w:p>
        </w:tc>
        <w:tc>
          <w:tcPr>
            <w:tcW w:w="1113" w:type="dxa"/>
            <w:noWrap w:val="0"/>
            <w:vAlign w:val="center"/>
          </w:tcPr>
          <w:p w14:paraId="2501A33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7471807F">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w:t>
            </w:r>
            <w:r>
              <w:rPr>
                <w:rFonts w:hint="default" w:ascii="Times New Roman" w:hAnsi="Times New Roman" w:eastAsia="宋体" w:cs="Times New Roman"/>
                <w:kern w:val="2"/>
                <w:sz w:val="21"/>
                <w:szCs w:val="21"/>
                <w:lang w:val="en-US" w:eastAsia="zh-CN" w:bidi="ar"/>
              </w:rPr>
              <w:t>核实R</w:t>
            </w:r>
            <w:r>
              <w:rPr>
                <w:rFonts w:hint="eastAsia" w:ascii="Times New Roman" w:hAnsi="Times New Roman" w:eastAsia="宋体" w:cs="Times New Roman"/>
                <w:kern w:val="2"/>
                <w:sz w:val="21"/>
                <w:szCs w:val="21"/>
                <w:vertAlign w:val="subscript"/>
                <w:lang w:val="en-US" w:eastAsia="zh-CN" w:bidi="ar"/>
              </w:rPr>
              <w:t>p</w:t>
            </w:r>
            <w:r>
              <w:rPr>
                <w:rFonts w:hint="default" w:ascii="Times New Roman" w:hAnsi="Times New Roman" w:eastAsia="宋体" w:cs="Times New Roman"/>
                <w:kern w:val="2"/>
                <w:sz w:val="21"/>
                <w:szCs w:val="21"/>
                <w:lang w:val="en-US" w:eastAsia="zh-CN" w:bidi="ar"/>
              </w:rPr>
              <w:t>（或R</w:t>
            </w:r>
            <w:r>
              <w:rPr>
                <w:rFonts w:hint="eastAsia" w:ascii="Times New Roman" w:hAnsi="Times New Roman" w:eastAsia="宋体" w:cs="Times New Roman"/>
                <w:kern w:val="2"/>
                <w:sz w:val="21"/>
                <w:szCs w:val="21"/>
                <w:vertAlign w:val="subscript"/>
                <w:lang w:val="en-US" w:eastAsia="zh-CN" w:bidi="ar"/>
              </w:rPr>
              <w:t>f</w:t>
            </w:r>
            <w:r>
              <w:rPr>
                <w:rFonts w:hint="default" w:ascii="Times New Roman" w:hAnsi="Times New Roman" w:eastAsia="宋体" w:cs="Times New Roman"/>
                <w:kern w:val="2"/>
                <w:sz w:val="21"/>
                <w:szCs w:val="21"/>
                <w:lang w:val="en-US" w:eastAsia="zh-CN" w:bidi="ar"/>
              </w:rPr>
              <w:t>、R</w:t>
            </w:r>
            <w:r>
              <w:rPr>
                <w:rFonts w:hint="eastAsia" w:ascii="Times New Roman" w:hAnsi="Times New Roman" w:eastAsia="宋体" w:cs="Times New Roman"/>
                <w:kern w:val="2"/>
                <w:sz w:val="21"/>
                <w:szCs w:val="21"/>
                <w:vertAlign w:val="subscript"/>
                <w:lang w:val="en-US" w:eastAsia="zh-CN" w:bidi="ar"/>
              </w:rPr>
              <w:t>y</w:t>
            </w:r>
            <w:r>
              <w:rPr>
                <w:rFonts w:hint="default" w:ascii="Times New Roman" w:hAnsi="Times New Roman" w:eastAsia="宋体" w:cs="Times New Roman"/>
                <w:kern w:val="2"/>
                <w:sz w:val="21"/>
                <w:szCs w:val="21"/>
                <w:lang w:val="en-US" w:eastAsia="zh-CN" w:bidi="ar"/>
              </w:rPr>
              <w:t>）值</w:t>
            </w:r>
          </w:p>
        </w:tc>
        <w:tc>
          <w:tcPr>
            <w:tcW w:w="1236" w:type="dxa"/>
            <w:noWrap w:val="0"/>
            <w:vAlign w:val="center"/>
          </w:tcPr>
          <w:p w14:paraId="00CD5127">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P</w:t>
            </w:r>
            <w:r>
              <w:rPr>
                <w:rFonts w:hint="eastAsia" w:ascii="Times New Roman" w:hAnsi="Times New Roman" w:eastAsia="宋体" w:cs="Times New Roman"/>
                <w:color w:val="auto"/>
                <w:kern w:val="2"/>
                <w:sz w:val="21"/>
                <w:szCs w:val="21"/>
                <w:lang w:val="en-US" w:eastAsia="zh-CN" w:bidi="ar-SA"/>
              </w:rPr>
              <w:t>80-84</w:t>
            </w:r>
          </w:p>
        </w:tc>
        <w:tc>
          <w:tcPr>
            <w:tcW w:w="697" w:type="dxa"/>
            <w:vMerge w:val="continue"/>
            <w:noWrap w:val="0"/>
            <w:vAlign w:val="center"/>
          </w:tcPr>
          <w:p w14:paraId="148C8DFE">
            <w:pPr>
              <w:spacing w:line="240" w:lineRule="auto"/>
              <w:jc w:val="center"/>
              <w:rPr>
                <w:rFonts w:hint="default" w:ascii="Times New Roman" w:hAnsi="Times New Roman" w:eastAsia="宋体" w:cs="Times New Roman"/>
                <w:color w:val="auto"/>
                <w:sz w:val="21"/>
                <w:szCs w:val="21"/>
                <w:lang w:val="en-US" w:eastAsia="zh-CN"/>
              </w:rPr>
            </w:pPr>
          </w:p>
        </w:tc>
      </w:tr>
      <w:tr w14:paraId="3358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Merge w:val="continue"/>
            <w:noWrap w:val="0"/>
            <w:vAlign w:val="center"/>
          </w:tcPr>
          <w:p w14:paraId="06BEF5EE">
            <w:pPr>
              <w:spacing w:line="240" w:lineRule="auto"/>
              <w:jc w:val="center"/>
              <w:rPr>
                <w:rFonts w:hint="default" w:ascii="Times New Roman" w:hAnsi="Times New Roman" w:eastAsia="宋体" w:cs="Times New Roman"/>
                <w:color w:val="auto"/>
                <w:sz w:val="21"/>
                <w:szCs w:val="21"/>
                <w:lang w:val="en-US" w:eastAsia="zh-CN"/>
              </w:rPr>
            </w:pPr>
          </w:p>
        </w:tc>
        <w:tc>
          <w:tcPr>
            <w:tcW w:w="2419" w:type="dxa"/>
            <w:vMerge w:val="continue"/>
            <w:noWrap w:val="0"/>
            <w:vAlign w:val="center"/>
          </w:tcPr>
          <w:p w14:paraId="508E915D">
            <w:pPr>
              <w:spacing w:line="240" w:lineRule="auto"/>
              <w:jc w:val="both"/>
              <w:rPr>
                <w:rFonts w:hint="default" w:ascii="Times New Roman" w:hAnsi="Times New Roman" w:eastAsia="宋体" w:cs="Times New Roman"/>
                <w:kern w:val="2"/>
                <w:sz w:val="21"/>
                <w:szCs w:val="21"/>
                <w:lang w:val="en-US" w:eastAsia="zh-CN" w:bidi="ar"/>
              </w:rPr>
            </w:pPr>
          </w:p>
        </w:tc>
        <w:tc>
          <w:tcPr>
            <w:tcW w:w="1113" w:type="dxa"/>
            <w:noWrap w:val="0"/>
            <w:vAlign w:val="center"/>
          </w:tcPr>
          <w:p w14:paraId="5B1A197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7E98A765">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w:t>
            </w:r>
            <w:r>
              <w:rPr>
                <w:rFonts w:hint="default" w:ascii="Times New Roman" w:hAnsi="Times New Roman" w:eastAsia="宋体" w:cs="Times New Roman"/>
                <w:kern w:val="2"/>
                <w:sz w:val="21"/>
                <w:szCs w:val="21"/>
                <w:lang w:val="en-US" w:eastAsia="zh-CN" w:bidi="ar"/>
              </w:rPr>
              <w:t>核实风险源识别范围，</w:t>
            </w:r>
            <w:r>
              <w:rPr>
                <w:rFonts w:hint="eastAsia" w:ascii="Times New Roman" w:hAnsi="Times New Roman" w:eastAsia="宋体" w:cs="Times New Roman"/>
                <w:kern w:val="2"/>
                <w:sz w:val="21"/>
                <w:szCs w:val="21"/>
                <w:lang w:val="en-US" w:eastAsia="zh-CN" w:bidi="ar"/>
              </w:rPr>
              <w:t>已</w:t>
            </w:r>
            <w:r>
              <w:rPr>
                <w:rFonts w:hint="default" w:ascii="Times New Roman" w:hAnsi="Times New Roman" w:eastAsia="宋体" w:cs="Times New Roman"/>
                <w:kern w:val="2"/>
                <w:sz w:val="21"/>
                <w:szCs w:val="21"/>
                <w:lang w:val="en-US" w:eastAsia="zh-CN" w:bidi="ar"/>
              </w:rPr>
              <w:t>加强预案适用范围内风险源调查，</w:t>
            </w:r>
            <w:r>
              <w:rPr>
                <w:rFonts w:hint="eastAsia" w:ascii="Times New Roman" w:hAnsi="Times New Roman" w:eastAsia="宋体" w:cs="Times New Roman"/>
                <w:kern w:val="2"/>
                <w:sz w:val="21"/>
                <w:szCs w:val="21"/>
                <w:lang w:val="en-US" w:eastAsia="zh-CN" w:bidi="ar"/>
              </w:rPr>
              <w:t>已</w:t>
            </w:r>
            <w:r>
              <w:rPr>
                <w:rFonts w:hint="default" w:ascii="Times New Roman" w:hAnsi="Times New Roman" w:eastAsia="宋体" w:cs="Times New Roman"/>
                <w:kern w:val="2"/>
                <w:sz w:val="21"/>
                <w:szCs w:val="21"/>
                <w:lang w:val="en-US" w:eastAsia="zh-CN" w:bidi="ar"/>
              </w:rPr>
              <w:t>细化风险源防护措施调查，</w:t>
            </w:r>
            <w:r>
              <w:rPr>
                <w:rFonts w:hint="eastAsia" w:ascii="Times New Roman" w:hAnsi="Times New Roman" w:eastAsia="宋体" w:cs="Times New Roman"/>
                <w:kern w:val="2"/>
                <w:sz w:val="21"/>
                <w:szCs w:val="21"/>
                <w:lang w:val="en-US" w:eastAsia="zh-CN" w:bidi="ar"/>
              </w:rPr>
              <w:t>已</w:t>
            </w:r>
            <w:r>
              <w:rPr>
                <w:rFonts w:hint="default" w:ascii="Times New Roman" w:hAnsi="Times New Roman" w:eastAsia="宋体" w:cs="Times New Roman"/>
                <w:kern w:val="2"/>
                <w:sz w:val="21"/>
                <w:szCs w:val="21"/>
                <w:lang w:val="en-US" w:eastAsia="zh-CN" w:bidi="ar"/>
              </w:rPr>
              <w:t>核实水源地风险源清单</w:t>
            </w:r>
          </w:p>
        </w:tc>
        <w:tc>
          <w:tcPr>
            <w:tcW w:w="1236" w:type="dxa"/>
            <w:noWrap w:val="0"/>
            <w:vAlign w:val="center"/>
          </w:tcPr>
          <w:p w14:paraId="66EE04E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P</w:t>
            </w:r>
            <w:r>
              <w:rPr>
                <w:rFonts w:hint="eastAsia" w:ascii="Times New Roman" w:hAnsi="Times New Roman" w:eastAsia="宋体" w:cs="Times New Roman"/>
                <w:color w:val="auto"/>
                <w:kern w:val="2"/>
                <w:sz w:val="21"/>
                <w:szCs w:val="21"/>
                <w:lang w:val="en-US" w:eastAsia="zh-CN" w:bidi="ar-SA"/>
              </w:rPr>
              <w:t>59-68</w:t>
            </w:r>
          </w:p>
        </w:tc>
        <w:tc>
          <w:tcPr>
            <w:tcW w:w="697" w:type="dxa"/>
            <w:vMerge w:val="continue"/>
            <w:noWrap w:val="0"/>
            <w:vAlign w:val="center"/>
          </w:tcPr>
          <w:p w14:paraId="06D902DB">
            <w:pPr>
              <w:spacing w:line="240" w:lineRule="auto"/>
              <w:jc w:val="center"/>
              <w:rPr>
                <w:rFonts w:hint="default" w:ascii="Times New Roman" w:hAnsi="Times New Roman" w:eastAsia="宋体" w:cs="Times New Roman"/>
                <w:color w:val="auto"/>
                <w:sz w:val="21"/>
                <w:szCs w:val="21"/>
                <w:lang w:val="en-US" w:eastAsia="zh-CN"/>
              </w:rPr>
            </w:pPr>
          </w:p>
        </w:tc>
      </w:tr>
      <w:tr w14:paraId="6649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Merge w:val="continue"/>
            <w:noWrap w:val="0"/>
            <w:vAlign w:val="center"/>
          </w:tcPr>
          <w:p w14:paraId="5F5E01FE">
            <w:pPr>
              <w:spacing w:line="240" w:lineRule="auto"/>
              <w:jc w:val="center"/>
              <w:rPr>
                <w:rFonts w:hint="default" w:ascii="Times New Roman" w:hAnsi="Times New Roman" w:eastAsia="宋体" w:cs="Times New Roman"/>
                <w:color w:val="auto"/>
                <w:sz w:val="21"/>
                <w:szCs w:val="21"/>
                <w:lang w:val="en-US" w:eastAsia="zh-CN"/>
              </w:rPr>
            </w:pPr>
          </w:p>
        </w:tc>
        <w:tc>
          <w:tcPr>
            <w:tcW w:w="2419" w:type="dxa"/>
            <w:vMerge w:val="continue"/>
            <w:noWrap w:val="0"/>
            <w:vAlign w:val="center"/>
          </w:tcPr>
          <w:p w14:paraId="0CBFF993">
            <w:pPr>
              <w:spacing w:line="240" w:lineRule="auto"/>
              <w:jc w:val="both"/>
              <w:rPr>
                <w:rFonts w:hint="default" w:ascii="Times New Roman" w:hAnsi="Times New Roman" w:eastAsia="宋体" w:cs="Times New Roman"/>
                <w:kern w:val="2"/>
                <w:sz w:val="21"/>
                <w:szCs w:val="21"/>
                <w:lang w:val="en-US" w:eastAsia="zh-CN" w:bidi="ar"/>
              </w:rPr>
            </w:pPr>
          </w:p>
        </w:tc>
        <w:tc>
          <w:tcPr>
            <w:tcW w:w="1113" w:type="dxa"/>
            <w:noWrap w:val="0"/>
            <w:vAlign w:val="center"/>
          </w:tcPr>
          <w:p w14:paraId="6B72922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0DE4862D">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w:t>
            </w:r>
            <w:r>
              <w:rPr>
                <w:rFonts w:hint="default" w:ascii="Times New Roman" w:hAnsi="Times New Roman" w:eastAsia="宋体" w:cs="Times New Roman"/>
                <w:kern w:val="2"/>
                <w:sz w:val="21"/>
                <w:szCs w:val="21"/>
                <w:lang w:val="en-US" w:eastAsia="zh-CN" w:bidi="ar"/>
              </w:rPr>
              <w:t>补充水华事件，</w:t>
            </w:r>
            <w:r>
              <w:rPr>
                <w:rFonts w:hint="eastAsia" w:ascii="Times New Roman" w:hAnsi="Times New Roman" w:eastAsia="宋体" w:cs="Times New Roman"/>
                <w:kern w:val="2"/>
                <w:sz w:val="21"/>
                <w:szCs w:val="21"/>
                <w:lang w:val="en-US" w:eastAsia="zh-CN" w:bidi="ar"/>
              </w:rPr>
              <w:t>已</w:t>
            </w:r>
            <w:r>
              <w:rPr>
                <w:rFonts w:hint="default" w:ascii="Times New Roman" w:hAnsi="Times New Roman" w:eastAsia="宋体" w:cs="Times New Roman"/>
                <w:kern w:val="2"/>
                <w:sz w:val="21"/>
                <w:szCs w:val="21"/>
                <w:lang w:val="en-US" w:eastAsia="zh-CN" w:bidi="ar"/>
              </w:rPr>
              <w:t>核实应急处置措施，</w:t>
            </w:r>
            <w:r>
              <w:rPr>
                <w:rFonts w:hint="eastAsia" w:ascii="Times New Roman" w:hAnsi="Times New Roman" w:eastAsia="宋体" w:cs="Times New Roman"/>
                <w:kern w:val="2"/>
                <w:sz w:val="21"/>
                <w:szCs w:val="21"/>
                <w:lang w:val="en-US" w:eastAsia="zh-CN" w:bidi="ar"/>
              </w:rPr>
              <w:t>已</w:t>
            </w:r>
            <w:r>
              <w:rPr>
                <w:rFonts w:hint="default" w:ascii="Times New Roman" w:hAnsi="Times New Roman" w:eastAsia="宋体" w:cs="Times New Roman"/>
                <w:kern w:val="2"/>
                <w:sz w:val="21"/>
                <w:szCs w:val="21"/>
                <w:lang w:val="en-US" w:eastAsia="zh-CN" w:bidi="ar"/>
              </w:rPr>
              <w:t>完善突发环境事件应急处置卡</w:t>
            </w:r>
          </w:p>
        </w:tc>
        <w:tc>
          <w:tcPr>
            <w:tcW w:w="1236" w:type="dxa"/>
            <w:noWrap w:val="0"/>
            <w:vAlign w:val="center"/>
          </w:tcPr>
          <w:p w14:paraId="40EC78F6">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P</w:t>
            </w:r>
            <w:r>
              <w:rPr>
                <w:rFonts w:hint="eastAsia" w:ascii="Times New Roman" w:hAnsi="Times New Roman" w:eastAsia="宋体" w:cs="Times New Roman"/>
                <w:color w:val="auto"/>
                <w:kern w:val="2"/>
                <w:sz w:val="21"/>
                <w:szCs w:val="21"/>
                <w:lang w:val="en-US" w:eastAsia="zh-CN" w:bidi="ar-SA"/>
              </w:rPr>
              <w:t>50</w:t>
            </w:r>
          </w:p>
        </w:tc>
        <w:tc>
          <w:tcPr>
            <w:tcW w:w="697" w:type="dxa"/>
            <w:vMerge w:val="continue"/>
            <w:noWrap w:val="0"/>
            <w:vAlign w:val="center"/>
          </w:tcPr>
          <w:p w14:paraId="45DA562A">
            <w:pPr>
              <w:spacing w:line="240" w:lineRule="auto"/>
              <w:jc w:val="center"/>
              <w:rPr>
                <w:rFonts w:hint="default" w:ascii="Times New Roman" w:hAnsi="Times New Roman" w:eastAsia="宋体" w:cs="Times New Roman"/>
                <w:color w:val="auto"/>
                <w:sz w:val="21"/>
                <w:szCs w:val="21"/>
                <w:lang w:val="en-US" w:eastAsia="zh-CN"/>
              </w:rPr>
            </w:pPr>
          </w:p>
        </w:tc>
      </w:tr>
      <w:tr w14:paraId="458E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733" w:type="dxa"/>
            <w:vMerge w:val="restart"/>
            <w:noWrap w:val="0"/>
            <w:vAlign w:val="center"/>
          </w:tcPr>
          <w:p w14:paraId="2F99F42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419" w:type="dxa"/>
            <w:vMerge w:val="restart"/>
            <w:noWrap w:val="0"/>
            <w:vAlign w:val="center"/>
          </w:tcPr>
          <w:p w14:paraId="69B4E5F5">
            <w:pPr>
              <w:spacing w:line="240" w:lineRule="auto"/>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明确饮用水源地的日常管理机构，核实应急组织指挥机构设置，核实部门职能、部门联动机制，补充征求各个部门的意见，据此核实本水源地外部应急救援队伍。完善应急响应、信息通报、应急处置与应急监测、应急终止内容。</w:t>
            </w:r>
          </w:p>
        </w:tc>
        <w:tc>
          <w:tcPr>
            <w:tcW w:w="1113" w:type="dxa"/>
            <w:noWrap w:val="0"/>
            <w:vAlign w:val="center"/>
          </w:tcPr>
          <w:p w14:paraId="1DBD1CB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0DE3C00C">
            <w:pPr>
              <w:spacing w:line="240" w:lineRule="auto"/>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w:t>
            </w:r>
            <w:r>
              <w:rPr>
                <w:rFonts w:hint="default" w:ascii="Times New Roman" w:hAnsi="Times New Roman" w:eastAsia="宋体" w:cs="Times New Roman"/>
                <w:kern w:val="2"/>
                <w:sz w:val="21"/>
                <w:szCs w:val="21"/>
                <w:lang w:val="en-US" w:eastAsia="zh-CN" w:bidi="ar"/>
              </w:rPr>
              <w:t>明确饮用水源地的日常管理机构</w:t>
            </w:r>
          </w:p>
        </w:tc>
        <w:tc>
          <w:tcPr>
            <w:tcW w:w="1236" w:type="dxa"/>
            <w:noWrap w:val="0"/>
            <w:vAlign w:val="center"/>
          </w:tcPr>
          <w:p w14:paraId="12AD920F">
            <w:pPr>
              <w:spacing w:line="240" w:lineRule="auto"/>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P</w:t>
            </w:r>
            <w:r>
              <w:rPr>
                <w:rFonts w:hint="eastAsia" w:ascii="Times New Roman" w:hAnsi="Times New Roman" w:eastAsia="宋体" w:cs="Times New Roman"/>
                <w:color w:val="auto"/>
                <w:kern w:val="2"/>
                <w:sz w:val="21"/>
                <w:szCs w:val="21"/>
                <w:lang w:val="en-US" w:eastAsia="zh-CN" w:bidi="ar-SA"/>
              </w:rPr>
              <w:t>25</w:t>
            </w:r>
          </w:p>
        </w:tc>
        <w:tc>
          <w:tcPr>
            <w:tcW w:w="697" w:type="dxa"/>
            <w:vMerge w:val="restart"/>
            <w:noWrap w:val="0"/>
            <w:vAlign w:val="center"/>
          </w:tcPr>
          <w:p w14:paraId="5D73C718">
            <w:pPr>
              <w:spacing w:line="240" w:lineRule="auto"/>
              <w:jc w:val="center"/>
              <w:rPr>
                <w:rFonts w:hint="default" w:ascii="Times New Roman" w:hAnsi="Times New Roman" w:eastAsia="宋体" w:cs="Times New Roman"/>
                <w:lang w:val="en-US" w:eastAsia="zh-CN"/>
              </w:rPr>
            </w:pPr>
          </w:p>
          <w:p w14:paraId="13643C3A">
            <w:pPr>
              <w:widowControl w:val="0"/>
              <w:spacing w:line="360" w:lineRule="auto"/>
              <w:ind w:left="240"/>
              <w:jc w:val="both"/>
              <w:rPr>
                <w:rFonts w:hint="default" w:ascii="Times New Roman" w:hAnsi="Times New Roman" w:eastAsia="宋体" w:cs="Times New Roman"/>
                <w:smallCaps/>
                <w:kern w:val="2"/>
                <w:sz w:val="20"/>
                <w:szCs w:val="20"/>
                <w:lang w:val="en-US" w:eastAsia="zh-CN" w:bidi="ar-SA"/>
              </w:rPr>
            </w:pPr>
          </w:p>
        </w:tc>
      </w:tr>
      <w:tr w14:paraId="7600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733" w:type="dxa"/>
            <w:vMerge w:val="continue"/>
            <w:noWrap w:val="0"/>
            <w:vAlign w:val="center"/>
          </w:tcPr>
          <w:p w14:paraId="1D310D52">
            <w:pPr>
              <w:spacing w:line="240" w:lineRule="auto"/>
              <w:jc w:val="center"/>
              <w:rPr>
                <w:rFonts w:hint="default" w:ascii="Times New Roman" w:hAnsi="Times New Roman" w:eastAsia="宋体" w:cs="Times New Roman"/>
                <w:color w:val="auto"/>
                <w:sz w:val="21"/>
                <w:szCs w:val="21"/>
                <w:lang w:val="en-US" w:eastAsia="zh-CN"/>
              </w:rPr>
            </w:pPr>
          </w:p>
        </w:tc>
        <w:tc>
          <w:tcPr>
            <w:tcW w:w="2419" w:type="dxa"/>
            <w:vMerge w:val="continue"/>
            <w:noWrap w:val="0"/>
            <w:vAlign w:val="center"/>
          </w:tcPr>
          <w:p w14:paraId="6C2873D6">
            <w:pPr>
              <w:spacing w:line="240" w:lineRule="auto"/>
              <w:jc w:val="both"/>
              <w:rPr>
                <w:rFonts w:hint="default" w:ascii="Times New Roman" w:hAnsi="Times New Roman" w:eastAsia="宋体" w:cs="Times New Roman"/>
                <w:kern w:val="2"/>
                <w:sz w:val="21"/>
                <w:szCs w:val="21"/>
                <w:lang w:val="en-US" w:eastAsia="zh-CN" w:bidi="ar"/>
              </w:rPr>
            </w:pPr>
          </w:p>
        </w:tc>
        <w:tc>
          <w:tcPr>
            <w:tcW w:w="1113" w:type="dxa"/>
            <w:noWrap w:val="0"/>
            <w:vAlign w:val="center"/>
          </w:tcPr>
          <w:p w14:paraId="1E03C14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200C760B">
            <w:pPr>
              <w:spacing w:line="240" w:lineRule="auto"/>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已核实应急组织指挥机构设置，核实部门职能、部门联动机制，补充征求各个部门的意见，据此核实本水源地外部应急救援队伍</w:t>
            </w:r>
          </w:p>
        </w:tc>
        <w:tc>
          <w:tcPr>
            <w:tcW w:w="1236" w:type="dxa"/>
            <w:noWrap w:val="0"/>
            <w:vAlign w:val="center"/>
          </w:tcPr>
          <w:p w14:paraId="11D3BBE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eastAsia" w:ascii="Times New Roman" w:hAnsi="Times New Roman" w:eastAsia="宋体" w:cs="Times New Roman"/>
                <w:color w:val="auto"/>
                <w:sz w:val="21"/>
                <w:szCs w:val="21"/>
                <w:lang w:val="en-US" w:eastAsia="zh-CN"/>
              </w:rPr>
              <w:t>P26-29</w:t>
            </w:r>
          </w:p>
        </w:tc>
        <w:tc>
          <w:tcPr>
            <w:tcW w:w="697" w:type="dxa"/>
            <w:vMerge w:val="continue"/>
            <w:noWrap w:val="0"/>
            <w:vAlign w:val="center"/>
          </w:tcPr>
          <w:p w14:paraId="06262374">
            <w:pPr>
              <w:spacing w:line="240" w:lineRule="auto"/>
              <w:jc w:val="center"/>
              <w:rPr>
                <w:rFonts w:hint="default" w:ascii="Times New Roman" w:hAnsi="Times New Roman" w:eastAsia="宋体" w:cs="Times New Roman"/>
                <w:color w:val="auto"/>
                <w:sz w:val="21"/>
                <w:szCs w:val="21"/>
                <w:lang w:val="en-US" w:eastAsia="zh-CN"/>
              </w:rPr>
            </w:pPr>
          </w:p>
        </w:tc>
      </w:tr>
      <w:tr w14:paraId="695B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733" w:type="dxa"/>
            <w:vMerge w:val="continue"/>
            <w:noWrap w:val="0"/>
            <w:vAlign w:val="center"/>
          </w:tcPr>
          <w:p w14:paraId="6D081B50">
            <w:pPr>
              <w:spacing w:line="240" w:lineRule="auto"/>
              <w:jc w:val="center"/>
              <w:rPr>
                <w:rFonts w:hint="default" w:ascii="Times New Roman" w:hAnsi="Times New Roman" w:eastAsia="宋体" w:cs="Times New Roman"/>
                <w:color w:val="auto"/>
                <w:sz w:val="21"/>
                <w:szCs w:val="21"/>
                <w:lang w:val="en-US" w:eastAsia="zh-CN"/>
              </w:rPr>
            </w:pPr>
          </w:p>
        </w:tc>
        <w:tc>
          <w:tcPr>
            <w:tcW w:w="2419" w:type="dxa"/>
            <w:vMerge w:val="continue"/>
            <w:noWrap w:val="0"/>
            <w:vAlign w:val="center"/>
          </w:tcPr>
          <w:p w14:paraId="01B9768D">
            <w:pPr>
              <w:spacing w:line="240" w:lineRule="auto"/>
              <w:jc w:val="both"/>
              <w:rPr>
                <w:rFonts w:hint="default" w:ascii="Times New Roman" w:hAnsi="Times New Roman" w:eastAsia="宋体" w:cs="Times New Roman"/>
                <w:kern w:val="2"/>
                <w:sz w:val="21"/>
                <w:szCs w:val="21"/>
                <w:lang w:val="en-US" w:eastAsia="zh-CN" w:bidi="ar"/>
              </w:rPr>
            </w:pPr>
          </w:p>
        </w:tc>
        <w:tc>
          <w:tcPr>
            <w:tcW w:w="1113" w:type="dxa"/>
            <w:noWrap w:val="0"/>
            <w:vAlign w:val="center"/>
          </w:tcPr>
          <w:p w14:paraId="633B1CE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7929267A">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已完善应急响应、信息通报、应急处置与应急监测、应急终止内容</w:t>
            </w:r>
          </w:p>
        </w:tc>
        <w:tc>
          <w:tcPr>
            <w:tcW w:w="1236" w:type="dxa"/>
            <w:noWrap w:val="0"/>
            <w:vAlign w:val="center"/>
          </w:tcPr>
          <w:p w14:paraId="56FADE4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eastAsia" w:ascii="Times New Roman" w:hAnsi="Times New Roman" w:eastAsia="宋体" w:cs="Times New Roman"/>
                <w:color w:val="auto"/>
                <w:sz w:val="21"/>
                <w:szCs w:val="21"/>
                <w:lang w:val="en-US" w:eastAsia="zh-CN"/>
              </w:rPr>
              <w:t>P30-42</w:t>
            </w:r>
          </w:p>
        </w:tc>
        <w:tc>
          <w:tcPr>
            <w:tcW w:w="697" w:type="dxa"/>
            <w:vMerge w:val="continue"/>
            <w:noWrap w:val="0"/>
            <w:vAlign w:val="center"/>
          </w:tcPr>
          <w:p w14:paraId="3F1B1580">
            <w:pPr>
              <w:spacing w:line="240" w:lineRule="auto"/>
              <w:jc w:val="center"/>
              <w:rPr>
                <w:rFonts w:hint="default" w:ascii="Times New Roman" w:hAnsi="Times New Roman" w:eastAsia="宋体" w:cs="Times New Roman"/>
                <w:color w:val="auto"/>
                <w:sz w:val="21"/>
                <w:szCs w:val="21"/>
                <w:lang w:val="en-US" w:eastAsia="zh-CN"/>
              </w:rPr>
            </w:pPr>
          </w:p>
        </w:tc>
      </w:tr>
      <w:tr w14:paraId="6395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33" w:type="dxa"/>
            <w:vMerge w:val="restart"/>
            <w:noWrap w:val="0"/>
            <w:vAlign w:val="center"/>
          </w:tcPr>
          <w:p w14:paraId="2E68A6C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419" w:type="dxa"/>
            <w:vMerge w:val="restart"/>
            <w:noWrap w:val="0"/>
            <w:vAlign w:val="center"/>
          </w:tcPr>
          <w:p w14:paraId="1D88835B">
            <w:pPr>
              <w:spacing w:line="240" w:lineRule="auto"/>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完善应急资源和应急经费调查，核实水源地连接水体应急工程设施分布情况，给出水源地应急工程设施、环境应急场所分布情况一览表，提出应急工程设施整改建议。完善附图附件。</w:t>
            </w:r>
          </w:p>
        </w:tc>
        <w:tc>
          <w:tcPr>
            <w:tcW w:w="1113" w:type="dxa"/>
            <w:noWrap w:val="0"/>
            <w:vAlign w:val="center"/>
          </w:tcPr>
          <w:p w14:paraId="411A6EB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054D0E3D">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已完善应急资源和应急经费调查</w:t>
            </w:r>
          </w:p>
        </w:tc>
        <w:tc>
          <w:tcPr>
            <w:tcW w:w="1236" w:type="dxa"/>
            <w:noWrap w:val="0"/>
            <w:vAlign w:val="center"/>
          </w:tcPr>
          <w:p w14:paraId="144F4F2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eastAsia" w:ascii="Times New Roman" w:hAnsi="Times New Roman" w:eastAsia="宋体" w:cs="Times New Roman"/>
                <w:color w:val="auto"/>
                <w:sz w:val="21"/>
                <w:szCs w:val="21"/>
                <w:lang w:val="en-US" w:eastAsia="zh-CN"/>
              </w:rPr>
              <w:t>P96-98</w:t>
            </w:r>
          </w:p>
        </w:tc>
        <w:tc>
          <w:tcPr>
            <w:tcW w:w="697" w:type="dxa"/>
            <w:vMerge w:val="restart"/>
            <w:noWrap w:val="0"/>
            <w:vAlign w:val="center"/>
          </w:tcPr>
          <w:p w14:paraId="6E99308C">
            <w:pPr>
              <w:spacing w:line="240" w:lineRule="auto"/>
              <w:jc w:val="center"/>
              <w:rPr>
                <w:rFonts w:hint="default" w:ascii="Times New Roman" w:hAnsi="Times New Roman" w:eastAsia="宋体" w:cs="Times New Roman"/>
                <w:color w:val="auto"/>
                <w:sz w:val="21"/>
                <w:szCs w:val="21"/>
                <w:lang w:val="en-US" w:eastAsia="zh-CN"/>
              </w:rPr>
            </w:pPr>
          </w:p>
        </w:tc>
      </w:tr>
      <w:tr w14:paraId="2AF9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33" w:type="dxa"/>
            <w:vMerge w:val="continue"/>
            <w:noWrap w:val="0"/>
            <w:vAlign w:val="center"/>
          </w:tcPr>
          <w:p w14:paraId="03AA51F9">
            <w:pPr>
              <w:spacing w:line="240" w:lineRule="auto"/>
              <w:jc w:val="center"/>
              <w:rPr>
                <w:rFonts w:hint="default" w:ascii="Times New Roman" w:hAnsi="Times New Roman" w:eastAsia="宋体" w:cs="Times New Roman"/>
                <w:color w:val="auto"/>
                <w:sz w:val="21"/>
                <w:szCs w:val="21"/>
                <w:lang w:val="en-US" w:eastAsia="zh-CN"/>
              </w:rPr>
            </w:pPr>
          </w:p>
        </w:tc>
        <w:tc>
          <w:tcPr>
            <w:tcW w:w="2419" w:type="dxa"/>
            <w:vMerge w:val="continue"/>
            <w:noWrap w:val="0"/>
            <w:vAlign w:val="center"/>
          </w:tcPr>
          <w:p w14:paraId="05FC6BA2">
            <w:pPr>
              <w:spacing w:line="240" w:lineRule="auto"/>
              <w:jc w:val="both"/>
              <w:rPr>
                <w:rFonts w:hint="default" w:ascii="Times New Roman" w:hAnsi="Times New Roman" w:eastAsia="宋体" w:cs="Times New Roman"/>
                <w:kern w:val="2"/>
                <w:sz w:val="21"/>
                <w:szCs w:val="21"/>
                <w:lang w:val="en-US" w:eastAsia="zh-CN" w:bidi="ar"/>
              </w:rPr>
            </w:pPr>
          </w:p>
        </w:tc>
        <w:tc>
          <w:tcPr>
            <w:tcW w:w="1113" w:type="dxa"/>
            <w:noWrap w:val="0"/>
            <w:vAlign w:val="center"/>
          </w:tcPr>
          <w:p w14:paraId="738D35D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353BF01A">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已核实水源地连接水体应急工程设施分布情况，给出水源地应急工程设施、环境应急场所分布情况一览表，提出应急工程设施整改建议</w:t>
            </w:r>
          </w:p>
        </w:tc>
        <w:tc>
          <w:tcPr>
            <w:tcW w:w="1236" w:type="dxa"/>
            <w:noWrap w:val="0"/>
            <w:vAlign w:val="center"/>
          </w:tcPr>
          <w:p w14:paraId="08848226">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eastAsia" w:ascii="Times New Roman" w:hAnsi="Times New Roman" w:eastAsia="宋体" w:cs="Times New Roman"/>
                <w:color w:val="auto"/>
                <w:sz w:val="21"/>
                <w:szCs w:val="21"/>
                <w:lang w:val="en-US" w:eastAsia="zh-CN"/>
              </w:rPr>
              <w:t>P67</w:t>
            </w:r>
          </w:p>
        </w:tc>
        <w:tc>
          <w:tcPr>
            <w:tcW w:w="697" w:type="dxa"/>
            <w:vMerge w:val="continue"/>
            <w:noWrap w:val="0"/>
            <w:vAlign w:val="center"/>
          </w:tcPr>
          <w:p w14:paraId="7E1BEF13">
            <w:pPr>
              <w:spacing w:line="240" w:lineRule="auto"/>
              <w:jc w:val="center"/>
              <w:rPr>
                <w:rFonts w:hint="default" w:ascii="Times New Roman" w:hAnsi="Times New Roman" w:eastAsia="宋体" w:cs="Times New Roman"/>
                <w:color w:val="auto"/>
                <w:sz w:val="21"/>
                <w:szCs w:val="21"/>
                <w:lang w:val="en-US" w:eastAsia="zh-CN"/>
              </w:rPr>
            </w:pPr>
          </w:p>
        </w:tc>
      </w:tr>
      <w:tr w14:paraId="1426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733" w:type="dxa"/>
            <w:vMerge w:val="continue"/>
            <w:noWrap w:val="0"/>
            <w:vAlign w:val="center"/>
          </w:tcPr>
          <w:p w14:paraId="7D1E2717">
            <w:pPr>
              <w:spacing w:line="240" w:lineRule="auto"/>
              <w:jc w:val="center"/>
              <w:rPr>
                <w:rFonts w:hint="default" w:ascii="Times New Roman" w:hAnsi="Times New Roman" w:eastAsia="宋体" w:cs="Times New Roman"/>
                <w:color w:val="auto"/>
                <w:sz w:val="21"/>
                <w:szCs w:val="21"/>
                <w:lang w:val="en-US" w:eastAsia="zh-CN"/>
              </w:rPr>
            </w:pPr>
          </w:p>
        </w:tc>
        <w:tc>
          <w:tcPr>
            <w:tcW w:w="2419" w:type="dxa"/>
            <w:vMerge w:val="continue"/>
            <w:noWrap w:val="0"/>
            <w:vAlign w:val="center"/>
          </w:tcPr>
          <w:p w14:paraId="0948D848">
            <w:pPr>
              <w:spacing w:line="240" w:lineRule="auto"/>
              <w:jc w:val="both"/>
              <w:rPr>
                <w:rFonts w:hint="default" w:ascii="Times New Roman" w:hAnsi="Times New Roman" w:eastAsia="宋体" w:cs="Times New Roman"/>
                <w:kern w:val="2"/>
                <w:sz w:val="21"/>
                <w:szCs w:val="21"/>
                <w:lang w:val="en-US" w:eastAsia="zh-CN" w:bidi="ar"/>
              </w:rPr>
            </w:pPr>
          </w:p>
        </w:tc>
        <w:tc>
          <w:tcPr>
            <w:tcW w:w="1113" w:type="dxa"/>
            <w:noWrap w:val="0"/>
            <w:vAlign w:val="center"/>
          </w:tcPr>
          <w:p w14:paraId="76479BE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已采纳</w:t>
            </w:r>
          </w:p>
        </w:tc>
        <w:tc>
          <w:tcPr>
            <w:tcW w:w="2695" w:type="dxa"/>
            <w:noWrap w:val="0"/>
            <w:vAlign w:val="center"/>
          </w:tcPr>
          <w:p w14:paraId="253C8C86">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w:t>
            </w:r>
            <w:r>
              <w:rPr>
                <w:rFonts w:hint="default" w:ascii="Times New Roman" w:hAnsi="Times New Roman" w:eastAsia="宋体" w:cs="Times New Roman"/>
                <w:color w:val="auto"/>
                <w:sz w:val="21"/>
                <w:szCs w:val="21"/>
                <w:lang w:val="en-US" w:eastAsia="zh-CN"/>
              </w:rPr>
              <w:t>已完善附图附件</w:t>
            </w:r>
          </w:p>
        </w:tc>
        <w:tc>
          <w:tcPr>
            <w:tcW w:w="1236" w:type="dxa"/>
            <w:noWrap w:val="0"/>
            <w:vAlign w:val="center"/>
          </w:tcPr>
          <w:p w14:paraId="6B26A489">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sz w:val="21"/>
                <w:szCs w:val="21"/>
                <w:lang w:val="en-US" w:eastAsia="zh-CN"/>
              </w:rPr>
              <w:t>▶见附图附件</w:t>
            </w:r>
          </w:p>
        </w:tc>
        <w:tc>
          <w:tcPr>
            <w:tcW w:w="697" w:type="dxa"/>
            <w:vMerge w:val="continue"/>
            <w:noWrap w:val="0"/>
            <w:vAlign w:val="center"/>
          </w:tcPr>
          <w:p w14:paraId="4264AAF8">
            <w:pPr>
              <w:spacing w:line="240" w:lineRule="auto"/>
              <w:jc w:val="center"/>
              <w:rPr>
                <w:rFonts w:hint="default" w:ascii="Times New Roman" w:hAnsi="Times New Roman" w:eastAsia="宋体" w:cs="Times New Roman"/>
                <w:color w:val="auto"/>
                <w:sz w:val="21"/>
                <w:szCs w:val="21"/>
                <w:lang w:val="en-US" w:eastAsia="zh-CN"/>
              </w:rPr>
            </w:pPr>
          </w:p>
        </w:tc>
      </w:tr>
    </w:tbl>
    <w:p w14:paraId="50D18EC0">
      <w:pPr>
        <w:widowControl w:val="0"/>
        <w:spacing w:line="360" w:lineRule="auto"/>
        <w:ind w:left="0" w:leftChars="0" w:firstLine="0" w:firstLineChars="0"/>
        <w:jc w:val="left"/>
        <w:rPr>
          <w:rFonts w:ascii="Times New Roman" w:hAnsi="Times New Roman" w:eastAsia="宋体" w:cs="Times New Roman"/>
          <w:kern w:val="2"/>
          <w:sz w:val="24"/>
          <w:szCs w:val="24"/>
          <w:lang w:val="en-US" w:eastAsia="zh-CN" w:bidi="ar-SA"/>
        </w:rPr>
      </w:pPr>
    </w:p>
    <w:p w14:paraId="50E7EFC8">
      <w:pPr>
        <w:widowControl w:val="0"/>
        <w:spacing w:line="360" w:lineRule="auto"/>
        <w:ind w:left="0" w:leftChars="0" w:firstLine="0" w:firstLineChars="0"/>
        <w:jc w:val="left"/>
        <w:rPr>
          <w:rFonts w:ascii="Times New Roman" w:hAnsi="Times New Roman" w:eastAsia="宋体" w:cs="Times New Roman"/>
          <w:kern w:val="2"/>
          <w:sz w:val="24"/>
          <w:szCs w:val="24"/>
          <w:lang w:val="en-US" w:eastAsia="zh-CN" w:bidi="ar-SA"/>
        </w:rPr>
      </w:pPr>
    </w:p>
    <w:p w14:paraId="7873D3F0">
      <w:pPr>
        <w:widowControl w:val="0"/>
        <w:spacing w:line="360" w:lineRule="auto"/>
        <w:ind w:left="0" w:leftChars="0" w:firstLine="0" w:firstLineChars="0"/>
        <w:jc w:val="left"/>
        <w:rPr>
          <w:rFonts w:ascii="Times New Roman" w:hAnsi="Times New Roman" w:eastAsia="宋体" w:cs="Times New Roman"/>
          <w:kern w:val="2"/>
          <w:sz w:val="24"/>
          <w:szCs w:val="24"/>
          <w:lang w:val="en-US" w:eastAsia="zh-CN" w:bidi="ar-SA"/>
        </w:rPr>
      </w:pPr>
    </w:p>
    <w:p w14:paraId="092A0C2A">
      <w:pPr>
        <w:jc w:val="center"/>
        <w:rPr>
          <w:rFonts w:hint="eastAsia" w:eastAsia="黑体"/>
          <w:sz w:val="52"/>
          <w:szCs w:val="52"/>
        </w:rPr>
      </w:pPr>
    </w:p>
    <w:p w14:paraId="31D7DAC8">
      <w:pPr>
        <w:pStyle w:val="16"/>
        <w:rPr>
          <w:rFonts w:hint="eastAsia" w:eastAsia="黑体"/>
          <w:sz w:val="52"/>
          <w:szCs w:val="52"/>
        </w:rPr>
      </w:pPr>
    </w:p>
    <w:p w14:paraId="43601B4E">
      <w:pPr>
        <w:rPr>
          <w:rFonts w:hint="eastAsia" w:eastAsia="黑体"/>
          <w:sz w:val="52"/>
          <w:szCs w:val="52"/>
        </w:rPr>
      </w:pPr>
    </w:p>
    <w:p w14:paraId="37C88A13">
      <w:pPr>
        <w:pStyle w:val="16"/>
        <w:rPr>
          <w:rFonts w:hint="eastAsia" w:eastAsia="黑体"/>
          <w:sz w:val="52"/>
          <w:szCs w:val="52"/>
        </w:rPr>
      </w:pPr>
    </w:p>
    <w:p w14:paraId="7DF2E59F">
      <w:pPr>
        <w:rPr>
          <w:rFonts w:hint="eastAsia" w:eastAsia="黑体"/>
          <w:sz w:val="52"/>
          <w:szCs w:val="52"/>
        </w:rPr>
      </w:pPr>
    </w:p>
    <w:p w14:paraId="61E3C7DC">
      <w:pPr>
        <w:pStyle w:val="16"/>
        <w:rPr>
          <w:rFonts w:hint="eastAsia" w:eastAsia="黑体"/>
          <w:sz w:val="52"/>
          <w:szCs w:val="52"/>
        </w:rPr>
      </w:pPr>
    </w:p>
    <w:p w14:paraId="2DA60B96">
      <w:pPr>
        <w:pBdr>
          <w:top w:val="none" w:color="auto" w:sz="0" w:space="1"/>
          <w:left w:val="none" w:color="auto" w:sz="0" w:space="4"/>
          <w:bottom w:val="none" w:color="auto" w:sz="0" w:space="1"/>
          <w:right w:val="none" w:color="auto" w:sz="0" w:space="4"/>
        </w:pBdr>
        <w:adjustRightInd w:val="0"/>
        <w:snapToGrid w:val="0"/>
        <w:ind w:firstLine="720" w:firstLineChars="200"/>
        <w:jc w:val="both"/>
        <w:rPr>
          <w:rFonts w:hint="eastAsia" w:ascii="方正小标宋_GBK" w:hAnsi="华文中宋" w:eastAsia="方正小标宋_GBK" w:cs="方正小标宋_GBK"/>
          <w:bCs/>
          <w:color w:val="000000"/>
          <w:sz w:val="36"/>
          <w:szCs w:val="36"/>
        </w:rPr>
      </w:pPr>
      <w:r>
        <w:rPr>
          <w:rFonts w:hint="eastAsia" w:ascii="方正小标宋_GBK" w:hAnsi="华文中宋" w:eastAsia="方正小标宋_GBK" w:cs="方正小标宋_GBK"/>
          <w:bCs/>
          <w:color w:val="000000"/>
          <w:sz w:val="36"/>
          <w:szCs w:val="36"/>
          <w:lang w:bidi="ar"/>
        </w:rPr>
        <w:t>企业事业单位突发环境事件应急预案备案表</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37"/>
        <w:gridCol w:w="3245"/>
        <w:gridCol w:w="928"/>
        <w:gridCol w:w="326"/>
        <w:gridCol w:w="946"/>
        <w:gridCol w:w="1837"/>
      </w:tblGrid>
      <w:tr w14:paraId="17F2FE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8" w:type="dxa"/>
            <w:tcBorders>
              <w:top w:val="single" w:color="auto" w:sz="8" w:space="0"/>
              <w:left w:val="single" w:color="auto" w:sz="8" w:space="0"/>
              <w:bottom w:val="single" w:color="auto" w:sz="4" w:space="0"/>
              <w:right w:val="single" w:color="auto" w:sz="4" w:space="0"/>
            </w:tcBorders>
            <w:noWrap w:val="0"/>
            <w:vAlign w:val="center"/>
          </w:tcPr>
          <w:p w14:paraId="644E93C7">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单位名称</w:t>
            </w:r>
          </w:p>
        </w:tc>
        <w:tc>
          <w:tcPr>
            <w:tcW w:w="3382" w:type="dxa"/>
            <w:gridSpan w:val="2"/>
            <w:tcBorders>
              <w:top w:val="single" w:color="auto" w:sz="8" w:space="0"/>
              <w:left w:val="single" w:color="auto" w:sz="4" w:space="0"/>
              <w:bottom w:val="single" w:color="auto" w:sz="4" w:space="0"/>
              <w:right w:val="single" w:color="auto" w:sz="4" w:space="0"/>
            </w:tcBorders>
            <w:noWrap w:val="0"/>
            <w:vAlign w:val="center"/>
          </w:tcPr>
          <w:p w14:paraId="7BB51117">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default" w:ascii="Times New Roman" w:hAnsi="Times New Roman" w:eastAsia="宋体" w:cs="Times New Roman"/>
                <w:color w:val="000000"/>
                <w:szCs w:val="21"/>
                <w:lang w:val="en-US" w:bidi="ar"/>
              </w:rPr>
            </w:pPr>
            <w:r>
              <w:rPr>
                <w:rFonts w:hint="eastAsia" w:ascii="Times New Roman" w:hAnsi="Times New Roman" w:eastAsia="宋体" w:cs="Times New Roman"/>
                <w:color w:val="000000"/>
                <w:szCs w:val="21"/>
                <w:lang w:val="en-US" w:eastAsia="zh-CN" w:bidi="ar"/>
              </w:rPr>
              <w:t>邵阳市生态环境局绥宁分局</w:t>
            </w:r>
          </w:p>
        </w:tc>
        <w:tc>
          <w:tcPr>
            <w:tcW w:w="1254" w:type="dxa"/>
            <w:gridSpan w:val="2"/>
            <w:tcBorders>
              <w:top w:val="single" w:color="auto" w:sz="8" w:space="0"/>
              <w:left w:val="single" w:color="auto" w:sz="4" w:space="0"/>
              <w:bottom w:val="single" w:color="auto" w:sz="4" w:space="0"/>
              <w:right w:val="single" w:color="auto" w:sz="4" w:space="0"/>
            </w:tcBorders>
            <w:noWrap w:val="0"/>
            <w:vAlign w:val="center"/>
          </w:tcPr>
          <w:p w14:paraId="327BAA31">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机构代码</w:t>
            </w:r>
          </w:p>
        </w:tc>
        <w:tc>
          <w:tcPr>
            <w:tcW w:w="2783" w:type="dxa"/>
            <w:gridSpan w:val="2"/>
            <w:tcBorders>
              <w:top w:val="single" w:color="auto" w:sz="8" w:space="0"/>
              <w:left w:val="single" w:color="auto" w:sz="4" w:space="0"/>
              <w:bottom w:val="single" w:color="auto" w:sz="4" w:space="0"/>
              <w:right w:val="single" w:color="auto" w:sz="8" w:space="0"/>
            </w:tcBorders>
            <w:noWrap w:val="0"/>
            <w:vAlign w:val="center"/>
          </w:tcPr>
          <w:p w14:paraId="2B344AC1">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default" w:ascii="Times New Roman" w:hAnsi="Times New Roman" w:eastAsia="宋体" w:cs="Times New Roman"/>
                <w:color w:val="000000"/>
                <w:szCs w:val="21"/>
                <w:lang w:val="en-US" w:eastAsia="zh-CN" w:bidi="ar"/>
              </w:rPr>
            </w:pPr>
            <w:r>
              <w:rPr>
                <w:rFonts w:hint="default" w:ascii="Times New Roman" w:hAnsi="Times New Roman" w:eastAsia="宋体" w:cs="Times New Roman"/>
                <w:color w:val="000000"/>
                <w:szCs w:val="21"/>
                <w:lang w:val="en-US" w:eastAsia="zh-CN" w:bidi="ar"/>
              </w:rPr>
              <w:t>11430527MB0U529595</w:t>
            </w:r>
          </w:p>
        </w:tc>
      </w:tr>
      <w:tr w14:paraId="11954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8" w:type="dxa"/>
            <w:tcBorders>
              <w:top w:val="single" w:color="auto" w:sz="4" w:space="0"/>
              <w:left w:val="single" w:color="auto" w:sz="8" w:space="0"/>
              <w:bottom w:val="single" w:color="auto" w:sz="4" w:space="0"/>
              <w:right w:val="single" w:color="auto" w:sz="4" w:space="0"/>
            </w:tcBorders>
            <w:noWrap w:val="0"/>
            <w:vAlign w:val="center"/>
          </w:tcPr>
          <w:p w14:paraId="7AF58FA4">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法定代表人</w:t>
            </w:r>
          </w:p>
        </w:tc>
        <w:tc>
          <w:tcPr>
            <w:tcW w:w="3382" w:type="dxa"/>
            <w:gridSpan w:val="2"/>
            <w:tcBorders>
              <w:top w:val="single" w:color="auto" w:sz="4" w:space="0"/>
              <w:left w:val="single" w:color="auto" w:sz="4" w:space="0"/>
              <w:bottom w:val="single" w:color="auto" w:sz="4" w:space="0"/>
              <w:right w:val="single" w:color="auto" w:sz="4" w:space="0"/>
            </w:tcBorders>
            <w:noWrap w:val="0"/>
            <w:vAlign w:val="center"/>
          </w:tcPr>
          <w:p w14:paraId="296A51DE">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default" w:ascii="Times New Roman" w:hAnsi="Times New Roman" w:eastAsia="宋体" w:cs="Times New Roman"/>
                <w:color w:val="000000"/>
                <w:szCs w:val="21"/>
                <w:lang w:val="en-US" w:eastAsia="zh-CN" w:bidi="ar"/>
              </w:rPr>
            </w:pPr>
            <w:r>
              <w:rPr>
                <w:rFonts w:hint="eastAsia" w:ascii="Times New Roman" w:hAnsi="Times New Roman" w:eastAsia="宋体" w:cs="Times New Roman"/>
                <w:color w:val="000000"/>
                <w:szCs w:val="21"/>
                <w:lang w:val="en-US" w:eastAsia="zh-CN" w:bidi="ar"/>
              </w:rPr>
              <w:t>袁惠雄</w:t>
            </w: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14:paraId="4A12B56C">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联系电话</w:t>
            </w:r>
          </w:p>
        </w:tc>
        <w:tc>
          <w:tcPr>
            <w:tcW w:w="2783" w:type="dxa"/>
            <w:gridSpan w:val="2"/>
            <w:tcBorders>
              <w:top w:val="single" w:color="auto" w:sz="4" w:space="0"/>
              <w:left w:val="single" w:color="auto" w:sz="4" w:space="0"/>
              <w:bottom w:val="single" w:color="auto" w:sz="4" w:space="0"/>
              <w:right w:val="single" w:color="auto" w:sz="8" w:space="0"/>
            </w:tcBorders>
            <w:noWrap w:val="0"/>
            <w:vAlign w:val="center"/>
          </w:tcPr>
          <w:p w14:paraId="0DA3D82B">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default" w:ascii="Times New Roman" w:hAnsi="Times New Roman" w:eastAsia="宋体" w:cs="Times New Roman"/>
                <w:color w:val="000000"/>
                <w:szCs w:val="21"/>
                <w:lang w:val="en-US" w:eastAsia="zh-CN" w:bidi="ar"/>
              </w:rPr>
            </w:pPr>
            <w:r>
              <w:rPr>
                <w:rFonts w:hint="eastAsia" w:ascii="Times New Roman" w:hAnsi="Times New Roman" w:eastAsia="宋体" w:cs="Times New Roman"/>
                <w:color w:val="000000"/>
                <w:szCs w:val="21"/>
                <w:lang w:val="en-US" w:eastAsia="zh-CN" w:bidi="ar"/>
              </w:rPr>
              <w:t>13874290112</w:t>
            </w:r>
          </w:p>
        </w:tc>
      </w:tr>
      <w:tr w14:paraId="1D1CB5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8" w:type="dxa"/>
            <w:tcBorders>
              <w:top w:val="single" w:color="auto" w:sz="4" w:space="0"/>
              <w:left w:val="single" w:color="auto" w:sz="8" w:space="0"/>
              <w:bottom w:val="single" w:color="auto" w:sz="4" w:space="0"/>
              <w:right w:val="single" w:color="auto" w:sz="4" w:space="0"/>
            </w:tcBorders>
            <w:noWrap w:val="0"/>
            <w:vAlign w:val="center"/>
          </w:tcPr>
          <w:p w14:paraId="26FDD291">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联系人</w:t>
            </w:r>
          </w:p>
        </w:tc>
        <w:tc>
          <w:tcPr>
            <w:tcW w:w="3382" w:type="dxa"/>
            <w:gridSpan w:val="2"/>
            <w:tcBorders>
              <w:top w:val="single" w:color="auto" w:sz="4" w:space="0"/>
              <w:left w:val="single" w:color="auto" w:sz="4" w:space="0"/>
              <w:bottom w:val="single" w:color="auto" w:sz="4" w:space="0"/>
              <w:right w:val="single" w:color="auto" w:sz="4" w:space="0"/>
            </w:tcBorders>
            <w:noWrap w:val="0"/>
            <w:vAlign w:val="center"/>
          </w:tcPr>
          <w:p w14:paraId="5EEB5F95">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default" w:ascii="Times New Roman" w:hAnsi="Times New Roman" w:eastAsia="宋体" w:cs="Times New Roman"/>
                <w:color w:val="000000"/>
                <w:szCs w:val="21"/>
                <w:lang w:val="en-US" w:eastAsia="zh-CN" w:bidi="ar"/>
              </w:rPr>
            </w:pPr>
            <w:r>
              <w:rPr>
                <w:rFonts w:hint="eastAsia" w:ascii="Times New Roman" w:hAnsi="Times New Roman" w:eastAsia="宋体" w:cs="Times New Roman"/>
                <w:color w:val="000000"/>
                <w:szCs w:val="21"/>
                <w:lang w:val="en-US" w:eastAsia="zh-CN" w:bidi="ar"/>
              </w:rPr>
              <w:t>李永刚</w:t>
            </w: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14:paraId="0F09B9FB">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联系电话</w:t>
            </w:r>
          </w:p>
        </w:tc>
        <w:tc>
          <w:tcPr>
            <w:tcW w:w="2783" w:type="dxa"/>
            <w:gridSpan w:val="2"/>
            <w:tcBorders>
              <w:top w:val="single" w:color="auto" w:sz="4" w:space="0"/>
              <w:left w:val="single" w:color="auto" w:sz="4" w:space="0"/>
              <w:bottom w:val="single" w:color="auto" w:sz="4" w:space="0"/>
              <w:right w:val="single" w:color="auto" w:sz="8" w:space="0"/>
            </w:tcBorders>
            <w:noWrap w:val="0"/>
            <w:vAlign w:val="center"/>
          </w:tcPr>
          <w:p w14:paraId="19689AA9">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default" w:ascii="Times New Roman" w:hAnsi="Times New Roman" w:eastAsia="宋体" w:cs="Times New Roman"/>
                <w:color w:val="000000"/>
                <w:szCs w:val="21"/>
                <w:lang w:val="en-US" w:bidi="ar"/>
              </w:rPr>
            </w:pPr>
            <w:r>
              <w:rPr>
                <w:rFonts w:hint="eastAsia" w:ascii="Times New Roman" w:hAnsi="Times New Roman" w:eastAsia="宋体" w:cs="Times New Roman"/>
                <w:color w:val="000000"/>
                <w:szCs w:val="21"/>
                <w:lang w:val="en-US" w:eastAsia="zh-CN" w:bidi="ar"/>
              </w:rPr>
              <w:t>18274381084</w:t>
            </w:r>
          </w:p>
        </w:tc>
      </w:tr>
      <w:tr w14:paraId="389A79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8" w:type="dxa"/>
            <w:tcBorders>
              <w:top w:val="single" w:color="auto" w:sz="4" w:space="0"/>
              <w:left w:val="single" w:color="auto" w:sz="8" w:space="0"/>
              <w:bottom w:val="single" w:color="auto" w:sz="4" w:space="0"/>
              <w:right w:val="single" w:color="auto" w:sz="4" w:space="0"/>
            </w:tcBorders>
            <w:noWrap w:val="0"/>
            <w:vAlign w:val="center"/>
          </w:tcPr>
          <w:p w14:paraId="15D02CCB">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传真</w:t>
            </w:r>
          </w:p>
        </w:tc>
        <w:tc>
          <w:tcPr>
            <w:tcW w:w="3382" w:type="dxa"/>
            <w:gridSpan w:val="2"/>
            <w:tcBorders>
              <w:top w:val="single" w:color="auto" w:sz="4" w:space="0"/>
              <w:left w:val="single" w:color="auto" w:sz="4" w:space="0"/>
              <w:bottom w:val="single" w:color="auto" w:sz="4" w:space="0"/>
              <w:right w:val="single" w:color="auto" w:sz="4" w:space="0"/>
            </w:tcBorders>
            <w:noWrap w:val="0"/>
            <w:vAlign w:val="center"/>
          </w:tcPr>
          <w:p w14:paraId="28918A54">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w:t>
            </w: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14:paraId="0A2D455D">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电子邮箱</w:t>
            </w:r>
          </w:p>
        </w:tc>
        <w:tc>
          <w:tcPr>
            <w:tcW w:w="2783" w:type="dxa"/>
            <w:gridSpan w:val="2"/>
            <w:tcBorders>
              <w:top w:val="single" w:color="auto" w:sz="4" w:space="0"/>
              <w:left w:val="single" w:color="auto" w:sz="4" w:space="0"/>
              <w:bottom w:val="single" w:color="auto" w:sz="4" w:space="0"/>
              <w:right w:val="single" w:color="auto" w:sz="8" w:space="0"/>
            </w:tcBorders>
            <w:noWrap w:val="0"/>
            <w:vAlign w:val="center"/>
          </w:tcPr>
          <w:p w14:paraId="2586B2D8">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eastAsia="zh-CN" w:bidi="ar"/>
              </w:rPr>
            </w:pPr>
            <w:r>
              <w:rPr>
                <w:rFonts w:hint="eastAsia" w:ascii="Times New Roman" w:hAnsi="Times New Roman" w:eastAsia="宋体" w:cs="Times New Roman"/>
                <w:color w:val="000000"/>
                <w:szCs w:val="21"/>
                <w:lang w:val="en-US" w:eastAsia="zh-CN" w:bidi="ar"/>
              </w:rPr>
              <w:t>/</w:t>
            </w:r>
          </w:p>
        </w:tc>
      </w:tr>
      <w:tr w14:paraId="41EC1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428" w:type="dxa"/>
            <w:tcBorders>
              <w:top w:val="single" w:color="auto" w:sz="4" w:space="0"/>
              <w:left w:val="single" w:color="auto" w:sz="8" w:space="0"/>
              <w:bottom w:val="single" w:color="auto" w:sz="4" w:space="0"/>
              <w:right w:val="single" w:color="auto" w:sz="4" w:space="0"/>
            </w:tcBorders>
            <w:noWrap w:val="0"/>
            <w:vAlign w:val="center"/>
          </w:tcPr>
          <w:p w14:paraId="320EDC5D">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地址</w:t>
            </w:r>
          </w:p>
        </w:tc>
        <w:tc>
          <w:tcPr>
            <w:tcW w:w="7419" w:type="dxa"/>
            <w:gridSpan w:val="6"/>
            <w:tcBorders>
              <w:top w:val="single" w:color="auto" w:sz="4" w:space="0"/>
              <w:left w:val="single" w:color="auto" w:sz="4" w:space="0"/>
              <w:bottom w:val="single" w:color="auto" w:sz="4" w:space="0"/>
              <w:right w:val="single" w:color="auto" w:sz="8" w:space="0"/>
            </w:tcBorders>
            <w:noWrap w:val="0"/>
            <w:vAlign w:val="center"/>
          </w:tcPr>
          <w:p w14:paraId="077D3DF5">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val="en-US" w:eastAsia="zh-CN" w:bidi="ar"/>
              </w:rPr>
            </w:pPr>
            <w:r>
              <w:rPr>
                <w:rFonts w:hint="eastAsia" w:ascii="Times New Roman" w:hAnsi="Times New Roman" w:eastAsia="宋体" w:cs="Times New Roman"/>
                <w:color w:val="000000"/>
                <w:szCs w:val="21"/>
                <w:lang w:val="en-US" w:eastAsia="zh-CN" w:bidi="ar"/>
              </w:rPr>
              <w:t>绥宁县长铺镇人民路11号</w:t>
            </w:r>
          </w:p>
        </w:tc>
      </w:tr>
      <w:tr w14:paraId="54D5C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8" w:type="dxa"/>
            <w:tcBorders>
              <w:top w:val="single" w:color="auto" w:sz="4" w:space="0"/>
              <w:left w:val="single" w:color="auto" w:sz="8" w:space="0"/>
              <w:bottom w:val="single" w:color="auto" w:sz="4" w:space="0"/>
              <w:right w:val="single" w:color="auto" w:sz="4" w:space="0"/>
            </w:tcBorders>
            <w:noWrap w:val="0"/>
            <w:vAlign w:val="center"/>
          </w:tcPr>
          <w:p w14:paraId="16C7FFFF">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预案名称</w:t>
            </w:r>
          </w:p>
        </w:tc>
        <w:tc>
          <w:tcPr>
            <w:tcW w:w="7419" w:type="dxa"/>
            <w:gridSpan w:val="6"/>
            <w:tcBorders>
              <w:top w:val="single" w:color="auto" w:sz="4" w:space="0"/>
              <w:left w:val="single" w:color="auto" w:sz="4" w:space="0"/>
              <w:bottom w:val="single" w:color="auto" w:sz="4" w:space="0"/>
              <w:right w:val="single" w:color="auto" w:sz="8" w:space="0"/>
            </w:tcBorders>
            <w:noWrap w:val="0"/>
            <w:vAlign w:val="center"/>
          </w:tcPr>
          <w:p w14:paraId="391AC309">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eastAsia="zh-CN" w:bidi="ar"/>
              </w:rPr>
            </w:pPr>
            <w:r>
              <w:rPr>
                <w:rFonts w:hint="eastAsia" w:ascii="Times New Roman" w:hAnsi="Times New Roman" w:eastAsia="宋体" w:cs="Times New Roman"/>
                <w:color w:val="000000"/>
                <w:szCs w:val="21"/>
                <w:lang w:val="en-US" w:eastAsia="zh-CN" w:bidi="ar"/>
              </w:rPr>
              <w:t>绥宁县关峡苗族乡兰溪水饮用水</w:t>
            </w:r>
            <w:r>
              <w:rPr>
                <w:rFonts w:hint="eastAsia" w:ascii="Times New Roman" w:hAnsi="Times New Roman" w:eastAsia="宋体" w:cs="Times New Roman"/>
                <w:color w:val="000000"/>
                <w:szCs w:val="21"/>
                <w:lang w:eastAsia="zh-CN" w:bidi="ar"/>
              </w:rPr>
              <w:t>水源地保护区突发环境事件应急预案</w:t>
            </w:r>
          </w:p>
          <w:p w14:paraId="6FCE8EF0">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eastAsia="zh-CN" w:bidi="ar"/>
              </w:rPr>
            </w:pPr>
            <w:r>
              <w:rPr>
                <w:rFonts w:hint="eastAsia" w:ascii="Times New Roman" w:hAnsi="Times New Roman" w:eastAsia="宋体" w:cs="Times New Roman"/>
                <w:color w:val="000000"/>
                <w:szCs w:val="21"/>
                <w:lang w:eastAsia="zh-CN" w:bidi="ar"/>
              </w:rPr>
              <w:t>（第一次修订，2024年版）</w:t>
            </w:r>
          </w:p>
        </w:tc>
      </w:tr>
      <w:tr w14:paraId="1A38B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428" w:type="dxa"/>
            <w:tcBorders>
              <w:top w:val="single" w:color="auto" w:sz="4" w:space="0"/>
              <w:left w:val="single" w:color="auto" w:sz="8" w:space="0"/>
              <w:bottom w:val="single" w:color="auto" w:sz="4" w:space="0"/>
              <w:right w:val="single" w:color="auto" w:sz="4" w:space="0"/>
            </w:tcBorders>
            <w:noWrap w:val="0"/>
            <w:vAlign w:val="center"/>
          </w:tcPr>
          <w:p w14:paraId="7960A093">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风险级别</w:t>
            </w:r>
          </w:p>
        </w:tc>
        <w:tc>
          <w:tcPr>
            <w:tcW w:w="7419" w:type="dxa"/>
            <w:gridSpan w:val="6"/>
            <w:tcBorders>
              <w:top w:val="single" w:color="auto" w:sz="4" w:space="0"/>
              <w:left w:val="single" w:color="auto" w:sz="4" w:space="0"/>
              <w:bottom w:val="single" w:color="auto" w:sz="4" w:space="0"/>
              <w:right w:val="single" w:color="auto" w:sz="8" w:space="0"/>
            </w:tcBorders>
            <w:noWrap w:val="0"/>
            <w:vAlign w:val="center"/>
          </w:tcPr>
          <w:p w14:paraId="0CEC0F62">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p>
        </w:tc>
      </w:tr>
      <w:tr w14:paraId="4B8B1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5" w:hRule="atLeast"/>
        </w:trPr>
        <w:tc>
          <w:tcPr>
            <w:tcW w:w="8847" w:type="dxa"/>
            <w:gridSpan w:val="7"/>
            <w:tcBorders>
              <w:top w:val="single" w:color="auto" w:sz="4" w:space="0"/>
              <w:left w:val="single" w:color="auto" w:sz="8" w:space="0"/>
              <w:bottom w:val="single" w:color="auto" w:sz="4" w:space="0"/>
              <w:right w:val="single" w:color="auto" w:sz="8" w:space="0"/>
            </w:tcBorders>
            <w:noWrap w:val="0"/>
            <w:vAlign w:val="center"/>
          </w:tcPr>
          <w:p w14:paraId="4BC140C3">
            <w:pPr>
              <w:pBdr>
                <w:top w:val="none" w:color="auto" w:sz="0" w:space="1"/>
                <w:left w:val="none" w:color="auto" w:sz="0" w:space="4"/>
                <w:bottom w:val="none" w:color="auto" w:sz="0" w:space="1"/>
                <w:right w:val="none" w:color="auto" w:sz="0" w:space="4"/>
              </w:pBdr>
              <w:adjustRightInd w:val="0"/>
              <w:snapToGrid w:val="0"/>
              <w:spacing w:before="62" w:beforeLines="20" w:after="62" w:afterLines="20" w:line="360" w:lineRule="auto"/>
              <w:ind w:firstLine="240" w:firstLineChars="100"/>
              <w:jc w:val="left"/>
              <w:rPr>
                <w:rFonts w:hint="eastAsia" w:ascii="Times New Roman" w:hAnsi="Times New Roman" w:eastAsia="宋体" w:cs="Times New Roman"/>
                <w:color w:val="000000"/>
                <w:szCs w:val="21"/>
                <w:lang w:bidi="ar"/>
              </w:rPr>
            </w:pPr>
          </w:p>
          <w:p w14:paraId="59C74A79">
            <w:pPr>
              <w:pBdr>
                <w:top w:val="none" w:color="auto" w:sz="0" w:space="1"/>
                <w:left w:val="none" w:color="auto" w:sz="0" w:space="4"/>
                <w:bottom w:val="none" w:color="auto" w:sz="0" w:space="1"/>
                <w:right w:val="none" w:color="auto" w:sz="0" w:space="4"/>
              </w:pBdr>
              <w:adjustRightInd w:val="0"/>
              <w:snapToGrid w:val="0"/>
              <w:spacing w:before="62" w:beforeLines="20" w:after="62" w:afterLines="20" w:line="360" w:lineRule="auto"/>
              <w:ind w:firstLine="480" w:firstLineChars="200"/>
              <w:jc w:val="left"/>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本单位于</w:t>
            </w:r>
            <w:r>
              <w:rPr>
                <w:rFonts w:hint="eastAsia" w:ascii="Times New Roman" w:hAnsi="Times New Roman" w:eastAsia="宋体" w:cs="Times New Roman"/>
                <w:color w:val="000000"/>
                <w:szCs w:val="21"/>
                <w:lang w:val="en-US" w:eastAsia="zh-CN" w:bidi="ar"/>
              </w:rPr>
              <w:t xml:space="preserve">   </w:t>
            </w:r>
            <w:r>
              <w:rPr>
                <w:rFonts w:hint="eastAsia" w:ascii="Times New Roman" w:hAnsi="Times New Roman" w:eastAsia="宋体" w:cs="Times New Roman"/>
                <w:color w:val="000000"/>
                <w:szCs w:val="21"/>
                <w:lang w:bidi="ar"/>
              </w:rPr>
              <w:t>年</w:t>
            </w:r>
            <w:r>
              <w:rPr>
                <w:rFonts w:hint="eastAsia" w:ascii="Times New Roman" w:hAnsi="Times New Roman" w:eastAsia="宋体" w:cs="Times New Roman"/>
                <w:color w:val="000000"/>
                <w:szCs w:val="21"/>
                <w:lang w:val="en-US" w:eastAsia="zh-CN" w:bidi="ar"/>
              </w:rPr>
              <w:t xml:space="preserve">  </w:t>
            </w:r>
            <w:r>
              <w:rPr>
                <w:rFonts w:hint="eastAsia" w:ascii="Times New Roman" w:hAnsi="Times New Roman" w:eastAsia="宋体" w:cs="Times New Roman"/>
                <w:color w:val="000000"/>
                <w:szCs w:val="21"/>
                <w:lang w:bidi="ar"/>
              </w:rPr>
              <w:t>月   日签署发布了突发环境事件应急预案，备案条件具备，备案文件齐全，现报送备案。</w:t>
            </w:r>
          </w:p>
          <w:p w14:paraId="06E177F1">
            <w:pPr>
              <w:pBdr>
                <w:top w:val="none" w:color="auto" w:sz="0" w:space="1"/>
                <w:left w:val="none" w:color="auto" w:sz="0" w:space="4"/>
                <w:bottom w:val="none" w:color="auto" w:sz="0" w:space="1"/>
                <w:right w:val="none" w:color="auto" w:sz="0" w:space="4"/>
              </w:pBdr>
              <w:adjustRightInd w:val="0"/>
              <w:snapToGrid w:val="0"/>
              <w:spacing w:before="62" w:beforeLines="20" w:after="62" w:afterLines="20" w:line="360" w:lineRule="auto"/>
              <w:ind w:firstLine="480" w:firstLineChars="200"/>
              <w:jc w:val="left"/>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本单位承诺，本单位在办理备案中所提供的相关文件及其信息均经本单位确认真实，无虚假，且未隐瞒事实。</w:t>
            </w:r>
          </w:p>
          <w:p w14:paraId="311D77C0">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0034B19B">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4C7FF2DE">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1D313A14">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4351DBD8">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hint="eastAsia" w:ascii="Times New Roman" w:hAnsi="Times New Roman" w:eastAsia="宋体" w:cs="Times New Roman"/>
                <w:color w:val="000000"/>
                <w:szCs w:val="21"/>
                <w:lang w:bidi="ar"/>
              </w:rPr>
            </w:pPr>
          </w:p>
          <w:p w14:paraId="40101B1A">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039044B9">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20377B22">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145DEB2F">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 xml:space="preserve">                            预案制定单位（公章）</w:t>
            </w:r>
          </w:p>
        </w:tc>
      </w:tr>
      <w:tr w14:paraId="5CE4B8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5" w:type="dxa"/>
            <w:gridSpan w:val="2"/>
            <w:tcBorders>
              <w:top w:val="single" w:color="auto" w:sz="4" w:space="0"/>
              <w:left w:val="single" w:color="auto" w:sz="8" w:space="0"/>
              <w:bottom w:val="single" w:color="auto" w:sz="8" w:space="0"/>
              <w:right w:val="single" w:color="auto" w:sz="4" w:space="0"/>
            </w:tcBorders>
            <w:noWrap w:val="0"/>
            <w:vAlign w:val="center"/>
          </w:tcPr>
          <w:p w14:paraId="4C24FD34">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left"/>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预案签署人</w:t>
            </w:r>
          </w:p>
        </w:tc>
        <w:tc>
          <w:tcPr>
            <w:tcW w:w="4173" w:type="dxa"/>
            <w:gridSpan w:val="2"/>
            <w:tcBorders>
              <w:top w:val="single" w:color="auto" w:sz="4" w:space="0"/>
              <w:left w:val="single" w:color="auto" w:sz="4" w:space="0"/>
              <w:bottom w:val="single" w:color="auto" w:sz="8" w:space="0"/>
              <w:right w:val="single" w:color="auto" w:sz="4" w:space="0"/>
            </w:tcBorders>
            <w:noWrap w:val="0"/>
            <w:vAlign w:val="center"/>
          </w:tcPr>
          <w:p w14:paraId="618A3903">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 xml:space="preserve"> </w:t>
            </w:r>
          </w:p>
        </w:tc>
        <w:tc>
          <w:tcPr>
            <w:tcW w:w="1272" w:type="dxa"/>
            <w:gridSpan w:val="2"/>
            <w:tcBorders>
              <w:top w:val="single" w:color="auto" w:sz="4" w:space="0"/>
              <w:left w:val="single" w:color="auto" w:sz="4" w:space="0"/>
              <w:bottom w:val="single" w:color="auto" w:sz="8" w:space="0"/>
              <w:right w:val="single" w:color="auto" w:sz="4" w:space="0"/>
            </w:tcBorders>
            <w:noWrap w:val="0"/>
            <w:vAlign w:val="center"/>
          </w:tcPr>
          <w:p w14:paraId="4B80A921">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left"/>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报送时间</w:t>
            </w:r>
          </w:p>
        </w:tc>
        <w:tc>
          <w:tcPr>
            <w:tcW w:w="1837" w:type="dxa"/>
            <w:tcBorders>
              <w:top w:val="single" w:color="auto" w:sz="4" w:space="0"/>
              <w:left w:val="single" w:color="auto" w:sz="4" w:space="0"/>
              <w:bottom w:val="single" w:color="auto" w:sz="8" w:space="0"/>
              <w:right w:val="single" w:color="auto" w:sz="8" w:space="0"/>
            </w:tcBorders>
            <w:noWrap w:val="0"/>
            <w:vAlign w:val="center"/>
          </w:tcPr>
          <w:p w14:paraId="546E92F3">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 xml:space="preserve"> </w:t>
            </w:r>
          </w:p>
        </w:tc>
      </w:tr>
    </w:tbl>
    <w:tbl>
      <w:tblPr>
        <w:tblStyle w:val="20"/>
        <w:tblpPr w:leftFromText="180" w:rightFromText="180" w:vertAnchor="text" w:horzAnchor="margin" w:tblpX="107" w:tblpY="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3021"/>
        <w:gridCol w:w="1590"/>
        <w:gridCol w:w="2964"/>
      </w:tblGrid>
      <w:tr w14:paraId="5B3D7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8" w:hRule="atLeast"/>
        </w:trPr>
        <w:tc>
          <w:tcPr>
            <w:tcW w:w="1272" w:type="dxa"/>
            <w:tcBorders>
              <w:top w:val="single" w:color="auto" w:sz="8" w:space="0"/>
              <w:left w:val="single" w:color="auto" w:sz="8" w:space="0"/>
              <w:bottom w:val="single" w:color="auto" w:sz="4" w:space="0"/>
              <w:right w:val="single" w:color="auto" w:sz="4" w:space="0"/>
            </w:tcBorders>
            <w:noWrap w:val="0"/>
            <w:vAlign w:val="center"/>
          </w:tcPr>
          <w:p w14:paraId="533930F6">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突发环境</w:t>
            </w:r>
          </w:p>
          <w:p w14:paraId="50EEE657">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事件应急</w:t>
            </w:r>
          </w:p>
          <w:p w14:paraId="3C5588AB">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预案备案</w:t>
            </w:r>
          </w:p>
          <w:p w14:paraId="3699767C">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文件目录</w:t>
            </w:r>
          </w:p>
        </w:tc>
        <w:tc>
          <w:tcPr>
            <w:tcW w:w="7575" w:type="dxa"/>
            <w:gridSpan w:val="3"/>
            <w:tcBorders>
              <w:top w:val="single" w:color="auto" w:sz="8" w:space="0"/>
              <w:left w:val="single" w:color="auto" w:sz="4" w:space="0"/>
              <w:bottom w:val="single" w:color="auto" w:sz="4" w:space="0"/>
              <w:right w:val="single" w:color="auto" w:sz="8" w:space="0"/>
            </w:tcBorders>
            <w:noWrap w:val="0"/>
            <w:vAlign w:val="top"/>
          </w:tcPr>
          <w:p w14:paraId="2C1AA36D">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lang w:bidi="ar"/>
              </w:rPr>
              <w:t>1.突发环境事件应急预案备案表；</w:t>
            </w:r>
          </w:p>
          <w:p w14:paraId="15AA2584">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lang w:bidi="ar"/>
              </w:rPr>
              <w:t>2.环境应急预案及编制说明：</w:t>
            </w:r>
          </w:p>
          <w:p w14:paraId="51FD2E16">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lang w:bidi="ar"/>
              </w:rPr>
              <w:t>环境应急预案（签署发布文件、环境应急预案文本）；</w:t>
            </w:r>
          </w:p>
          <w:p w14:paraId="5897B017">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lang w:bidi="ar"/>
              </w:rPr>
              <w:t>编制说明（编制过程概述、重点内容说明、征求意见及采纳情况说明、评审情况说明）；</w:t>
            </w:r>
          </w:p>
          <w:p w14:paraId="4F428490">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lang w:bidi="ar"/>
              </w:rPr>
              <w:t>3.环境风险评估报告；</w:t>
            </w:r>
          </w:p>
          <w:p w14:paraId="29ED9A61">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lang w:bidi="ar"/>
              </w:rPr>
              <w:t>4.环境应急资源调查报告；</w:t>
            </w:r>
          </w:p>
          <w:p w14:paraId="7CF79539">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highlight w:val="none"/>
                <w:lang w:bidi="ar"/>
              </w:rPr>
              <w:t>5.环境应急预案评审意见。</w:t>
            </w:r>
          </w:p>
        </w:tc>
      </w:tr>
      <w:tr w14:paraId="2324D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9" w:hRule="atLeast"/>
        </w:trPr>
        <w:tc>
          <w:tcPr>
            <w:tcW w:w="1272" w:type="dxa"/>
            <w:tcBorders>
              <w:top w:val="single" w:color="auto" w:sz="4" w:space="0"/>
              <w:left w:val="single" w:color="auto" w:sz="8" w:space="0"/>
              <w:bottom w:val="single" w:color="auto" w:sz="4" w:space="0"/>
              <w:right w:val="single" w:color="auto" w:sz="4" w:space="0"/>
            </w:tcBorders>
            <w:noWrap w:val="0"/>
            <w:vAlign w:val="center"/>
          </w:tcPr>
          <w:p w14:paraId="4E5C1401">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备案意见</w:t>
            </w:r>
          </w:p>
        </w:tc>
        <w:tc>
          <w:tcPr>
            <w:tcW w:w="7575" w:type="dxa"/>
            <w:gridSpan w:val="3"/>
            <w:tcBorders>
              <w:top w:val="single" w:color="auto" w:sz="4" w:space="0"/>
              <w:left w:val="single" w:color="auto" w:sz="4" w:space="0"/>
              <w:bottom w:val="single" w:color="auto" w:sz="4" w:space="0"/>
              <w:right w:val="single" w:color="auto" w:sz="8" w:space="0"/>
            </w:tcBorders>
            <w:noWrap w:val="0"/>
            <w:vAlign w:val="top"/>
          </w:tcPr>
          <w:p w14:paraId="321765F9">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rPr>
            </w:pPr>
          </w:p>
          <w:p w14:paraId="0F14B583">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该单位的突发环境事件应急预案备案文件已于</w:t>
            </w:r>
            <w:r>
              <w:rPr>
                <w:rFonts w:hint="eastAsia" w:ascii="Times New Roman" w:hAnsi="Times New Roman" w:eastAsia="宋体" w:cs="Times New Roman"/>
                <w:color w:val="000000"/>
                <w:szCs w:val="21"/>
                <w:u w:val="single"/>
                <w:lang w:bidi="ar"/>
              </w:rPr>
              <w:t xml:space="preserve">     </w:t>
            </w:r>
            <w:r>
              <w:rPr>
                <w:rFonts w:ascii="Times New Roman" w:hAnsi="Times New Roman" w:eastAsia="宋体" w:cs="Times New Roman"/>
                <w:color w:val="000000"/>
                <w:szCs w:val="21"/>
                <w:lang w:bidi="ar"/>
              </w:rPr>
              <w:t>年</w:t>
            </w:r>
            <w:r>
              <w:rPr>
                <w:rFonts w:hint="eastAsia" w:ascii="Times New Roman" w:hAnsi="Times New Roman" w:eastAsia="宋体" w:cs="Times New Roman"/>
                <w:color w:val="000000"/>
                <w:szCs w:val="21"/>
                <w:u w:val="single"/>
                <w:lang w:bidi="ar"/>
              </w:rPr>
              <w:t xml:space="preserve">   </w:t>
            </w:r>
            <w:r>
              <w:rPr>
                <w:rFonts w:ascii="Times New Roman" w:hAnsi="Times New Roman" w:eastAsia="宋体" w:cs="Times New Roman"/>
                <w:color w:val="000000"/>
                <w:szCs w:val="21"/>
                <w:lang w:bidi="ar"/>
              </w:rPr>
              <w:t>月</w:t>
            </w:r>
            <w:r>
              <w:rPr>
                <w:rFonts w:hint="eastAsia" w:ascii="Times New Roman" w:hAnsi="Times New Roman" w:eastAsia="宋体" w:cs="Times New Roman"/>
                <w:color w:val="000000"/>
                <w:szCs w:val="21"/>
                <w:u w:val="single"/>
                <w:lang w:bidi="ar"/>
              </w:rPr>
              <w:t xml:space="preserve">   </w:t>
            </w:r>
            <w:r>
              <w:rPr>
                <w:rFonts w:ascii="Times New Roman" w:hAnsi="Times New Roman" w:eastAsia="宋体" w:cs="Times New Roman"/>
                <w:color w:val="000000"/>
                <w:szCs w:val="21"/>
                <w:lang w:bidi="ar"/>
              </w:rPr>
              <w:t>日收讫，文件齐全，予以备案。</w:t>
            </w:r>
          </w:p>
          <w:p w14:paraId="601DC721">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right="416" w:firstLine="480" w:firstLineChars="200"/>
              <w:jc w:val="right"/>
              <w:rPr>
                <w:rFonts w:ascii="Times New Roman" w:hAnsi="Times New Roman" w:eastAsia="宋体" w:cs="Times New Roman"/>
                <w:color w:val="000000"/>
                <w:szCs w:val="21"/>
              </w:rPr>
            </w:pPr>
          </w:p>
          <w:p w14:paraId="1728EFB0">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right="416" w:firstLine="480" w:firstLineChars="200"/>
              <w:jc w:val="right"/>
              <w:rPr>
                <w:rFonts w:ascii="Times New Roman" w:hAnsi="Times New Roman" w:eastAsia="宋体" w:cs="Times New Roman"/>
                <w:color w:val="000000"/>
                <w:szCs w:val="21"/>
              </w:rPr>
            </w:pPr>
          </w:p>
          <w:p w14:paraId="05811DA9">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right="416" w:firstLine="480" w:firstLineChars="200"/>
              <w:jc w:val="right"/>
              <w:rPr>
                <w:rFonts w:ascii="Times New Roman" w:hAnsi="Times New Roman" w:eastAsia="宋体" w:cs="Times New Roman"/>
                <w:color w:val="000000"/>
                <w:szCs w:val="21"/>
              </w:rPr>
            </w:pPr>
          </w:p>
          <w:p w14:paraId="7309A66E">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right="416" w:firstLine="480" w:firstLineChars="200"/>
              <w:jc w:val="right"/>
              <w:rPr>
                <w:rFonts w:ascii="Times New Roman" w:hAnsi="Times New Roman" w:eastAsia="宋体" w:cs="Times New Roman"/>
                <w:color w:val="000000"/>
                <w:szCs w:val="21"/>
              </w:rPr>
            </w:pPr>
          </w:p>
          <w:p w14:paraId="4FE358F0">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right="416" w:firstLine="480" w:firstLineChars="200"/>
              <w:jc w:val="right"/>
              <w:rPr>
                <w:rFonts w:ascii="Times New Roman" w:hAnsi="Times New Roman" w:eastAsia="宋体" w:cs="Times New Roman"/>
                <w:color w:val="000000"/>
                <w:szCs w:val="21"/>
              </w:rPr>
            </w:pPr>
          </w:p>
          <w:p w14:paraId="77315F87">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right="416" w:firstLine="480" w:firstLineChars="200"/>
              <w:jc w:val="right"/>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备案受理部门（公章）</w:t>
            </w:r>
          </w:p>
          <w:p w14:paraId="4AD998D3">
            <w:pPr>
              <w:pBdr>
                <w:top w:val="none" w:color="auto" w:sz="0" w:space="1"/>
                <w:left w:val="none" w:color="auto" w:sz="0" w:space="4"/>
                <w:bottom w:val="none" w:color="auto" w:sz="0" w:space="1"/>
                <w:right w:val="none" w:color="auto" w:sz="0" w:space="4"/>
              </w:pBdr>
              <w:wordWrap w:val="0"/>
              <w:adjustRightInd w:val="0"/>
              <w:snapToGrid w:val="0"/>
              <w:spacing w:before="62" w:beforeLines="20" w:after="62" w:afterLines="20" w:line="300" w:lineRule="atLeast"/>
              <w:ind w:right="296" w:firstLine="480" w:firstLineChars="200"/>
              <w:jc w:val="right"/>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年</w:t>
            </w:r>
            <w:r>
              <w:rPr>
                <w:rFonts w:hint="eastAsia" w:ascii="Times New Roman" w:hAnsi="Times New Roman" w:eastAsia="宋体" w:cs="Times New Roman"/>
                <w:color w:val="000000"/>
                <w:szCs w:val="21"/>
                <w:lang w:bidi="ar"/>
              </w:rPr>
              <w:t xml:space="preserve">  </w:t>
            </w:r>
            <w:r>
              <w:rPr>
                <w:rFonts w:ascii="Times New Roman" w:hAnsi="Times New Roman" w:eastAsia="宋体" w:cs="Times New Roman"/>
                <w:color w:val="000000"/>
                <w:szCs w:val="21"/>
                <w:lang w:bidi="ar"/>
              </w:rPr>
              <w:t>月</w:t>
            </w:r>
            <w:r>
              <w:rPr>
                <w:rFonts w:hint="eastAsia" w:ascii="Times New Roman" w:hAnsi="Times New Roman" w:eastAsia="宋体" w:cs="Times New Roman"/>
                <w:color w:val="000000"/>
                <w:szCs w:val="21"/>
                <w:lang w:bidi="ar"/>
              </w:rPr>
              <w:t xml:space="preserve">  </w:t>
            </w:r>
            <w:r>
              <w:rPr>
                <w:rFonts w:ascii="Times New Roman" w:hAnsi="Times New Roman" w:eastAsia="宋体" w:cs="Times New Roman"/>
                <w:color w:val="000000"/>
                <w:szCs w:val="21"/>
                <w:lang w:bidi="ar"/>
              </w:rPr>
              <w:t>日</w:t>
            </w:r>
          </w:p>
        </w:tc>
      </w:tr>
      <w:tr w14:paraId="29E8E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2" w:type="dxa"/>
            <w:tcBorders>
              <w:top w:val="single" w:color="auto" w:sz="4" w:space="0"/>
              <w:left w:val="single" w:color="auto" w:sz="8" w:space="0"/>
              <w:bottom w:val="single" w:color="auto" w:sz="4" w:space="0"/>
              <w:right w:val="single" w:color="auto" w:sz="4" w:space="0"/>
            </w:tcBorders>
            <w:noWrap w:val="0"/>
            <w:vAlign w:val="center"/>
          </w:tcPr>
          <w:p w14:paraId="3FD9F4D5">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备案编号</w:t>
            </w:r>
          </w:p>
        </w:tc>
        <w:tc>
          <w:tcPr>
            <w:tcW w:w="7575" w:type="dxa"/>
            <w:gridSpan w:val="3"/>
            <w:tcBorders>
              <w:top w:val="single" w:color="auto" w:sz="4" w:space="0"/>
              <w:left w:val="single" w:color="auto" w:sz="4" w:space="0"/>
              <w:bottom w:val="single" w:color="auto" w:sz="4" w:space="0"/>
              <w:right w:val="single" w:color="auto" w:sz="8" w:space="0"/>
            </w:tcBorders>
            <w:noWrap w:val="0"/>
            <w:vAlign w:val="top"/>
          </w:tcPr>
          <w:p w14:paraId="3525A383">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 </w:t>
            </w:r>
          </w:p>
        </w:tc>
      </w:tr>
      <w:tr w14:paraId="0863D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2" w:type="dxa"/>
            <w:tcBorders>
              <w:top w:val="single" w:color="auto" w:sz="4" w:space="0"/>
              <w:left w:val="single" w:color="auto" w:sz="8" w:space="0"/>
              <w:bottom w:val="single" w:color="auto" w:sz="4" w:space="0"/>
              <w:right w:val="single" w:color="auto" w:sz="4" w:space="0"/>
            </w:tcBorders>
            <w:noWrap w:val="0"/>
            <w:vAlign w:val="center"/>
          </w:tcPr>
          <w:p w14:paraId="17CC1BFA">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报送单位</w:t>
            </w:r>
          </w:p>
        </w:tc>
        <w:tc>
          <w:tcPr>
            <w:tcW w:w="7575" w:type="dxa"/>
            <w:gridSpan w:val="3"/>
            <w:tcBorders>
              <w:top w:val="single" w:color="auto" w:sz="4" w:space="0"/>
              <w:left w:val="single" w:color="auto" w:sz="4" w:space="0"/>
              <w:bottom w:val="single" w:color="auto" w:sz="4" w:space="0"/>
              <w:right w:val="single" w:color="auto" w:sz="8" w:space="0"/>
            </w:tcBorders>
            <w:noWrap w:val="0"/>
            <w:vAlign w:val="top"/>
          </w:tcPr>
          <w:p w14:paraId="6468F44F">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邵阳市生态环境局绥宁分局</w:t>
            </w:r>
          </w:p>
        </w:tc>
      </w:tr>
      <w:tr w14:paraId="22CBF1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272" w:type="dxa"/>
            <w:tcBorders>
              <w:top w:val="single" w:color="auto" w:sz="4" w:space="0"/>
              <w:left w:val="single" w:color="auto" w:sz="8" w:space="0"/>
              <w:bottom w:val="single" w:color="auto" w:sz="8" w:space="0"/>
              <w:right w:val="single" w:color="auto" w:sz="4" w:space="0"/>
            </w:tcBorders>
            <w:noWrap w:val="0"/>
            <w:vAlign w:val="center"/>
          </w:tcPr>
          <w:p w14:paraId="6CC7C72F">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受理部门</w:t>
            </w:r>
          </w:p>
          <w:p w14:paraId="22858037">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负责人</w:t>
            </w:r>
          </w:p>
        </w:tc>
        <w:tc>
          <w:tcPr>
            <w:tcW w:w="3021" w:type="dxa"/>
            <w:tcBorders>
              <w:top w:val="single" w:color="auto" w:sz="4" w:space="0"/>
              <w:left w:val="single" w:color="auto" w:sz="4" w:space="0"/>
              <w:bottom w:val="single" w:color="auto" w:sz="8" w:space="0"/>
              <w:right w:val="single" w:color="auto" w:sz="4" w:space="0"/>
            </w:tcBorders>
            <w:noWrap w:val="0"/>
            <w:vAlign w:val="center"/>
          </w:tcPr>
          <w:p w14:paraId="540DC185">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 </w:t>
            </w:r>
          </w:p>
        </w:tc>
        <w:tc>
          <w:tcPr>
            <w:tcW w:w="1590" w:type="dxa"/>
            <w:tcBorders>
              <w:top w:val="single" w:color="auto" w:sz="4" w:space="0"/>
              <w:left w:val="single" w:color="auto" w:sz="4" w:space="0"/>
              <w:bottom w:val="single" w:color="auto" w:sz="8" w:space="0"/>
              <w:right w:val="single" w:color="auto" w:sz="4" w:space="0"/>
            </w:tcBorders>
            <w:noWrap w:val="0"/>
            <w:vAlign w:val="center"/>
          </w:tcPr>
          <w:p w14:paraId="7108AB6B">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240" w:firstLineChars="10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经办人</w:t>
            </w:r>
          </w:p>
        </w:tc>
        <w:tc>
          <w:tcPr>
            <w:tcW w:w="2964" w:type="dxa"/>
            <w:tcBorders>
              <w:top w:val="single" w:color="auto" w:sz="4" w:space="0"/>
              <w:left w:val="single" w:color="auto" w:sz="4" w:space="0"/>
              <w:bottom w:val="single" w:color="auto" w:sz="8" w:space="0"/>
              <w:right w:val="single" w:color="auto" w:sz="8" w:space="0"/>
            </w:tcBorders>
            <w:noWrap w:val="0"/>
            <w:vAlign w:val="center"/>
          </w:tcPr>
          <w:p w14:paraId="1292CE59">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 </w:t>
            </w:r>
          </w:p>
        </w:tc>
      </w:tr>
    </w:tbl>
    <w:p w14:paraId="185C764C">
      <w:pPr>
        <w:pBdr>
          <w:top w:val="none" w:color="auto" w:sz="0" w:space="1"/>
          <w:left w:val="none" w:color="auto" w:sz="0" w:space="4"/>
          <w:bottom w:val="none" w:color="auto" w:sz="0" w:space="1"/>
          <w:right w:val="none" w:color="auto" w:sz="0" w:space="4"/>
        </w:pBdr>
        <w:adjustRightInd w:val="0"/>
        <w:snapToGrid w:val="0"/>
        <w:spacing w:before="93" w:beforeLines="30" w:line="288" w:lineRule="auto"/>
        <w:ind w:firstLine="480" w:firstLineChars="200"/>
        <w:jc w:val="left"/>
        <w:rPr>
          <w:rFonts w:ascii="Times New Roman" w:hAnsi="Times New Roman" w:eastAsia="宋体" w:cs="Times New Roman"/>
          <w:color w:val="000000"/>
        </w:rPr>
      </w:pPr>
      <w:r>
        <w:rPr>
          <w:rFonts w:ascii="Times New Roman" w:hAnsi="Times New Roman" w:eastAsia="宋体" w:cs="Times New Roman"/>
          <w:color w:val="000000"/>
          <w:szCs w:val="21"/>
          <w:lang w:bidi="ar"/>
        </w:rPr>
        <w:t>注：备案编号由企业所在地县级行政区划代码、年份、流水号、企业环境风险级别（一般L、较大M、重大H）及跨区域（T）表征字母组成。例如，河北省永年县**重大环境风险非跨区域企业环境应急预案2015年备案，是永年县环境保护局当年受理的第26个备案，则编号为：130429-2015-026-H；如果是跨区域的企业，则编号为：130429-2015-026-HT。</w:t>
      </w:r>
    </w:p>
    <w:p w14:paraId="33589A1E">
      <w:pPr>
        <w:rPr>
          <w:rFonts w:hint="eastAsia"/>
        </w:rPr>
      </w:pPr>
    </w:p>
    <w:p w14:paraId="3E056D84">
      <w:pPr>
        <w:pStyle w:val="2"/>
        <w:rPr>
          <w:rFonts w:hint="eastAsia"/>
        </w:rPr>
      </w:pPr>
    </w:p>
    <w:p w14:paraId="13530D31">
      <w:pPr>
        <w:pStyle w:val="2"/>
        <w:rPr>
          <w:rFonts w:hint="eastAsia"/>
        </w:rPr>
      </w:pPr>
    </w:p>
    <w:p w14:paraId="64B9EA61">
      <w:pPr>
        <w:pStyle w:val="2"/>
        <w:rPr>
          <w:rFonts w:hint="eastAsia"/>
        </w:rPr>
      </w:pPr>
    </w:p>
    <w:p w14:paraId="36B4DD9D">
      <w:pPr>
        <w:pStyle w:val="2"/>
        <w:rPr>
          <w:rFonts w:hint="eastAsia"/>
        </w:rPr>
      </w:pPr>
    </w:p>
    <w:p w14:paraId="712013A9">
      <w:pPr>
        <w:pStyle w:val="2"/>
        <w:rPr>
          <w:rFonts w:hint="eastAsia"/>
        </w:rPr>
      </w:pPr>
    </w:p>
    <w:p w14:paraId="524AA849">
      <w:pPr>
        <w:pStyle w:val="2"/>
        <w:rPr>
          <w:rFonts w:hint="eastAsia"/>
        </w:rPr>
      </w:pPr>
    </w:p>
    <w:p w14:paraId="0FB9AE08">
      <w:pPr>
        <w:pStyle w:val="2"/>
        <w:rPr>
          <w:rFonts w:hint="eastAsia"/>
        </w:rPr>
      </w:pPr>
    </w:p>
    <w:p w14:paraId="03D2479A">
      <w:pPr>
        <w:pStyle w:val="2"/>
        <w:rPr>
          <w:rFonts w:hint="eastAsia"/>
        </w:rPr>
      </w:pPr>
    </w:p>
    <w:p w14:paraId="214663A9">
      <w:pPr>
        <w:pBdr>
          <w:top w:val="none" w:color="auto" w:sz="0" w:space="1"/>
          <w:left w:val="none" w:color="auto" w:sz="0" w:space="4"/>
          <w:bottom w:val="none" w:color="auto" w:sz="0" w:space="1"/>
          <w:right w:val="none" w:color="auto" w:sz="0" w:space="4"/>
        </w:pBdr>
        <w:adjustRightInd w:val="0"/>
        <w:snapToGrid w:val="0"/>
        <w:ind w:firstLine="720" w:firstLineChars="200"/>
        <w:jc w:val="both"/>
        <w:rPr>
          <w:rFonts w:hint="eastAsia" w:ascii="方正小标宋_GBK" w:hAnsi="华文中宋" w:eastAsia="方正小标宋_GBK" w:cs="方正小标宋_GBK"/>
          <w:bCs/>
          <w:color w:val="000000"/>
          <w:sz w:val="36"/>
          <w:szCs w:val="36"/>
        </w:rPr>
      </w:pPr>
      <w:r>
        <w:rPr>
          <w:rFonts w:hint="eastAsia" w:ascii="方正小标宋_GBK" w:hAnsi="华文中宋" w:eastAsia="方正小标宋_GBK" w:cs="方正小标宋_GBK"/>
          <w:bCs/>
          <w:color w:val="000000"/>
          <w:sz w:val="36"/>
          <w:szCs w:val="36"/>
          <w:lang w:bidi="ar"/>
        </w:rPr>
        <w:t>企业事业单位突发环境事件应急预案备案表</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37"/>
        <w:gridCol w:w="3245"/>
        <w:gridCol w:w="928"/>
        <w:gridCol w:w="326"/>
        <w:gridCol w:w="946"/>
        <w:gridCol w:w="1837"/>
      </w:tblGrid>
      <w:tr w14:paraId="7C9071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8" w:type="dxa"/>
            <w:tcBorders>
              <w:top w:val="single" w:color="auto" w:sz="8" w:space="0"/>
              <w:left w:val="single" w:color="auto" w:sz="8" w:space="0"/>
              <w:bottom w:val="single" w:color="auto" w:sz="4" w:space="0"/>
              <w:right w:val="single" w:color="auto" w:sz="4" w:space="0"/>
            </w:tcBorders>
            <w:noWrap w:val="0"/>
            <w:vAlign w:val="center"/>
          </w:tcPr>
          <w:p w14:paraId="7D4C8959">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单位名称</w:t>
            </w:r>
          </w:p>
        </w:tc>
        <w:tc>
          <w:tcPr>
            <w:tcW w:w="3382" w:type="dxa"/>
            <w:gridSpan w:val="2"/>
            <w:tcBorders>
              <w:top w:val="single" w:color="auto" w:sz="8" w:space="0"/>
              <w:left w:val="single" w:color="auto" w:sz="4" w:space="0"/>
              <w:bottom w:val="single" w:color="auto" w:sz="4" w:space="0"/>
              <w:right w:val="single" w:color="auto" w:sz="4" w:space="0"/>
            </w:tcBorders>
            <w:noWrap w:val="0"/>
            <w:vAlign w:val="center"/>
          </w:tcPr>
          <w:p w14:paraId="649C0274">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default" w:ascii="Times New Roman" w:hAnsi="Times New Roman" w:eastAsia="宋体" w:cs="Times New Roman"/>
                <w:color w:val="000000"/>
                <w:szCs w:val="21"/>
                <w:lang w:val="en-US" w:bidi="ar"/>
              </w:rPr>
            </w:pPr>
            <w:r>
              <w:rPr>
                <w:rFonts w:hint="eastAsia" w:ascii="Times New Roman" w:hAnsi="Times New Roman" w:eastAsia="宋体" w:cs="Times New Roman"/>
                <w:color w:val="000000"/>
                <w:szCs w:val="21"/>
                <w:lang w:val="en-US" w:eastAsia="zh-CN" w:bidi="ar"/>
              </w:rPr>
              <w:t>邵阳市生态环境局绥宁分局</w:t>
            </w:r>
          </w:p>
        </w:tc>
        <w:tc>
          <w:tcPr>
            <w:tcW w:w="1254" w:type="dxa"/>
            <w:gridSpan w:val="2"/>
            <w:tcBorders>
              <w:top w:val="single" w:color="auto" w:sz="8" w:space="0"/>
              <w:left w:val="single" w:color="auto" w:sz="4" w:space="0"/>
              <w:bottom w:val="single" w:color="auto" w:sz="4" w:space="0"/>
              <w:right w:val="single" w:color="auto" w:sz="4" w:space="0"/>
            </w:tcBorders>
            <w:noWrap w:val="0"/>
            <w:vAlign w:val="center"/>
          </w:tcPr>
          <w:p w14:paraId="2E8C66ED">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机构代码</w:t>
            </w:r>
          </w:p>
        </w:tc>
        <w:tc>
          <w:tcPr>
            <w:tcW w:w="2783" w:type="dxa"/>
            <w:gridSpan w:val="2"/>
            <w:tcBorders>
              <w:top w:val="single" w:color="auto" w:sz="8" w:space="0"/>
              <w:left w:val="single" w:color="auto" w:sz="4" w:space="0"/>
              <w:bottom w:val="single" w:color="auto" w:sz="4" w:space="0"/>
              <w:right w:val="single" w:color="auto" w:sz="8" w:space="0"/>
            </w:tcBorders>
            <w:noWrap w:val="0"/>
            <w:vAlign w:val="center"/>
          </w:tcPr>
          <w:p w14:paraId="16CF6BAF">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default" w:ascii="Times New Roman" w:hAnsi="Times New Roman" w:eastAsia="宋体" w:cs="Times New Roman"/>
                <w:color w:val="000000"/>
                <w:szCs w:val="21"/>
                <w:lang w:val="en-US" w:eastAsia="zh-CN" w:bidi="ar"/>
              </w:rPr>
            </w:pPr>
            <w:r>
              <w:rPr>
                <w:rFonts w:hint="default" w:ascii="Times New Roman" w:hAnsi="Times New Roman" w:eastAsia="宋体" w:cs="Times New Roman"/>
                <w:color w:val="000000"/>
                <w:szCs w:val="21"/>
                <w:lang w:val="en-US" w:eastAsia="zh-CN" w:bidi="ar"/>
              </w:rPr>
              <w:t>11430527MB0U529595</w:t>
            </w:r>
          </w:p>
        </w:tc>
      </w:tr>
      <w:tr w14:paraId="3DC39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8" w:type="dxa"/>
            <w:tcBorders>
              <w:top w:val="single" w:color="auto" w:sz="4" w:space="0"/>
              <w:left w:val="single" w:color="auto" w:sz="8" w:space="0"/>
              <w:bottom w:val="single" w:color="auto" w:sz="4" w:space="0"/>
              <w:right w:val="single" w:color="auto" w:sz="4" w:space="0"/>
            </w:tcBorders>
            <w:noWrap w:val="0"/>
            <w:vAlign w:val="center"/>
          </w:tcPr>
          <w:p w14:paraId="74932F00">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法定代表人</w:t>
            </w:r>
          </w:p>
        </w:tc>
        <w:tc>
          <w:tcPr>
            <w:tcW w:w="3382" w:type="dxa"/>
            <w:gridSpan w:val="2"/>
            <w:tcBorders>
              <w:top w:val="single" w:color="auto" w:sz="4" w:space="0"/>
              <w:left w:val="single" w:color="auto" w:sz="4" w:space="0"/>
              <w:bottom w:val="single" w:color="auto" w:sz="4" w:space="0"/>
              <w:right w:val="single" w:color="auto" w:sz="4" w:space="0"/>
            </w:tcBorders>
            <w:noWrap w:val="0"/>
            <w:vAlign w:val="center"/>
          </w:tcPr>
          <w:p w14:paraId="58815D45">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default" w:ascii="Times New Roman" w:hAnsi="Times New Roman" w:eastAsia="宋体" w:cs="Times New Roman"/>
                <w:color w:val="000000"/>
                <w:szCs w:val="21"/>
                <w:lang w:val="en-US" w:eastAsia="zh-CN" w:bidi="ar"/>
              </w:rPr>
            </w:pPr>
            <w:r>
              <w:rPr>
                <w:rFonts w:hint="eastAsia" w:ascii="Times New Roman" w:hAnsi="Times New Roman" w:eastAsia="宋体" w:cs="Times New Roman"/>
                <w:color w:val="000000"/>
                <w:szCs w:val="21"/>
                <w:lang w:val="en-US" w:eastAsia="zh-CN" w:bidi="ar"/>
              </w:rPr>
              <w:t>袁惠雄</w:t>
            </w: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14:paraId="1194FCB0">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联系电话</w:t>
            </w:r>
          </w:p>
        </w:tc>
        <w:tc>
          <w:tcPr>
            <w:tcW w:w="2783" w:type="dxa"/>
            <w:gridSpan w:val="2"/>
            <w:tcBorders>
              <w:top w:val="single" w:color="auto" w:sz="4" w:space="0"/>
              <w:left w:val="single" w:color="auto" w:sz="4" w:space="0"/>
              <w:bottom w:val="single" w:color="auto" w:sz="4" w:space="0"/>
              <w:right w:val="single" w:color="auto" w:sz="8" w:space="0"/>
            </w:tcBorders>
            <w:noWrap w:val="0"/>
            <w:vAlign w:val="center"/>
          </w:tcPr>
          <w:p w14:paraId="109B2A4D">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default" w:ascii="Times New Roman" w:hAnsi="Times New Roman" w:eastAsia="宋体" w:cs="Times New Roman"/>
                <w:color w:val="000000"/>
                <w:szCs w:val="21"/>
                <w:lang w:val="en-US" w:eastAsia="zh-CN" w:bidi="ar"/>
              </w:rPr>
            </w:pPr>
            <w:r>
              <w:rPr>
                <w:rFonts w:hint="eastAsia" w:ascii="Times New Roman" w:hAnsi="Times New Roman" w:eastAsia="宋体" w:cs="Times New Roman"/>
                <w:color w:val="000000"/>
                <w:szCs w:val="21"/>
                <w:lang w:val="en-US" w:eastAsia="zh-CN" w:bidi="ar"/>
              </w:rPr>
              <w:t>13874290112</w:t>
            </w:r>
          </w:p>
        </w:tc>
      </w:tr>
      <w:tr w14:paraId="0BC02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8" w:type="dxa"/>
            <w:tcBorders>
              <w:top w:val="single" w:color="auto" w:sz="4" w:space="0"/>
              <w:left w:val="single" w:color="auto" w:sz="8" w:space="0"/>
              <w:bottom w:val="single" w:color="auto" w:sz="4" w:space="0"/>
              <w:right w:val="single" w:color="auto" w:sz="4" w:space="0"/>
            </w:tcBorders>
            <w:noWrap w:val="0"/>
            <w:vAlign w:val="center"/>
          </w:tcPr>
          <w:p w14:paraId="10B785CB">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联系人</w:t>
            </w:r>
          </w:p>
        </w:tc>
        <w:tc>
          <w:tcPr>
            <w:tcW w:w="3382" w:type="dxa"/>
            <w:gridSpan w:val="2"/>
            <w:tcBorders>
              <w:top w:val="single" w:color="auto" w:sz="4" w:space="0"/>
              <w:left w:val="single" w:color="auto" w:sz="4" w:space="0"/>
              <w:bottom w:val="single" w:color="auto" w:sz="4" w:space="0"/>
              <w:right w:val="single" w:color="auto" w:sz="4" w:space="0"/>
            </w:tcBorders>
            <w:noWrap w:val="0"/>
            <w:vAlign w:val="center"/>
          </w:tcPr>
          <w:p w14:paraId="4070AD02">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default" w:ascii="Times New Roman" w:hAnsi="Times New Roman" w:eastAsia="宋体" w:cs="Times New Roman"/>
                <w:color w:val="000000"/>
                <w:szCs w:val="21"/>
                <w:lang w:val="en-US" w:eastAsia="zh-CN" w:bidi="ar"/>
              </w:rPr>
            </w:pPr>
            <w:r>
              <w:rPr>
                <w:rFonts w:hint="eastAsia" w:ascii="Times New Roman" w:hAnsi="Times New Roman" w:eastAsia="宋体" w:cs="Times New Roman"/>
                <w:color w:val="000000"/>
                <w:szCs w:val="21"/>
                <w:lang w:val="en-US" w:eastAsia="zh-CN" w:bidi="ar"/>
              </w:rPr>
              <w:t>李永刚</w:t>
            </w: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14:paraId="0C6CDE40">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联系电话</w:t>
            </w:r>
          </w:p>
        </w:tc>
        <w:tc>
          <w:tcPr>
            <w:tcW w:w="2783" w:type="dxa"/>
            <w:gridSpan w:val="2"/>
            <w:tcBorders>
              <w:top w:val="single" w:color="auto" w:sz="4" w:space="0"/>
              <w:left w:val="single" w:color="auto" w:sz="4" w:space="0"/>
              <w:bottom w:val="single" w:color="auto" w:sz="4" w:space="0"/>
              <w:right w:val="single" w:color="auto" w:sz="8" w:space="0"/>
            </w:tcBorders>
            <w:noWrap w:val="0"/>
            <w:vAlign w:val="center"/>
          </w:tcPr>
          <w:p w14:paraId="245879B3">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default" w:ascii="Times New Roman" w:hAnsi="Times New Roman" w:eastAsia="宋体" w:cs="Times New Roman"/>
                <w:color w:val="000000"/>
                <w:szCs w:val="21"/>
                <w:lang w:val="en-US" w:bidi="ar"/>
              </w:rPr>
            </w:pPr>
            <w:r>
              <w:rPr>
                <w:rFonts w:hint="eastAsia" w:ascii="Times New Roman" w:hAnsi="Times New Roman" w:eastAsia="宋体" w:cs="Times New Roman"/>
                <w:color w:val="000000"/>
                <w:szCs w:val="21"/>
                <w:lang w:val="en-US" w:eastAsia="zh-CN" w:bidi="ar"/>
              </w:rPr>
              <w:t>18274381084</w:t>
            </w:r>
          </w:p>
        </w:tc>
      </w:tr>
      <w:tr w14:paraId="1BFCD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8" w:type="dxa"/>
            <w:tcBorders>
              <w:top w:val="single" w:color="auto" w:sz="4" w:space="0"/>
              <w:left w:val="single" w:color="auto" w:sz="8" w:space="0"/>
              <w:bottom w:val="single" w:color="auto" w:sz="4" w:space="0"/>
              <w:right w:val="single" w:color="auto" w:sz="4" w:space="0"/>
            </w:tcBorders>
            <w:noWrap w:val="0"/>
            <w:vAlign w:val="center"/>
          </w:tcPr>
          <w:p w14:paraId="4ACE2215">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传真</w:t>
            </w:r>
          </w:p>
        </w:tc>
        <w:tc>
          <w:tcPr>
            <w:tcW w:w="3382" w:type="dxa"/>
            <w:gridSpan w:val="2"/>
            <w:tcBorders>
              <w:top w:val="single" w:color="auto" w:sz="4" w:space="0"/>
              <w:left w:val="single" w:color="auto" w:sz="4" w:space="0"/>
              <w:bottom w:val="single" w:color="auto" w:sz="4" w:space="0"/>
              <w:right w:val="single" w:color="auto" w:sz="4" w:space="0"/>
            </w:tcBorders>
            <w:noWrap w:val="0"/>
            <w:vAlign w:val="center"/>
          </w:tcPr>
          <w:p w14:paraId="75AF7B04">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w:t>
            </w:r>
          </w:p>
        </w:tc>
        <w:tc>
          <w:tcPr>
            <w:tcW w:w="1254" w:type="dxa"/>
            <w:gridSpan w:val="2"/>
            <w:tcBorders>
              <w:top w:val="single" w:color="auto" w:sz="4" w:space="0"/>
              <w:left w:val="single" w:color="auto" w:sz="4" w:space="0"/>
              <w:bottom w:val="single" w:color="auto" w:sz="4" w:space="0"/>
              <w:right w:val="single" w:color="auto" w:sz="4" w:space="0"/>
            </w:tcBorders>
            <w:noWrap w:val="0"/>
            <w:vAlign w:val="center"/>
          </w:tcPr>
          <w:p w14:paraId="12BF13D2">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电子邮箱</w:t>
            </w:r>
          </w:p>
        </w:tc>
        <w:tc>
          <w:tcPr>
            <w:tcW w:w="2783" w:type="dxa"/>
            <w:gridSpan w:val="2"/>
            <w:tcBorders>
              <w:top w:val="single" w:color="auto" w:sz="4" w:space="0"/>
              <w:left w:val="single" w:color="auto" w:sz="4" w:space="0"/>
              <w:bottom w:val="single" w:color="auto" w:sz="4" w:space="0"/>
              <w:right w:val="single" w:color="auto" w:sz="8" w:space="0"/>
            </w:tcBorders>
            <w:noWrap w:val="0"/>
            <w:vAlign w:val="center"/>
          </w:tcPr>
          <w:p w14:paraId="38959C91">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eastAsia="zh-CN" w:bidi="ar"/>
              </w:rPr>
            </w:pPr>
            <w:r>
              <w:rPr>
                <w:rFonts w:hint="eastAsia" w:ascii="Times New Roman" w:hAnsi="Times New Roman" w:eastAsia="宋体" w:cs="Times New Roman"/>
                <w:color w:val="000000"/>
                <w:szCs w:val="21"/>
                <w:lang w:val="en-US" w:eastAsia="zh-CN" w:bidi="ar"/>
              </w:rPr>
              <w:t>/</w:t>
            </w:r>
          </w:p>
        </w:tc>
      </w:tr>
      <w:tr w14:paraId="7F2F6E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428" w:type="dxa"/>
            <w:tcBorders>
              <w:top w:val="single" w:color="auto" w:sz="4" w:space="0"/>
              <w:left w:val="single" w:color="auto" w:sz="8" w:space="0"/>
              <w:bottom w:val="single" w:color="auto" w:sz="4" w:space="0"/>
              <w:right w:val="single" w:color="auto" w:sz="4" w:space="0"/>
            </w:tcBorders>
            <w:noWrap w:val="0"/>
            <w:vAlign w:val="center"/>
          </w:tcPr>
          <w:p w14:paraId="3DB745B3">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地址</w:t>
            </w:r>
          </w:p>
        </w:tc>
        <w:tc>
          <w:tcPr>
            <w:tcW w:w="7419" w:type="dxa"/>
            <w:gridSpan w:val="6"/>
            <w:tcBorders>
              <w:top w:val="single" w:color="auto" w:sz="4" w:space="0"/>
              <w:left w:val="single" w:color="auto" w:sz="4" w:space="0"/>
              <w:bottom w:val="single" w:color="auto" w:sz="4" w:space="0"/>
              <w:right w:val="single" w:color="auto" w:sz="8" w:space="0"/>
            </w:tcBorders>
            <w:noWrap w:val="0"/>
            <w:vAlign w:val="center"/>
          </w:tcPr>
          <w:p w14:paraId="39E5DCC4">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val="en-US" w:eastAsia="zh-CN" w:bidi="ar"/>
              </w:rPr>
            </w:pPr>
            <w:r>
              <w:rPr>
                <w:rFonts w:hint="eastAsia" w:ascii="Times New Roman" w:hAnsi="Times New Roman" w:eastAsia="宋体" w:cs="Times New Roman"/>
                <w:color w:val="000000"/>
                <w:szCs w:val="21"/>
                <w:lang w:val="en-US" w:eastAsia="zh-CN" w:bidi="ar"/>
              </w:rPr>
              <w:t>绥宁县长铺镇人民路11号</w:t>
            </w:r>
          </w:p>
        </w:tc>
      </w:tr>
      <w:tr w14:paraId="25791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428" w:type="dxa"/>
            <w:tcBorders>
              <w:top w:val="single" w:color="auto" w:sz="4" w:space="0"/>
              <w:left w:val="single" w:color="auto" w:sz="8" w:space="0"/>
              <w:bottom w:val="single" w:color="auto" w:sz="4" w:space="0"/>
              <w:right w:val="single" w:color="auto" w:sz="4" w:space="0"/>
            </w:tcBorders>
            <w:noWrap w:val="0"/>
            <w:vAlign w:val="center"/>
          </w:tcPr>
          <w:p w14:paraId="28B3B0B8">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预案名称</w:t>
            </w:r>
          </w:p>
        </w:tc>
        <w:tc>
          <w:tcPr>
            <w:tcW w:w="7419" w:type="dxa"/>
            <w:gridSpan w:val="6"/>
            <w:tcBorders>
              <w:top w:val="single" w:color="auto" w:sz="4" w:space="0"/>
              <w:left w:val="single" w:color="auto" w:sz="4" w:space="0"/>
              <w:bottom w:val="single" w:color="auto" w:sz="4" w:space="0"/>
              <w:right w:val="single" w:color="auto" w:sz="8" w:space="0"/>
            </w:tcBorders>
            <w:noWrap w:val="0"/>
            <w:vAlign w:val="center"/>
          </w:tcPr>
          <w:p w14:paraId="7309C2C5">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eastAsia="zh-CN" w:bidi="ar"/>
              </w:rPr>
            </w:pPr>
            <w:r>
              <w:rPr>
                <w:rFonts w:hint="eastAsia" w:ascii="Times New Roman" w:hAnsi="Times New Roman" w:eastAsia="宋体" w:cs="Times New Roman"/>
                <w:color w:val="000000"/>
                <w:szCs w:val="21"/>
                <w:lang w:val="en-US" w:eastAsia="zh-CN" w:bidi="ar"/>
              </w:rPr>
              <w:t>绥宁县关峡苗族乡兰溪水饮用水</w:t>
            </w:r>
            <w:r>
              <w:rPr>
                <w:rFonts w:hint="eastAsia" w:ascii="Times New Roman" w:hAnsi="Times New Roman" w:eastAsia="宋体" w:cs="Times New Roman"/>
                <w:color w:val="000000"/>
                <w:szCs w:val="21"/>
                <w:lang w:eastAsia="zh-CN" w:bidi="ar"/>
              </w:rPr>
              <w:t>水源地保护区突发环境事件应急预案</w:t>
            </w:r>
          </w:p>
          <w:p w14:paraId="5BD0BE6F">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eastAsia="zh-CN" w:bidi="ar"/>
              </w:rPr>
            </w:pPr>
            <w:r>
              <w:rPr>
                <w:rFonts w:hint="eastAsia" w:ascii="Times New Roman" w:hAnsi="Times New Roman" w:eastAsia="宋体" w:cs="Times New Roman"/>
                <w:color w:val="000000"/>
                <w:szCs w:val="21"/>
                <w:lang w:eastAsia="zh-CN" w:bidi="ar"/>
              </w:rPr>
              <w:t>（第一次修订，2024年版）</w:t>
            </w:r>
          </w:p>
        </w:tc>
      </w:tr>
      <w:tr w14:paraId="0CAA2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428" w:type="dxa"/>
            <w:tcBorders>
              <w:top w:val="single" w:color="auto" w:sz="4" w:space="0"/>
              <w:left w:val="single" w:color="auto" w:sz="8" w:space="0"/>
              <w:bottom w:val="single" w:color="auto" w:sz="4" w:space="0"/>
              <w:right w:val="single" w:color="auto" w:sz="4" w:space="0"/>
            </w:tcBorders>
            <w:noWrap w:val="0"/>
            <w:vAlign w:val="center"/>
          </w:tcPr>
          <w:p w14:paraId="338F79F4">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风险级别</w:t>
            </w:r>
          </w:p>
        </w:tc>
        <w:tc>
          <w:tcPr>
            <w:tcW w:w="7419" w:type="dxa"/>
            <w:gridSpan w:val="6"/>
            <w:tcBorders>
              <w:top w:val="single" w:color="auto" w:sz="4" w:space="0"/>
              <w:left w:val="single" w:color="auto" w:sz="4" w:space="0"/>
              <w:bottom w:val="single" w:color="auto" w:sz="4" w:space="0"/>
              <w:right w:val="single" w:color="auto" w:sz="8" w:space="0"/>
            </w:tcBorders>
            <w:noWrap w:val="0"/>
            <w:vAlign w:val="center"/>
          </w:tcPr>
          <w:p w14:paraId="74FB9BE3">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center"/>
              <w:rPr>
                <w:rFonts w:hint="eastAsia" w:ascii="Times New Roman" w:hAnsi="Times New Roman" w:eastAsia="宋体" w:cs="Times New Roman"/>
                <w:color w:val="000000"/>
                <w:szCs w:val="21"/>
                <w:lang w:bidi="ar"/>
              </w:rPr>
            </w:pPr>
          </w:p>
        </w:tc>
      </w:tr>
      <w:tr w14:paraId="2956D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5" w:hRule="atLeast"/>
        </w:trPr>
        <w:tc>
          <w:tcPr>
            <w:tcW w:w="8847" w:type="dxa"/>
            <w:gridSpan w:val="7"/>
            <w:tcBorders>
              <w:top w:val="single" w:color="auto" w:sz="4" w:space="0"/>
              <w:left w:val="single" w:color="auto" w:sz="8" w:space="0"/>
              <w:bottom w:val="single" w:color="auto" w:sz="4" w:space="0"/>
              <w:right w:val="single" w:color="auto" w:sz="8" w:space="0"/>
            </w:tcBorders>
            <w:noWrap w:val="0"/>
            <w:vAlign w:val="center"/>
          </w:tcPr>
          <w:p w14:paraId="30EF841A">
            <w:pPr>
              <w:pBdr>
                <w:top w:val="none" w:color="auto" w:sz="0" w:space="1"/>
                <w:left w:val="none" w:color="auto" w:sz="0" w:space="4"/>
                <w:bottom w:val="none" w:color="auto" w:sz="0" w:space="1"/>
                <w:right w:val="none" w:color="auto" w:sz="0" w:space="4"/>
              </w:pBdr>
              <w:adjustRightInd w:val="0"/>
              <w:snapToGrid w:val="0"/>
              <w:spacing w:before="62" w:beforeLines="20" w:after="62" w:afterLines="20" w:line="360" w:lineRule="auto"/>
              <w:ind w:firstLine="240" w:firstLineChars="100"/>
              <w:jc w:val="left"/>
              <w:rPr>
                <w:rFonts w:hint="eastAsia" w:ascii="Times New Roman" w:hAnsi="Times New Roman" w:eastAsia="宋体" w:cs="Times New Roman"/>
                <w:color w:val="000000"/>
                <w:szCs w:val="21"/>
                <w:lang w:bidi="ar"/>
              </w:rPr>
            </w:pPr>
          </w:p>
          <w:p w14:paraId="782421AC">
            <w:pPr>
              <w:pBdr>
                <w:top w:val="none" w:color="auto" w:sz="0" w:space="1"/>
                <w:left w:val="none" w:color="auto" w:sz="0" w:space="4"/>
                <w:bottom w:val="none" w:color="auto" w:sz="0" w:space="1"/>
                <w:right w:val="none" w:color="auto" w:sz="0" w:space="4"/>
              </w:pBdr>
              <w:adjustRightInd w:val="0"/>
              <w:snapToGrid w:val="0"/>
              <w:spacing w:before="62" w:beforeLines="20" w:after="62" w:afterLines="20" w:line="360" w:lineRule="auto"/>
              <w:ind w:firstLine="480" w:firstLineChars="200"/>
              <w:jc w:val="left"/>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本单位于</w:t>
            </w:r>
            <w:r>
              <w:rPr>
                <w:rFonts w:hint="eastAsia" w:ascii="Times New Roman" w:hAnsi="Times New Roman" w:eastAsia="宋体" w:cs="Times New Roman"/>
                <w:color w:val="000000"/>
                <w:szCs w:val="21"/>
                <w:lang w:val="en-US" w:eastAsia="zh-CN" w:bidi="ar"/>
              </w:rPr>
              <w:t xml:space="preserve">   </w:t>
            </w:r>
            <w:r>
              <w:rPr>
                <w:rFonts w:hint="eastAsia" w:ascii="Times New Roman" w:hAnsi="Times New Roman" w:eastAsia="宋体" w:cs="Times New Roman"/>
                <w:color w:val="000000"/>
                <w:szCs w:val="21"/>
                <w:lang w:bidi="ar"/>
              </w:rPr>
              <w:t>年</w:t>
            </w:r>
            <w:r>
              <w:rPr>
                <w:rFonts w:hint="eastAsia" w:ascii="Times New Roman" w:hAnsi="Times New Roman" w:eastAsia="宋体" w:cs="Times New Roman"/>
                <w:color w:val="000000"/>
                <w:szCs w:val="21"/>
                <w:lang w:val="en-US" w:eastAsia="zh-CN" w:bidi="ar"/>
              </w:rPr>
              <w:t xml:space="preserve">  </w:t>
            </w:r>
            <w:r>
              <w:rPr>
                <w:rFonts w:hint="eastAsia" w:ascii="Times New Roman" w:hAnsi="Times New Roman" w:eastAsia="宋体" w:cs="Times New Roman"/>
                <w:color w:val="000000"/>
                <w:szCs w:val="21"/>
                <w:lang w:bidi="ar"/>
              </w:rPr>
              <w:t>月   日签署发布了突发环境事件应急预案，备案条件具备，备案文件齐全，现报送备案。</w:t>
            </w:r>
          </w:p>
          <w:p w14:paraId="0AE6BD01">
            <w:pPr>
              <w:pBdr>
                <w:top w:val="none" w:color="auto" w:sz="0" w:space="1"/>
                <w:left w:val="none" w:color="auto" w:sz="0" w:space="4"/>
                <w:bottom w:val="none" w:color="auto" w:sz="0" w:space="1"/>
                <w:right w:val="none" w:color="auto" w:sz="0" w:space="4"/>
              </w:pBdr>
              <w:adjustRightInd w:val="0"/>
              <w:snapToGrid w:val="0"/>
              <w:spacing w:before="62" w:beforeLines="20" w:after="62" w:afterLines="20" w:line="360" w:lineRule="auto"/>
              <w:ind w:firstLine="480" w:firstLineChars="200"/>
              <w:jc w:val="left"/>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本单位承诺，本单位在办理备案中所提供的相关文件及其信息均经本单位确认真实，无虚假，且未隐瞒事实。</w:t>
            </w:r>
          </w:p>
          <w:p w14:paraId="3FB06216">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3D91B540">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3B554E00">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6B37CDED">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7E6FD519">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hint="eastAsia" w:ascii="Times New Roman" w:hAnsi="Times New Roman" w:eastAsia="宋体" w:cs="Times New Roman"/>
                <w:color w:val="000000"/>
                <w:szCs w:val="21"/>
                <w:lang w:bidi="ar"/>
              </w:rPr>
            </w:pPr>
          </w:p>
          <w:p w14:paraId="08563F15">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49798BFC">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44BAC1B0">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p>
          <w:p w14:paraId="7676CC21">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 xml:space="preserve">                            预案制定单位（公章）</w:t>
            </w:r>
          </w:p>
        </w:tc>
      </w:tr>
      <w:tr w14:paraId="3D76D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5" w:type="dxa"/>
            <w:gridSpan w:val="2"/>
            <w:tcBorders>
              <w:top w:val="single" w:color="auto" w:sz="4" w:space="0"/>
              <w:left w:val="single" w:color="auto" w:sz="8" w:space="0"/>
              <w:bottom w:val="single" w:color="auto" w:sz="8" w:space="0"/>
              <w:right w:val="single" w:color="auto" w:sz="4" w:space="0"/>
            </w:tcBorders>
            <w:noWrap w:val="0"/>
            <w:vAlign w:val="center"/>
          </w:tcPr>
          <w:p w14:paraId="0BE74919">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left"/>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预案签署人</w:t>
            </w:r>
          </w:p>
        </w:tc>
        <w:tc>
          <w:tcPr>
            <w:tcW w:w="4173" w:type="dxa"/>
            <w:gridSpan w:val="2"/>
            <w:tcBorders>
              <w:top w:val="single" w:color="auto" w:sz="4" w:space="0"/>
              <w:left w:val="single" w:color="auto" w:sz="4" w:space="0"/>
              <w:bottom w:val="single" w:color="auto" w:sz="8" w:space="0"/>
              <w:right w:val="single" w:color="auto" w:sz="4" w:space="0"/>
            </w:tcBorders>
            <w:noWrap w:val="0"/>
            <w:vAlign w:val="center"/>
          </w:tcPr>
          <w:p w14:paraId="6F35B211">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center"/>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 xml:space="preserve"> </w:t>
            </w:r>
          </w:p>
        </w:tc>
        <w:tc>
          <w:tcPr>
            <w:tcW w:w="1272" w:type="dxa"/>
            <w:gridSpan w:val="2"/>
            <w:tcBorders>
              <w:top w:val="single" w:color="auto" w:sz="4" w:space="0"/>
              <w:left w:val="single" w:color="auto" w:sz="4" w:space="0"/>
              <w:bottom w:val="single" w:color="auto" w:sz="8" w:space="0"/>
              <w:right w:val="single" w:color="auto" w:sz="4" w:space="0"/>
            </w:tcBorders>
            <w:noWrap w:val="0"/>
            <w:vAlign w:val="center"/>
          </w:tcPr>
          <w:p w14:paraId="320E8994">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left"/>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报送时间</w:t>
            </w:r>
          </w:p>
        </w:tc>
        <w:tc>
          <w:tcPr>
            <w:tcW w:w="1837" w:type="dxa"/>
            <w:tcBorders>
              <w:top w:val="single" w:color="auto" w:sz="4" w:space="0"/>
              <w:left w:val="single" w:color="auto" w:sz="4" w:space="0"/>
              <w:bottom w:val="single" w:color="auto" w:sz="8" w:space="0"/>
              <w:right w:val="single" w:color="auto" w:sz="8" w:space="0"/>
            </w:tcBorders>
            <w:noWrap w:val="0"/>
            <w:vAlign w:val="center"/>
          </w:tcPr>
          <w:p w14:paraId="24E1F116">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hint="eastAsia" w:ascii="Times New Roman" w:hAnsi="Times New Roman" w:eastAsia="宋体" w:cs="Times New Roman"/>
                <w:color w:val="000000"/>
                <w:szCs w:val="21"/>
                <w:lang w:bidi="ar"/>
              </w:rPr>
            </w:pPr>
            <w:r>
              <w:rPr>
                <w:rFonts w:hint="eastAsia" w:ascii="Times New Roman" w:hAnsi="Times New Roman" w:eastAsia="宋体" w:cs="Times New Roman"/>
                <w:color w:val="000000"/>
                <w:szCs w:val="21"/>
                <w:lang w:bidi="ar"/>
              </w:rPr>
              <w:t xml:space="preserve"> </w:t>
            </w:r>
          </w:p>
        </w:tc>
      </w:tr>
    </w:tbl>
    <w:tbl>
      <w:tblPr>
        <w:tblStyle w:val="20"/>
        <w:tblpPr w:leftFromText="180" w:rightFromText="180" w:vertAnchor="text" w:horzAnchor="margin" w:tblpX="107" w:tblpY="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3021"/>
        <w:gridCol w:w="1590"/>
        <w:gridCol w:w="2964"/>
      </w:tblGrid>
      <w:tr w14:paraId="4A332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8" w:hRule="atLeast"/>
        </w:trPr>
        <w:tc>
          <w:tcPr>
            <w:tcW w:w="1272" w:type="dxa"/>
            <w:tcBorders>
              <w:top w:val="single" w:color="auto" w:sz="8" w:space="0"/>
              <w:left w:val="single" w:color="auto" w:sz="8" w:space="0"/>
              <w:bottom w:val="single" w:color="auto" w:sz="4" w:space="0"/>
              <w:right w:val="single" w:color="auto" w:sz="4" w:space="0"/>
            </w:tcBorders>
            <w:noWrap w:val="0"/>
            <w:vAlign w:val="center"/>
          </w:tcPr>
          <w:p w14:paraId="2DD3E727">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突发环境</w:t>
            </w:r>
          </w:p>
          <w:p w14:paraId="3977AC39">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事件应急</w:t>
            </w:r>
          </w:p>
          <w:p w14:paraId="7AE92C2D">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预案备案</w:t>
            </w:r>
          </w:p>
          <w:p w14:paraId="4C49FA8B">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文件目录</w:t>
            </w:r>
          </w:p>
        </w:tc>
        <w:tc>
          <w:tcPr>
            <w:tcW w:w="7575" w:type="dxa"/>
            <w:gridSpan w:val="3"/>
            <w:tcBorders>
              <w:top w:val="single" w:color="auto" w:sz="8" w:space="0"/>
              <w:left w:val="single" w:color="auto" w:sz="4" w:space="0"/>
              <w:bottom w:val="single" w:color="auto" w:sz="4" w:space="0"/>
              <w:right w:val="single" w:color="auto" w:sz="8" w:space="0"/>
            </w:tcBorders>
            <w:noWrap w:val="0"/>
            <w:vAlign w:val="top"/>
          </w:tcPr>
          <w:p w14:paraId="7899FCD7">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lang w:bidi="ar"/>
              </w:rPr>
              <w:t>1.突发环境事件应急预案备案表；</w:t>
            </w:r>
          </w:p>
          <w:p w14:paraId="0EC1817D">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lang w:bidi="ar"/>
              </w:rPr>
              <w:t>2.环境应急预案及编制说明：</w:t>
            </w:r>
          </w:p>
          <w:p w14:paraId="3CE1445D">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lang w:bidi="ar"/>
              </w:rPr>
              <w:t>环境应急预案（签署发布文件、环境应急预案文本）；</w:t>
            </w:r>
          </w:p>
          <w:p w14:paraId="1DE84A56">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240" w:firstLineChars="100"/>
              <w:jc w:val="left"/>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lang w:bidi="ar"/>
              </w:rPr>
              <w:t>编制说明（编制过程概述、重点内容说明、征求意见及采纳情况说明、评审情况说明）；</w:t>
            </w:r>
          </w:p>
          <w:p w14:paraId="5E345792">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lang w:bidi="ar"/>
              </w:rPr>
              <w:t>3.环境风险评估报告；</w:t>
            </w:r>
          </w:p>
          <w:p w14:paraId="12C2DB3B">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highlight w:val="none"/>
              </w:rPr>
            </w:pPr>
            <w:r>
              <w:rPr>
                <w:rFonts w:ascii="Times New Roman" w:hAnsi="Times New Roman" w:eastAsia="宋体" w:cs="Times New Roman"/>
                <w:color w:val="000000"/>
                <w:szCs w:val="21"/>
                <w:highlight w:val="none"/>
                <w:lang w:bidi="ar"/>
              </w:rPr>
              <w:t>4.环境应急资源调查报告；</w:t>
            </w:r>
          </w:p>
          <w:p w14:paraId="0E9CFEB8">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highlight w:val="none"/>
                <w:lang w:bidi="ar"/>
              </w:rPr>
              <w:t>5.环境应急预案评审意见。</w:t>
            </w:r>
          </w:p>
        </w:tc>
      </w:tr>
      <w:tr w14:paraId="704743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9" w:hRule="atLeast"/>
        </w:trPr>
        <w:tc>
          <w:tcPr>
            <w:tcW w:w="1272" w:type="dxa"/>
            <w:tcBorders>
              <w:top w:val="single" w:color="auto" w:sz="4" w:space="0"/>
              <w:left w:val="single" w:color="auto" w:sz="8" w:space="0"/>
              <w:bottom w:val="single" w:color="auto" w:sz="4" w:space="0"/>
              <w:right w:val="single" w:color="auto" w:sz="4" w:space="0"/>
            </w:tcBorders>
            <w:noWrap w:val="0"/>
            <w:vAlign w:val="center"/>
          </w:tcPr>
          <w:p w14:paraId="78A04133">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备案意见</w:t>
            </w:r>
          </w:p>
        </w:tc>
        <w:tc>
          <w:tcPr>
            <w:tcW w:w="7575" w:type="dxa"/>
            <w:gridSpan w:val="3"/>
            <w:tcBorders>
              <w:top w:val="single" w:color="auto" w:sz="4" w:space="0"/>
              <w:left w:val="single" w:color="auto" w:sz="4" w:space="0"/>
              <w:bottom w:val="single" w:color="auto" w:sz="4" w:space="0"/>
              <w:right w:val="single" w:color="auto" w:sz="8" w:space="0"/>
            </w:tcBorders>
            <w:noWrap w:val="0"/>
            <w:vAlign w:val="top"/>
          </w:tcPr>
          <w:p w14:paraId="5DFF3124">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rPr>
            </w:pPr>
          </w:p>
          <w:p w14:paraId="2B663D3E">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该单位的突发环境事件应急预案备案文件已于</w:t>
            </w:r>
            <w:r>
              <w:rPr>
                <w:rFonts w:hint="eastAsia" w:ascii="Times New Roman" w:hAnsi="Times New Roman" w:eastAsia="宋体" w:cs="Times New Roman"/>
                <w:color w:val="000000"/>
                <w:szCs w:val="21"/>
                <w:u w:val="single"/>
                <w:lang w:bidi="ar"/>
              </w:rPr>
              <w:t xml:space="preserve">     </w:t>
            </w:r>
            <w:r>
              <w:rPr>
                <w:rFonts w:ascii="Times New Roman" w:hAnsi="Times New Roman" w:eastAsia="宋体" w:cs="Times New Roman"/>
                <w:color w:val="000000"/>
                <w:szCs w:val="21"/>
                <w:lang w:bidi="ar"/>
              </w:rPr>
              <w:t>年</w:t>
            </w:r>
            <w:r>
              <w:rPr>
                <w:rFonts w:hint="eastAsia" w:ascii="Times New Roman" w:hAnsi="Times New Roman" w:eastAsia="宋体" w:cs="Times New Roman"/>
                <w:color w:val="000000"/>
                <w:szCs w:val="21"/>
                <w:u w:val="single"/>
                <w:lang w:bidi="ar"/>
              </w:rPr>
              <w:t xml:space="preserve">   </w:t>
            </w:r>
            <w:r>
              <w:rPr>
                <w:rFonts w:ascii="Times New Roman" w:hAnsi="Times New Roman" w:eastAsia="宋体" w:cs="Times New Roman"/>
                <w:color w:val="000000"/>
                <w:szCs w:val="21"/>
                <w:lang w:bidi="ar"/>
              </w:rPr>
              <w:t>月</w:t>
            </w:r>
            <w:r>
              <w:rPr>
                <w:rFonts w:hint="eastAsia" w:ascii="Times New Roman" w:hAnsi="Times New Roman" w:eastAsia="宋体" w:cs="Times New Roman"/>
                <w:color w:val="000000"/>
                <w:szCs w:val="21"/>
                <w:u w:val="single"/>
                <w:lang w:bidi="ar"/>
              </w:rPr>
              <w:t xml:space="preserve">   </w:t>
            </w:r>
            <w:r>
              <w:rPr>
                <w:rFonts w:ascii="Times New Roman" w:hAnsi="Times New Roman" w:eastAsia="宋体" w:cs="Times New Roman"/>
                <w:color w:val="000000"/>
                <w:szCs w:val="21"/>
                <w:lang w:bidi="ar"/>
              </w:rPr>
              <w:t>日收讫，文件齐全，予以备案。</w:t>
            </w:r>
          </w:p>
          <w:p w14:paraId="6725F698">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right="416" w:firstLine="480" w:firstLineChars="200"/>
              <w:jc w:val="right"/>
              <w:rPr>
                <w:rFonts w:ascii="Times New Roman" w:hAnsi="Times New Roman" w:eastAsia="宋体" w:cs="Times New Roman"/>
                <w:color w:val="000000"/>
                <w:szCs w:val="21"/>
              </w:rPr>
            </w:pPr>
          </w:p>
          <w:p w14:paraId="4C669E02">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right="416" w:firstLine="480" w:firstLineChars="200"/>
              <w:jc w:val="right"/>
              <w:rPr>
                <w:rFonts w:ascii="Times New Roman" w:hAnsi="Times New Roman" w:eastAsia="宋体" w:cs="Times New Roman"/>
                <w:color w:val="000000"/>
                <w:szCs w:val="21"/>
              </w:rPr>
            </w:pPr>
          </w:p>
          <w:p w14:paraId="6CA054EA">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right="416" w:firstLine="480" w:firstLineChars="200"/>
              <w:jc w:val="right"/>
              <w:rPr>
                <w:rFonts w:ascii="Times New Roman" w:hAnsi="Times New Roman" w:eastAsia="宋体" w:cs="Times New Roman"/>
                <w:color w:val="000000"/>
                <w:szCs w:val="21"/>
              </w:rPr>
            </w:pPr>
          </w:p>
          <w:p w14:paraId="68F7A40F">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right="416" w:firstLine="480" w:firstLineChars="200"/>
              <w:jc w:val="right"/>
              <w:rPr>
                <w:rFonts w:ascii="Times New Roman" w:hAnsi="Times New Roman" w:eastAsia="宋体" w:cs="Times New Roman"/>
                <w:color w:val="000000"/>
                <w:szCs w:val="21"/>
              </w:rPr>
            </w:pPr>
          </w:p>
          <w:p w14:paraId="7E1A6EF1">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right="416" w:firstLine="480" w:firstLineChars="200"/>
              <w:jc w:val="right"/>
              <w:rPr>
                <w:rFonts w:ascii="Times New Roman" w:hAnsi="Times New Roman" w:eastAsia="宋体" w:cs="Times New Roman"/>
                <w:color w:val="000000"/>
                <w:szCs w:val="21"/>
              </w:rPr>
            </w:pPr>
          </w:p>
          <w:p w14:paraId="3B97DFFC">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right="416" w:firstLine="480" w:firstLineChars="200"/>
              <w:jc w:val="right"/>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备案受理部门（公章）</w:t>
            </w:r>
          </w:p>
          <w:p w14:paraId="2F17F145">
            <w:pPr>
              <w:pBdr>
                <w:top w:val="none" w:color="auto" w:sz="0" w:space="1"/>
                <w:left w:val="none" w:color="auto" w:sz="0" w:space="4"/>
                <w:bottom w:val="none" w:color="auto" w:sz="0" w:space="1"/>
                <w:right w:val="none" w:color="auto" w:sz="0" w:space="4"/>
              </w:pBdr>
              <w:wordWrap w:val="0"/>
              <w:adjustRightInd w:val="0"/>
              <w:snapToGrid w:val="0"/>
              <w:spacing w:before="62" w:beforeLines="20" w:after="62" w:afterLines="20" w:line="300" w:lineRule="atLeast"/>
              <w:ind w:right="296" w:firstLine="480" w:firstLineChars="200"/>
              <w:jc w:val="right"/>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年</w:t>
            </w:r>
            <w:r>
              <w:rPr>
                <w:rFonts w:hint="eastAsia" w:ascii="Times New Roman" w:hAnsi="Times New Roman" w:eastAsia="宋体" w:cs="Times New Roman"/>
                <w:color w:val="000000"/>
                <w:szCs w:val="21"/>
                <w:lang w:bidi="ar"/>
              </w:rPr>
              <w:t xml:space="preserve">  </w:t>
            </w:r>
            <w:r>
              <w:rPr>
                <w:rFonts w:ascii="Times New Roman" w:hAnsi="Times New Roman" w:eastAsia="宋体" w:cs="Times New Roman"/>
                <w:color w:val="000000"/>
                <w:szCs w:val="21"/>
                <w:lang w:bidi="ar"/>
              </w:rPr>
              <w:t>月</w:t>
            </w:r>
            <w:r>
              <w:rPr>
                <w:rFonts w:hint="eastAsia" w:ascii="Times New Roman" w:hAnsi="Times New Roman" w:eastAsia="宋体" w:cs="Times New Roman"/>
                <w:color w:val="000000"/>
                <w:szCs w:val="21"/>
                <w:lang w:bidi="ar"/>
              </w:rPr>
              <w:t xml:space="preserve">  </w:t>
            </w:r>
            <w:r>
              <w:rPr>
                <w:rFonts w:ascii="Times New Roman" w:hAnsi="Times New Roman" w:eastAsia="宋体" w:cs="Times New Roman"/>
                <w:color w:val="000000"/>
                <w:szCs w:val="21"/>
                <w:lang w:bidi="ar"/>
              </w:rPr>
              <w:t>日</w:t>
            </w:r>
          </w:p>
        </w:tc>
      </w:tr>
      <w:tr w14:paraId="7E5D8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2" w:type="dxa"/>
            <w:tcBorders>
              <w:top w:val="single" w:color="auto" w:sz="4" w:space="0"/>
              <w:left w:val="single" w:color="auto" w:sz="8" w:space="0"/>
              <w:bottom w:val="single" w:color="auto" w:sz="4" w:space="0"/>
              <w:right w:val="single" w:color="auto" w:sz="4" w:space="0"/>
            </w:tcBorders>
            <w:noWrap w:val="0"/>
            <w:vAlign w:val="center"/>
          </w:tcPr>
          <w:p w14:paraId="26DBE16E">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备案编号</w:t>
            </w:r>
          </w:p>
        </w:tc>
        <w:tc>
          <w:tcPr>
            <w:tcW w:w="7575" w:type="dxa"/>
            <w:gridSpan w:val="3"/>
            <w:tcBorders>
              <w:top w:val="single" w:color="auto" w:sz="4" w:space="0"/>
              <w:left w:val="single" w:color="auto" w:sz="4" w:space="0"/>
              <w:bottom w:val="single" w:color="auto" w:sz="4" w:space="0"/>
              <w:right w:val="single" w:color="auto" w:sz="8" w:space="0"/>
            </w:tcBorders>
            <w:noWrap w:val="0"/>
            <w:vAlign w:val="top"/>
          </w:tcPr>
          <w:p w14:paraId="3F9F5695">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 </w:t>
            </w:r>
          </w:p>
        </w:tc>
      </w:tr>
      <w:tr w14:paraId="1ABE40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2" w:type="dxa"/>
            <w:tcBorders>
              <w:top w:val="single" w:color="auto" w:sz="4" w:space="0"/>
              <w:left w:val="single" w:color="auto" w:sz="8" w:space="0"/>
              <w:bottom w:val="single" w:color="auto" w:sz="4" w:space="0"/>
              <w:right w:val="single" w:color="auto" w:sz="4" w:space="0"/>
            </w:tcBorders>
            <w:noWrap w:val="0"/>
            <w:vAlign w:val="center"/>
          </w:tcPr>
          <w:p w14:paraId="7372CE1A">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报送单位</w:t>
            </w:r>
          </w:p>
        </w:tc>
        <w:tc>
          <w:tcPr>
            <w:tcW w:w="7575" w:type="dxa"/>
            <w:gridSpan w:val="3"/>
            <w:tcBorders>
              <w:top w:val="single" w:color="auto" w:sz="4" w:space="0"/>
              <w:left w:val="single" w:color="auto" w:sz="4" w:space="0"/>
              <w:bottom w:val="single" w:color="auto" w:sz="4" w:space="0"/>
              <w:right w:val="single" w:color="auto" w:sz="8" w:space="0"/>
            </w:tcBorders>
            <w:noWrap w:val="0"/>
            <w:vAlign w:val="top"/>
          </w:tcPr>
          <w:p w14:paraId="20C4645F">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邵阳市生态环境局绥宁分局</w:t>
            </w:r>
          </w:p>
        </w:tc>
      </w:tr>
      <w:tr w14:paraId="6BC9C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272" w:type="dxa"/>
            <w:tcBorders>
              <w:top w:val="single" w:color="auto" w:sz="4" w:space="0"/>
              <w:left w:val="single" w:color="auto" w:sz="8" w:space="0"/>
              <w:bottom w:val="single" w:color="auto" w:sz="8" w:space="0"/>
              <w:right w:val="single" w:color="auto" w:sz="4" w:space="0"/>
            </w:tcBorders>
            <w:noWrap w:val="0"/>
            <w:vAlign w:val="center"/>
          </w:tcPr>
          <w:p w14:paraId="682C8406">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受理部门</w:t>
            </w:r>
          </w:p>
          <w:p w14:paraId="6A9FAFC0">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0" w:firstLineChars="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负责人</w:t>
            </w:r>
          </w:p>
        </w:tc>
        <w:tc>
          <w:tcPr>
            <w:tcW w:w="3021" w:type="dxa"/>
            <w:tcBorders>
              <w:top w:val="single" w:color="auto" w:sz="4" w:space="0"/>
              <w:left w:val="single" w:color="auto" w:sz="4" w:space="0"/>
              <w:bottom w:val="single" w:color="auto" w:sz="8" w:space="0"/>
              <w:right w:val="single" w:color="auto" w:sz="4" w:space="0"/>
            </w:tcBorders>
            <w:noWrap w:val="0"/>
            <w:vAlign w:val="center"/>
          </w:tcPr>
          <w:p w14:paraId="02753AD8">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 </w:t>
            </w:r>
          </w:p>
        </w:tc>
        <w:tc>
          <w:tcPr>
            <w:tcW w:w="1590" w:type="dxa"/>
            <w:tcBorders>
              <w:top w:val="single" w:color="auto" w:sz="4" w:space="0"/>
              <w:left w:val="single" w:color="auto" w:sz="4" w:space="0"/>
              <w:bottom w:val="single" w:color="auto" w:sz="8" w:space="0"/>
              <w:right w:val="single" w:color="auto" w:sz="4" w:space="0"/>
            </w:tcBorders>
            <w:noWrap w:val="0"/>
            <w:vAlign w:val="center"/>
          </w:tcPr>
          <w:p w14:paraId="40825C25">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left="0" w:leftChars="0" w:firstLine="240" w:firstLineChars="100"/>
              <w:jc w:val="both"/>
              <w:rPr>
                <w:rFonts w:ascii="Times New Roman" w:hAnsi="Times New Roman" w:eastAsia="宋体" w:cs="Times New Roman"/>
                <w:color w:val="000000"/>
                <w:szCs w:val="21"/>
              </w:rPr>
            </w:pPr>
            <w:r>
              <w:rPr>
                <w:rFonts w:ascii="Times New Roman" w:hAnsi="Times New Roman" w:eastAsia="宋体" w:cs="Times New Roman"/>
                <w:color w:val="000000"/>
                <w:szCs w:val="21"/>
                <w:lang w:bidi="ar"/>
              </w:rPr>
              <w:t>经办人</w:t>
            </w:r>
          </w:p>
        </w:tc>
        <w:tc>
          <w:tcPr>
            <w:tcW w:w="2964" w:type="dxa"/>
            <w:tcBorders>
              <w:top w:val="single" w:color="auto" w:sz="4" w:space="0"/>
              <w:left w:val="single" w:color="auto" w:sz="4" w:space="0"/>
              <w:bottom w:val="single" w:color="auto" w:sz="8" w:space="0"/>
              <w:right w:val="single" w:color="auto" w:sz="8" w:space="0"/>
            </w:tcBorders>
            <w:noWrap w:val="0"/>
            <w:vAlign w:val="center"/>
          </w:tcPr>
          <w:p w14:paraId="4BC29C8F">
            <w:pPr>
              <w:pBdr>
                <w:top w:val="none" w:color="auto" w:sz="0" w:space="1"/>
                <w:left w:val="none" w:color="auto" w:sz="0" w:space="4"/>
                <w:bottom w:val="none" w:color="auto" w:sz="0" w:space="1"/>
                <w:right w:val="none" w:color="auto" w:sz="0" w:space="4"/>
              </w:pBdr>
              <w:adjustRightInd w:val="0"/>
              <w:snapToGrid w:val="0"/>
              <w:spacing w:before="62" w:beforeLines="20" w:after="62" w:afterLines="20" w:line="300" w:lineRule="atLeast"/>
              <w:ind w:firstLine="480" w:firstLineChars="20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 </w:t>
            </w:r>
          </w:p>
        </w:tc>
      </w:tr>
    </w:tbl>
    <w:p w14:paraId="7BEE4759">
      <w:pPr>
        <w:pStyle w:val="2"/>
        <w:rPr>
          <w:rFonts w:ascii="Times New Roman" w:hAnsi="Times New Roman" w:eastAsia="宋体" w:cs="Times New Roman"/>
          <w:color w:val="000000"/>
          <w:szCs w:val="21"/>
          <w:lang w:bidi="ar"/>
        </w:rPr>
      </w:pPr>
      <w:r>
        <w:rPr>
          <w:rFonts w:ascii="Times New Roman" w:hAnsi="Times New Roman" w:eastAsia="宋体" w:cs="Times New Roman"/>
          <w:color w:val="000000"/>
          <w:szCs w:val="21"/>
          <w:lang w:bidi="ar"/>
        </w:rPr>
        <w:t>注：备案编号由企业所在地县级行政区划代码、年份、流水号、企业环境风险级别（一般L、较大M、重大H）及跨区域（T）表征字母组成。例如，河北省永年县**重大环境风险非跨区域企业环境应急预案2015年备案，是永年县环境保护局当年受理的第26个备案，则编号为：130429-2015-026-H；如果是跨区域的企业，则编号为：130429-2015-026-HT。</w:t>
      </w:r>
    </w:p>
    <w:p w14:paraId="0572243B">
      <w:pPr>
        <w:pStyle w:val="2"/>
        <w:rPr>
          <w:rFonts w:ascii="Times New Roman" w:hAnsi="Times New Roman" w:eastAsia="宋体" w:cs="Times New Roman"/>
          <w:color w:val="000000"/>
          <w:szCs w:val="21"/>
          <w:lang w:bidi="ar"/>
        </w:rPr>
      </w:pPr>
    </w:p>
    <w:p w14:paraId="71779837">
      <w:pPr>
        <w:pStyle w:val="2"/>
        <w:rPr>
          <w:rFonts w:ascii="Times New Roman" w:hAnsi="Times New Roman" w:eastAsia="宋体" w:cs="Times New Roman"/>
          <w:color w:val="000000"/>
          <w:szCs w:val="21"/>
          <w:lang w:bidi="ar"/>
        </w:rPr>
      </w:pPr>
    </w:p>
    <w:p w14:paraId="3D76ACE6">
      <w:pPr>
        <w:pStyle w:val="2"/>
        <w:rPr>
          <w:rFonts w:ascii="Times New Roman" w:hAnsi="Times New Roman" w:eastAsia="宋体" w:cs="Times New Roman"/>
          <w:color w:val="000000"/>
          <w:szCs w:val="21"/>
          <w:lang w:bidi="ar"/>
        </w:rPr>
      </w:pPr>
    </w:p>
    <w:p w14:paraId="7162E172">
      <w:pPr>
        <w:pStyle w:val="2"/>
        <w:rPr>
          <w:rFonts w:ascii="Times New Roman" w:hAnsi="Times New Roman" w:eastAsia="宋体" w:cs="Times New Roman"/>
          <w:color w:val="000000"/>
          <w:szCs w:val="21"/>
          <w:lang w:bidi="ar"/>
        </w:rPr>
      </w:pPr>
    </w:p>
    <w:p w14:paraId="04E5AF9E">
      <w:pPr>
        <w:pStyle w:val="2"/>
        <w:rPr>
          <w:rFonts w:ascii="Times New Roman" w:hAnsi="Times New Roman" w:eastAsia="宋体" w:cs="Times New Roman"/>
          <w:color w:val="000000"/>
          <w:szCs w:val="21"/>
          <w:lang w:bidi="ar"/>
        </w:rPr>
      </w:pPr>
    </w:p>
    <w:p w14:paraId="473D37D6">
      <w:pPr>
        <w:pStyle w:val="2"/>
        <w:rPr>
          <w:rFonts w:ascii="Times New Roman" w:hAnsi="Times New Roman" w:eastAsia="宋体" w:cs="Times New Roman"/>
          <w:color w:val="000000"/>
          <w:szCs w:val="21"/>
          <w:lang w:bidi="ar"/>
        </w:rPr>
      </w:pPr>
    </w:p>
    <w:p w14:paraId="293FC833">
      <w:pPr>
        <w:pStyle w:val="2"/>
        <w:rPr>
          <w:rFonts w:ascii="Times New Roman" w:hAnsi="Times New Roman" w:eastAsia="宋体" w:cs="Times New Roman"/>
          <w:color w:val="000000"/>
          <w:szCs w:val="21"/>
          <w:lang w:bidi="ar"/>
        </w:rPr>
      </w:pPr>
    </w:p>
    <w:p w14:paraId="2C9A5922">
      <w:pPr>
        <w:pStyle w:val="2"/>
        <w:rPr>
          <w:rFonts w:ascii="Times New Roman" w:hAnsi="Times New Roman" w:eastAsia="宋体" w:cs="Times New Roman"/>
          <w:color w:val="000000"/>
          <w:szCs w:val="21"/>
          <w:lang w:bidi="ar"/>
        </w:rPr>
      </w:pPr>
    </w:p>
    <w:p w14:paraId="6ADF75EF">
      <w:pPr>
        <w:pStyle w:val="2"/>
        <w:rPr>
          <w:rFonts w:ascii="Times New Roman" w:hAnsi="Times New Roman" w:eastAsia="宋体" w:cs="Times New Roman"/>
          <w:color w:val="000000"/>
          <w:szCs w:val="21"/>
          <w:lang w:bidi="ar"/>
        </w:rPr>
      </w:pPr>
    </w:p>
    <w:p w14:paraId="3806D6A6">
      <w:pPr>
        <w:pStyle w:val="2"/>
        <w:rPr>
          <w:rFonts w:ascii="Times New Roman" w:hAnsi="Times New Roman" w:eastAsia="宋体" w:cs="Times New Roman"/>
          <w:color w:val="000000"/>
          <w:szCs w:val="21"/>
          <w:lang w:bidi="ar"/>
        </w:rPr>
      </w:pPr>
    </w:p>
    <w:p w14:paraId="4918333F">
      <w:pPr>
        <w:pStyle w:val="2"/>
        <w:rPr>
          <w:rFonts w:ascii="Times New Roman" w:hAnsi="Times New Roman" w:eastAsia="宋体" w:cs="Times New Roman"/>
          <w:color w:val="000000"/>
          <w:szCs w:val="21"/>
          <w:lang w:bidi="ar"/>
        </w:rPr>
      </w:pPr>
    </w:p>
    <w:p w14:paraId="04DC623C">
      <w:pPr>
        <w:pStyle w:val="2"/>
        <w:rPr>
          <w:rFonts w:hint="eastAsia" w:ascii="Times New Roman" w:hAnsi="Times New Roman" w:eastAsia="宋体" w:cs="Times New Roman"/>
          <w:color w:val="000000"/>
          <w:szCs w:val="21"/>
          <w:lang w:bidi="ar"/>
        </w:rPr>
      </w:pPr>
    </w:p>
    <w:p w14:paraId="6C66237D">
      <w:pPr>
        <w:jc w:val="center"/>
        <w:rPr>
          <w:rFonts w:hint="eastAsia" w:eastAsia="黑体"/>
          <w:sz w:val="52"/>
          <w:szCs w:val="52"/>
        </w:rPr>
      </w:pPr>
      <w:r>
        <w:rPr>
          <w:rFonts w:hint="eastAsia" w:eastAsia="黑体"/>
          <w:sz w:val="52"/>
          <w:szCs w:val="52"/>
        </w:rPr>
        <w:t>应急预案编制人员名单</w:t>
      </w:r>
    </w:p>
    <w:tbl>
      <w:tblPr>
        <w:tblStyle w:val="20"/>
        <w:tblW w:w="0" w:type="auto"/>
        <w:jc w:val="center"/>
        <w:tblLayout w:type="fixed"/>
        <w:tblCellMar>
          <w:top w:w="0" w:type="dxa"/>
          <w:left w:w="108" w:type="dxa"/>
          <w:bottom w:w="0" w:type="dxa"/>
          <w:right w:w="108" w:type="dxa"/>
        </w:tblCellMar>
      </w:tblPr>
      <w:tblGrid>
        <w:gridCol w:w="2510"/>
        <w:gridCol w:w="280"/>
        <w:gridCol w:w="5780"/>
      </w:tblGrid>
      <w:tr w14:paraId="7E226A58">
        <w:tblPrEx>
          <w:tblCellMar>
            <w:top w:w="0" w:type="dxa"/>
            <w:left w:w="108" w:type="dxa"/>
            <w:bottom w:w="0" w:type="dxa"/>
            <w:right w:w="108" w:type="dxa"/>
          </w:tblCellMar>
        </w:tblPrEx>
        <w:trPr>
          <w:trHeight w:val="972" w:hRule="atLeast"/>
          <w:jc w:val="center"/>
        </w:trPr>
        <w:tc>
          <w:tcPr>
            <w:tcW w:w="2510" w:type="dxa"/>
          </w:tcPr>
          <w:p w14:paraId="3EB967E6">
            <w:pPr>
              <w:adjustRightInd w:val="0"/>
              <w:spacing w:before="120" w:after="120"/>
              <w:jc w:val="distribute"/>
              <w:rPr>
                <w:rFonts w:eastAsia="黑体"/>
                <w:b/>
                <w:sz w:val="30"/>
                <w:szCs w:val="30"/>
              </w:rPr>
            </w:pPr>
            <w:r>
              <w:rPr>
                <w:rFonts w:hint="eastAsia" w:eastAsia="黑体"/>
                <w:b/>
                <w:sz w:val="30"/>
                <w:szCs w:val="30"/>
              </w:rPr>
              <w:t>项目名称</w:t>
            </w:r>
          </w:p>
        </w:tc>
        <w:tc>
          <w:tcPr>
            <w:tcW w:w="280" w:type="dxa"/>
          </w:tcPr>
          <w:p w14:paraId="4CB028C9">
            <w:pPr>
              <w:adjustRightInd w:val="0"/>
              <w:spacing w:before="120" w:after="120"/>
              <w:jc w:val="center"/>
              <w:rPr>
                <w:rFonts w:eastAsia="楷体_GB2312"/>
                <w:b/>
                <w:sz w:val="30"/>
                <w:szCs w:val="30"/>
              </w:rPr>
            </w:pPr>
            <w:r>
              <w:rPr>
                <w:rFonts w:eastAsia="楷体_GB2312"/>
                <w:b/>
                <w:sz w:val="30"/>
                <w:szCs w:val="30"/>
              </w:rPr>
              <w:t>:</w:t>
            </w:r>
          </w:p>
        </w:tc>
        <w:tc>
          <w:tcPr>
            <w:tcW w:w="5780" w:type="dxa"/>
          </w:tcPr>
          <w:p w14:paraId="16B6F080">
            <w:pPr>
              <w:adjustRightInd w:val="0"/>
              <w:spacing w:before="120" w:after="120"/>
              <w:rPr>
                <w:sz w:val="30"/>
                <w:szCs w:val="30"/>
              </w:rPr>
            </w:pPr>
            <w:r>
              <w:rPr>
                <w:rFonts w:hint="eastAsia"/>
                <w:sz w:val="30"/>
                <w:szCs w:val="30"/>
              </w:rPr>
              <w:t>绥宁县关峡苗族乡兰溪水饮用水水源地保护区突发环境事件应急预案（第一次修订，</w:t>
            </w:r>
            <w:r>
              <w:rPr>
                <w:rFonts w:hint="eastAsia"/>
                <w:sz w:val="30"/>
                <w:szCs w:val="30"/>
                <w:lang w:eastAsia="zh-CN"/>
              </w:rPr>
              <w:t>2024年版</w:t>
            </w:r>
            <w:r>
              <w:rPr>
                <w:rFonts w:hint="eastAsia"/>
                <w:sz w:val="30"/>
                <w:szCs w:val="30"/>
              </w:rPr>
              <w:t>）</w:t>
            </w:r>
          </w:p>
        </w:tc>
      </w:tr>
      <w:tr w14:paraId="3FA8826D">
        <w:tblPrEx>
          <w:tblCellMar>
            <w:top w:w="0" w:type="dxa"/>
            <w:left w:w="108" w:type="dxa"/>
            <w:bottom w:w="0" w:type="dxa"/>
            <w:right w:w="108" w:type="dxa"/>
          </w:tblCellMar>
        </w:tblPrEx>
        <w:trPr>
          <w:jc w:val="center"/>
        </w:trPr>
        <w:tc>
          <w:tcPr>
            <w:tcW w:w="2510" w:type="dxa"/>
          </w:tcPr>
          <w:p w14:paraId="104A6B42">
            <w:pPr>
              <w:adjustRightInd w:val="0"/>
              <w:spacing w:before="120" w:after="120"/>
              <w:jc w:val="distribute"/>
              <w:rPr>
                <w:rFonts w:eastAsia="黑体"/>
                <w:b/>
                <w:sz w:val="30"/>
                <w:szCs w:val="30"/>
              </w:rPr>
            </w:pPr>
            <w:r>
              <w:rPr>
                <w:rFonts w:hint="eastAsia" w:eastAsia="黑体"/>
                <w:b/>
                <w:sz w:val="30"/>
                <w:szCs w:val="30"/>
              </w:rPr>
              <w:t>委托单位</w:t>
            </w:r>
          </w:p>
        </w:tc>
        <w:tc>
          <w:tcPr>
            <w:tcW w:w="280" w:type="dxa"/>
          </w:tcPr>
          <w:p w14:paraId="1F191634">
            <w:pPr>
              <w:adjustRightInd w:val="0"/>
              <w:spacing w:before="120" w:after="120"/>
              <w:jc w:val="center"/>
              <w:rPr>
                <w:rFonts w:eastAsia="楷体_GB2312"/>
                <w:b/>
                <w:sz w:val="30"/>
                <w:szCs w:val="30"/>
              </w:rPr>
            </w:pPr>
            <w:r>
              <w:rPr>
                <w:rFonts w:hint="eastAsia" w:eastAsia="楷体_GB2312"/>
                <w:b/>
                <w:sz w:val="30"/>
                <w:szCs w:val="30"/>
              </w:rPr>
              <w:t>：</w:t>
            </w:r>
          </w:p>
        </w:tc>
        <w:tc>
          <w:tcPr>
            <w:tcW w:w="5780" w:type="dxa"/>
          </w:tcPr>
          <w:p w14:paraId="20359EF9">
            <w:pPr>
              <w:adjustRightInd w:val="0"/>
              <w:spacing w:before="120" w:after="120"/>
              <w:rPr>
                <w:rFonts w:hint="eastAsia"/>
                <w:sz w:val="30"/>
                <w:szCs w:val="30"/>
              </w:rPr>
            </w:pPr>
            <w:r>
              <w:rPr>
                <w:rFonts w:hint="eastAsia"/>
                <w:sz w:val="30"/>
                <w:szCs w:val="30"/>
              </w:rPr>
              <w:t>绥宁县人民政府</w:t>
            </w:r>
          </w:p>
        </w:tc>
      </w:tr>
      <w:tr w14:paraId="2241902E">
        <w:tblPrEx>
          <w:tblCellMar>
            <w:top w:w="0" w:type="dxa"/>
            <w:left w:w="108" w:type="dxa"/>
            <w:bottom w:w="0" w:type="dxa"/>
            <w:right w:w="108" w:type="dxa"/>
          </w:tblCellMar>
        </w:tblPrEx>
        <w:trPr>
          <w:jc w:val="center"/>
        </w:trPr>
        <w:tc>
          <w:tcPr>
            <w:tcW w:w="2510" w:type="dxa"/>
          </w:tcPr>
          <w:p w14:paraId="461213F4">
            <w:pPr>
              <w:adjustRightInd w:val="0"/>
              <w:spacing w:before="120" w:after="120"/>
              <w:jc w:val="distribute"/>
              <w:rPr>
                <w:rFonts w:eastAsia="黑体"/>
                <w:b/>
                <w:sz w:val="30"/>
                <w:szCs w:val="30"/>
              </w:rPr>
            </w:pPr>
            <w:r>
              <w:rPr>
                <w:rFonts w:hint="eastAsia" w:eastAsia="黑体"/>
                <w:b/>
                <w:sz w:val="30"/>
                <w:szCs w:val="30"/>
              </w:rPr>
              <w:t>承担单位</w:t>
            </w:r>
          </w:p>
        </w:tc>
        <w:tc>
          <w:tcPr>
            <w:tcW w:w="280" w:type="dxa"/>
          </w:tcPr>
          <w:p w14:paraId="0A8EFD7C">
            <w:pPr>
              <w:adjustRightInd w:val="0"/>
              <w:spacing w:before="120" w:after="120"/>
              <w:jc w:val="center"/>
              <w:rPr>
                <w:rFonts w:eastAsia="楷体_GB2312"/>
                <w:b/>
                <w:sz w:val="30"/>
                <w:szCs w:val="30"/>
              </w:rPr>
            </w:pPr>
            <w:r>
              <w:rPr>
                <w:rFonts w:hint="eastAsia" w:eastAsia="楷体_GB2312"/>
                <w:b/>
                <w:sz w:val="30"/>
                <w:szCs w:val="30"/>
              </w:rPr>
              <w:t>：</w:t>
            </w:r>
          </w:p>
        </w:tc>
        <w:tc>
          <w:tcPr>
            <w:tcW w:w="5780" w:type="dxa"/>
          </w:tcPr>
          <w:p w14:paraId="546EB2C9">
            <w:pPr>
              <w:adjustRightInd w:val="0"/>
              <w:spacing w:before="120" w:after="120"/>
              <w:rPr>
                <w:rFonts w:hint="eastAsia"/>
                <w:sz w:val="30"/>
                <w:szCs w:val="30"/>
              </w:rPr>
            </w:pPr>
            <w:r>
              <w:rPr>
                <w:rFonts w:hint="eastAsia"/>
                <w:sz w:val="30"/>
                <w:szCs w:val="30"/>
              </w:rPr>
              <w:t>邵阳市生态环境局绥宁分局</w:t>
            </w:r>
          </w:p>
        </w:tc>
      </w:tr>
      <w:tr w14:paraId="5FFC726E">
        <w:tblPrEx>
          <w:tblCellMar>
            <w:top w:w="0" w:type="dxa"/>
            <w:left w:w="108" w:type="dxa"/>
            <w:bottom w:w="0" w:type="dxa"/>
            <w:right w:w="108" w:type="dxa"/>
          </w:tblCellMar>
        </w:tblPrEx>
        <w:trPr>
          <w:jc w:val="center"/>
        </w:trPr>
        <w:tc>
          <w:tcPr>
            <w:tcW w:w="2510" w:type="dxa"/>
          </w:tcPr>
          <w:p w14:paraId="64E69C14">
            <w:pPr>
              <w:adjustRightInd w:val="0"/>
              <w:spacing w:before="120" w:after="120"/>
              <w:jc w:val="distribute"/>
              <w:rPr>
                <w:rFonts w:hint="eastAsia" w:eastAsia="黑体"/>
                <w:b/>
                <w:sz w:val="30"/>
                <w:szCs w:val="30"/>
              </w:rPr>
            </w:pPr>
            <w:r>
              <w:rPr>
                <w:rFonts w:hint="eastAsia" w:eastAsia="黑体"/>
                <w:b/>
                <w:sz w:val="30"/>
                <w:szCs w:val="30"/>
              </w:rPr>
              <w:t>编制单位</w:t>
            </w:r>
          </w:p>
        </w:tc>
        <w:tc>
          <w:tcPr>
            <w:tcW w:w="280" w:type="dxa"/>
          </w:tcPr>
          <w:p w14:paraId="17BE5799">
            <w:pPr>
              <w:adjustRightInd w:val="0"/>
              <w:spacing w:before="120" w:after="120"/>
              <w:jc w:val="center"/>
              <w:rPr>
                <w:rFonts w:hint="eastAsia" w:eastAsia="楷体_GB2312"/>
                <w:b/>
                <w:sz w:val="30"/>
                <w:szCs w:val="30"/>
              </w:rPr>
            </w:pPr>
            <w:r>
              <w:rPr>
                <w:rFonts w:hint="eastAsia" w:eastAsia="楷体_GB2312"/>
                <w:b/>
                <w:sz w:val="30"/>
                <w:szCs w:val="30"/>
              </w:rPr>
              <w:t>：</w:t>
            </w:r>
          </w:p>
        </w:tc>
        <w:tc>
          <w:tcPr>
            <w:tcW w:w="5780" w:type="dxa"/>
          </w:tcPr>
          <w:p w14:paraId="44085A1B">
            <w:pPr>
              <w:adjustRightInd w:val="0"/>
              <w:spacing w:before="120" w:after="120"/>
              <w:rPr>
                <w:rFonts w:hint="eastAsia"/>
                <w:sz w:val="30"/>
                <w:szCs w:val="30"/>
              </w:rPr>
            </w:pPr>
            <w:r>
              <w:rPr>
                <w:rFonts w:hint="eastAsia"/>
                <w:sz w:val="30"/>
                <w:szCs w:val="30"/>
              </w:rPr>
              <w:t>湖南天弘环保科技有限公司</w:t>
            </w:r>
          </w:p>
        </w:tc>
      </w:tr>
      <w:tr w14:paraId="1C1C3538">
        <w:tblPrEx>
          <w:tblCellMar>
            <w:top w:w="0" w:type="dxa"/>
            <w:left w:w="108" w:type="dxa"/>
            <w:bottom w:w="0" w:type="dxa"/>
            <w:right w:w="108" w:type="dxa"/>
          </w:tblCellMar>
        </w:tblPrEx>
        <w:trPr>
          <w:jc w:val="center"/>
        </w:trPr>
        <w:tc>
          <w:tcPr>
            <w:tcW w:w="2510" w:type="dxa"/>
          </w:tcPr>
          <w:p w14:paraId="4EBBA4DA">
            <w:pPr>
              <w:adjustRightInd w:val="0"/>
              <w:spacing w:before="120" w:after="120"/>
              <w:jc w:val="distribute"/>
              <w:rPr>
                <w:rFonts w:eastAsia="黑体"/>
                <w:b/>
                <w:sz w:val="30"/>
                <w:szCs w:val="30"/>
              </w:rPr>
            </w:pPr>
            <w:r>
              <w:rPr>
                <w:rFonts w:hint="eastAsia" w:eastAsia="黑体"/>
                <w:b/>
                <w:sz w:val="30"/>
                <w:szCs w:val="30"/>
              </w:rPr>
              <w:t>法人代表</w:t>
            </w:r>
          </w:p>
        </w:tc>
        <w:tc>
          <w:tcPr>
            <w:tcW w:w="280" w:type="dxa"/>
          </w:tcPr>
          <w:p w14:paraId="61EDE4CD">
            <w:pPr>
              <w:adjustRightInd w:val="0"/>
              <w:spacing w:before="120" w:after="120"/>
              <w:jc w:val="center"/>
              <w:rPr>
                <w:rFonts w:eastAsia="楷体_GB2312"/>
                <w:b/>
                <w:sz w:val="30"/>
                <w:szCs w:val="30"/>
              </w:rPr>
            </w:pPr>
            <w:r>
              <w:rPr>
                <w:rFonts w:hint="eastAsia" w:eastAsia="楷体_GB2312"/>
                <w:b/>
                <w:sz w:val="30"/>
                <w:szCs w:val="30"/>
              </w:rPr>
              <w:t>：</w:t>
            </w:r>
          </w:p>
        </w:tc>
        <w:tc>
          <w:tcPr>
            <w:tcW w:w="5780" w:type="dxa"/>
          </w:tcPr>
          <w:p w14:paraId="1472A305">
            <w:pPr>
              <w:adjustRightInd w:val="0"/>
              <w:spacing w:before="120" w:after="120"/>
              <w:rPr>
                <w:rFonts w:hint="eastAsia"/>
                <w:sz w:val="30"/>
                <w:szCs w:val="30"/>
              </w:rPr>
            </w:pPr>
            <w:r>
              <w:rPr>
                <w:rFonts w:hint="eastAsia"/>
                <w:sz w:val="32"/>
              </w:rPr>
              <w:t>袁惠雄</w:t>
            </w:r>
          </w:p>
        </w:tc>
      </w:tr>
      <w:tr w14:paraId="16933652">
        <w:tblPrEx>
          <w:tblCellMar>
            <w:top w:w="0" w:type="dxa"/>
            <w:left w:w="108" w:type="dxa"/>
            <w:bottom w:w="0" w:type="dxa"/>
            <w:right w:w="108" w:type="dxa"/>
          </w:tblCellMar>
        </w:tblPrEx>
        <w:trPr>
          <w:jc w:val="center"/>
        </w:trPr>
        <w:tc>
          <w:tcPr>
            <w:tcW w:w="2510" w:type="dxa"/>
          </w:tcPr>
          <w:p w14:paraId="7B6B3713">
            <w:pPr>
              <w:adjustRightInd w:val="0"/>
              <w:spacing w:before="120" w:after="120"/>
              <w:jc w:val="distribute"/>
              <w:rPr>
                <w:rFonts w:eastAsia="黑体"/>
                <w:b/>
                <w:sz w:val="30"/>
                <w:szCs w:val="30"/>
              </w:rPr>
            </w:pPr>
            <w:r>
              <w:rPr>
                <w:rFonts w:hint="eastAsia" w:eastAsia="黑体"/>
                <w:b/>
                <w:sz w:val="30"/>
                <w:szCs w:val="30"/>
              </w:rPr>
              <w:t>项目负责人</w:t>
            </w:r>
          </w:p>
        </w:tc>
        <w:tc>
          <w:tcPr>
            <w:tcW w:w="280" w:type="dxa"/>
          </w:tcPr>
          <w:p w14:paraId="584D5FFB">
            <w:pPr>
              <w:adjustRightInd w:val="0"/>
              <w:spacing w:before="120" w:after="120"/>
              <w:jc w:val="center"/>
              <w:rPr>
                <w:rFonts w:eastAsia="楷体_GB2312"/>
                <w:b/>
                <w:sz w:val="30"/>
                <w:szCs w:val="30"/>
              </w:rPr>
            </w:pPr>
            <w:r>
              <w:rPr>
                <w:rFonts w:hint="eastAsia" w:eastAsia="楷体_GB2312"/>
                <w:b/>
                <w:sz w:val="30"/>
                <w:szCs w:val="30"/>
              </w:rPr>
              <w:t>：</w:t>
            </w:r>
          </w:p>
        </w:tc>
        <w:tc>
          <w:tcPr>
            <w:tcW w:w="5780" w:type="dxa"/>
          </w:tcPr>
          <w:p w14:paraId="74E6E6B8">
            <w:pPr>
              <w:adjustRightInd w:val="0"/>
              <w:spacing w:before="120" w:after="120"/>
              <w:rPr>
                <w:rFonts w:hint="eastAsia"/>
                <w:sz w:val="32"/>
              </w:rPr>
            </w:pPr>
            <w:r>
              <w:fldChar w:fldCharType="begin"/>
            </w:r>
            <w:r>
              <w:instrText xml:space="preserve"> HYPERLINK "javascript:;" </w:instrText>
            </w:r>
            <w:r>
              <w:fldChar w:fldCharType="separate"/>
            </w:r>
            <w:r>
              <w:rPr>
                <w:rFonts w:hint="eastAsia"/>
                <w:sz w:val="32"/>
              </w:rPr>
              <w:t>唐小芳</w:t>
            </w:r>
            <w:r>
              <w:rPr>
                <w:rFonts w:hint="eastAsia"/>
                <w:sz w:val="32"/>
              </w:rPr>
              <w:fldChar w:fldCharType="end"/>
            </w:r>
          </w:p>
        </w:tc>
      </w:tr>
      <w:tr w14:paraId="7BB08791">
        <w:tblPrEx>
          <w:tblCellMar>
            <w:top w:w="0" w:type="dxa"/>
            <w:left w:w="108" w:type="dxa"/>
            <w:bottom w:w="0" w:type="dxa"/>
            <w:right w:w="108" w:type="dxa"/>
          </w:tblCellMar>
        </w:tblPrEx>
        <w:trPr>
          <w:jc w:val="center"/>
        </w:trPr>
        <w:tc>
          <w:tcPr>
            <w:tcW w:w="2510" w:type="dxa"/>
          </w:tcPr>
          <w:p w14:paraId="7ED2BFFA">
            <w:pPr>
              <w:adjustRightInd w:val="0"/>
              <w:spacing w:before="120" w:after="120"/>
              <w:jc w:val="distribute"/>
              <w:rPr>
                <w:rFonts w:hint="eastAsia" w:eastAsia="黑体"/>
                <w:b/>
                <w:sz w:val="30"/>
                <w:szCs w:val="30"/>
              </w:rPr>
            </w:pPr>
            <w:r>
              <w:rPr>
                <w:rFonts w:hint="eastAsia" w:eastAsia="黑体"/>
                <w:b/>
                <w:sz w:val="30"/>
                <w:szCs w:val="30"/>
              </w:rPr>
              <w:t>编写</w:t>
            </w:r>
          </w:p>
        </w:tc>
        <w:tc>
          <w:tcPr>
            <w:tcW w:w="280" w:type="dxa"/>
          </w:tcPr>
          <w:p w14:paraId="5F230C7C">
            <w:pPr>
              <w:adjustRightInd w:val="0"/>
              <w:spacing w:before="120" w:after="120"/>
              <w:jc w:val="center"/>
              <w:rPr>
                <w:rFonts w:eastAsia="楷体_GB2312"/>
                <w:b/>
                <w:sz w:val="30"/>
                <w:szCs w:val="30"/>
              </w:rPr>
            </w:pPr>
            <w:r>
              <w:rPr>
                <w:rFonts w:hint="eastAsia" w:eastAsia="楷体_GB2312"/>
                <w:b/>
                <w:sz w:val="30"/>
                <w:szCs w:val="30"/>
              </w:rPr>
              <w:t>：</w:t>
            </w:r>
          </w:p>
        </w:tc>
        <w:tc>
          <w:tcPr>
            <w:tcW w:w="5780" w:type="dxa"/>
          </w:tcPr>
          <w:p w14:paraId="6540870C">
            <w:pPr>
              <w:adjustRightInd w:val="0"/>
              <w:spacing w:before="120" w:after="120"/>
              <w:rPr>
                <w:sz w:val="32"/>
              </w:rPr>
            </w:pPr>
            <w:r>
              <w:rPr>
                <w:sz w:val="32"/>
              </w:rPr>
              <w:t>李永刚</w:t>
            </w:r>
          </w:p>
        </w:tc>
      </w:tr>
      <w:tr w14:paraId="79D4F882">
        <w:tblPrEx>
          <w:tblCellMar>
            <w:top w:w="0" w:type="dxa"/>
            <w:left w:w="108" w:type="dxa"/>
            <w:bottom w:w="0" w:type="dxa"/>
            <w:right w:w="108" w:type="dxa"/>
          </w:tblCellMar>
        </w:tblPrEx>
        <w:trPr>
          <w:trHeight w:val="686" w:hRule="atLeast"/>
          <w:jc w:val="center"/>
        </w:trPr>
        <w:tc>
          <w:tcPr>
            <w:tcW w:w="2510" w:type="dxa"/>
          </w:tcPr>
          <w:p w14:paraId="56462405">
            <w:pPr>
              <w:adjustRightInd w:val="0"/>
              <w:spacing w:before="120" w:after="120"/>
              <w:rPr>
                <w:rFonts w:eastAsia="黑体"/>
                <w:b/>
                <w:sz w:val="30"/>
                <w:szCs w:val="30"/>
              </w:rPr>
            </w:pPr>
            <w:r>
              <w:rPr>
                <w:rFonts w:hint="eastAsia" w:eastAsia="黑体"/>
                <w:b/>
                <w:sz w:val="30"/>
                <w:szCs w:val="30"/>
              </w:rPr>
              <w:t>审</w:t>
            </w:r>
            <w:r>
              <w:rPr>
                <w:rFonts w:eastAsia="黑体"/>
                <w:b/>
                <w:sz w:val="30"/>
                <w:szCs w:val="30"/>
              </w:rPr>
              <w:t xml:space="preserve">           </w:t>
            </w:r>
            <w:r>
              <w:rPr>
                <w:rFonts w:hint="eastAsia" w:eastAsia="黑体"/>
                <w:b/>
                <w:sz w:val="30"/>
                <w:szCs w:val="30"/>
              </w:rPr>
              <w:t>核</w:t>
            </w:r>
          </w:p>
        </w:tc>
        <w:tc>
          <w:tcPr>
            <w:tcW w:w="280" w:type="dxa"/>
          </w:tcPr>
          <w:p w14:paraId="01EC0351">
            <w:pPr>
              <w:adjustRightInd w:val="0"/>
              <w:spacing w:before="120" w:after="120"/>
              <w:jc w:val="center"/>
              <w:rPr>
                <w:rFonts w:eastAsia="楷体_GB2312"/>
                <w:b/>
                <w:sz w:val="30"/>
                <w:szCs w:val="30"/>
              </w:rPr>
            </w:pPr>
            <w:r>
              <w:rPr>
                <w:rFonts w:hint="eastAsia" w:eastAsia="楷体_GB2312"/>
                <w:b/>
                <w:sz w:val="30"/>
                <w:szCs w:val="30"/>
              </w:rPr>
              <w:t>：</w:t>
            </w:r>
          </w:p>
        </w:tc>
        <w:tc>
          <w:tcPr>
            <w:tcW w:w="5780" w:type="dxa"/>
          </w:tcPr>
          <w:p w14:paraId="2D3BFA16">
            <w:pPr>
              <w:adjustRightInd w:val="0"/>
              <w:spacing w:before="120" w:after="120"/>
              <w:rPr>
                <w:rFonts w:hint="eastAsia"/>
                <w:sz w:val="32"/>
              </w:rPr>
            </w:pPr>
            <w:r>
              <w:fldChar w:fldCharType="begin"/>
            </w:r>
            <w:r>
              <w:instrText xml:space="preserve"> HYPERLINK "javascript:;" </w:instrText>
            </w:r>
            <w:r>
              <w:fldChar w:fldCharType="separate"/>
            </w:r>
            <w:r>
              <w:rPr>
                <w:rFonts w:hint="eastAsia"/>
                <w:sz w:val="32"/>
              </w:rPr>
              <w:t>唐小芳</w:t>
            </w:r>
            <w:r>
              <w:rPr>
                <w:rFonts w:hint="eastAsia"/>
                <w:sz w:val="32"/>
              </w:rPr>
              <w:fldChar w:fldCharType="end"/>
            </w:r>
          </w:p>
        </w:tc>
      </w:tr>
      <w:tr w14:paraId="7E197F69">
        <w:tblPrEx>
          <w:tblCellMar>
            <w:top w:w="0" w:type="dxa"/>
            <w:left w:w="108" w:type="dxa"/>
            <w:bottom w:w="0" w:type="dxa"/>
            <w:right w:w="108" w:type="dxa"/>
          </w:tblCellMar>
        </w:tblPrEx>
        <w:trPr>
          <w:trHeight w:val="686" w:hRule="atLeast"/>
          <w:jc w:val="center"/>
        </w:trPr>
        <w:tc>
          <w:tcPr>
            <w:tcW w:w="2510" w:type="dxa"/>
          </w:tcPr>
          <w:p w14:paraId="1E7E55C3">
            <w:pPr>
              <w:adjustRightInd w:val="0"/>
              <w:spacing w:before="120" w:after="120"/>
              <w:rPr>
                <w:rFonts w:hint="eastAsia" w:eastAsia="黑体"/>
                <w:b/>
                <w:sz w:val="30"/>
                <w:szCs w:val="30"/>
              </w:rPr>
            </w:pPr>
            <w:r>
              <w:rPr>
                <w:rFonts w:hint="eastAsia" w:eastAsia="黑体"/>
                <w:b/>
                <w:sz w:val="30"/>
                <w:szCs w:val="30"/>
              </w:rPr>
              <w:t>签           发</w:t>
            </w:r>
          </w:p>
        </w:tc>
        <w:tc>
          <w:tcPr>
            <w:tcW w:w="280" w:type="dxa"/>
          </w:tcPr>
          <w:p w14:paraId="5DF6D451">
            <w:pPr>
              <w:adjustRightInd w:val="0"/>
              <w:spacing w:before="120" w:after="120"/>
              <w:jc w:val="center"/>
              <w:rPr>
                <w:rFonts w:hint="eastAsia" w:eastAsia="楷体_GB2312"/>
                <w:b/>
                <w:sz w:val="30"/>
                <w:szCs w:val="30"/>
              </w:rPr>
            </w:pPr>
            <w:r>
              <w:rPr>
                <w:rFonts w:hint="eastAsia" w:eastAsia="楷体_GB2312"/>
                <w:b/>
                <w:sz w:val="30"/>
                <w:szCs w:val="30"/>
              </w:rPr>
              <w:t>：</w:t>
            </w:r>
          </w:p>
        </w:tc>
        <w:tc>
          <w:tcPr>
            <w:tcW w:w="5780" w:type="dxa"/>
          </w:tcPr>
          <w:p w14:paraId="0113CF1D">
            <w:pPr>
              <w:adjustRightInd w:val="0"/>
              <w:spacing w:before="120" w:after="120"/>
              <w:rPr>
                <w:rFonts w:hint="eastAsia"/>
                <w:sz w:val="32"/>
              </w:rPr>
            </w:pPr>
            <w:r>
              <w:rPr>
                <w:rFonts w:hint="eastAsia"/>
                <w:sz w:val="32"/>
              </w:rPr>
              <w:t>袁惠雄</w:t>
            </w:r>
          </w:p>
        </w:tc>
      </w:tr>
    </w:tbl>
    <w:p w14:paraId="5123DDB6">
      <w:pPr>
        <w:adjustRightInd w:val="0"/>
        <w:spacing w:before="120" w:after="120"/>
        <w:ind w:firstLine="600" w:firstLineChars="200"/>
        <w:jc w:val="left"/>
        <w:rPr>
          <w:sz w:val="30"/>
          <w:szCs w:val="30"/>
        </w:rPr>
      </w:pPr>
    </w:p>
    <w:p w14:paraId="37F14AE3">
      <w:pPr>
        <w:ind w:left="456" w:leftChars="190"/>
        <w:jc w:val="left"/>
        <w:rPr>
          <w:rFonts w:hint="eastAsia"/>
          <w:sz w:val="30"/>
          <w:szCs w:val="30"/>
        </w:rPr>
      </w:pPr>
      <w:r>
        <w:rPr>
          <w:rFonts w:hint="eastAsia"/>
          <w:sz w:val="30"/>
          <w:szCs w:val="30"/>
        </w:rPr>
        <w:t>邵阳市生态环境局绥宁分局</w:t>
      </w:r>
    </w:p>
    <w:p w14:paraId="150ED786">
      <w:pPr>
        <w:ind w:left="456" w:leftChars="190"/>
        <w:jc w:val="left"/>
        <w:rPr>
          <w:rFonts w:hint="eastAsia"/>
          <w:sz w:val="30"/>
        </w:rPr>
      </w:pPr>
      <w:r>
        <w:rPr>
          <w:rFonts w:hint="eastAsia"/>
          <w:sz w:val="30"/>
        </w:rPr>
        <w:t>地址：绥宁县长铺镇人民路11号</w:t>
      </w:r>
    </w:p>
    <w:p w14:paraId="69F72B80">
      <w:pPr>
        <w:ind w:left="456" w:leftChars="190"/>
        <w:jc w:val="left"/>
        <w:rPr>
          <w:rFonts w:hint="eastAsia"/>
          <w:sz w:val="30"/>
        </w:rPr>
      </w:pPr>
      <w:r>
        <w:rPr>
          <w:rFonts w:hint="eastAsia"/>
          <w:sz w:val="30"/>
        </w:rPr>
        <w:t>邮编：</w:t>
      </w:r>
      <w:r>
        <w:rPr>
          <w:sz w:val="30"/>
        </w:rPr>
        <w:t>4</w:t>
      </w:r>
      <w:r>
        <w:rPr>
          <w:rFonts w:hint="eastAsia"/>
          <w:sz w:val="30"/>
        </w:rPr>
        <w:t>22600</w:t>
      </w:r>
    </w:p>
    <w:p w14:paraId="20F80E51">
      <w:pPr>
        <w:ind w:left="456" w:leftChars="190"/>
        <w:jc w:val="left"/>
        <w:rPr>
          <w:sz w:val="30"/>
        </w:rPr>
      </w:pPr>
      <w:r>
        <w:rPr>
          <w:rFonts w:hint="eastAsia"/>
          <w:sz w:val="30"/>
        </w:rPr>
        <w:t>电话：0739-7611158</w:t>
      </w:r>
    </w:p>
    <w:p w14:paraId="4F2BDE4F">
      <w:pPr>
        <w:jc w:val="left"/>
        <w:rPr>
          <w:rFonts w:hint="eastAsia" w:eastAsia="楷体_GB2312"/>
          <w:b/>
          <w:bCs/>
          <w:sz w:val="28"/>
        </w:rPr>
      </w:pPr>
      <w:r>
        <w:rPr>
          <w:rFonts w:hint="eastAsia" w:eastAsia="楷体_GB2312"/>
          <w:b/>
          <w:bCs/>
          <w:sz w:val="28"/>
        </w:rPr>
        <w:t>声明：未经许可，复制本报告中的部分内容无效。</w:t>
      </w:r>
    </w:p>
    <w:p w14:paraId="601AED92">
      <w:pPr>
        <w:pStyle w:val="10"/>
        <w:ind w:firstLine="0"/>
      </w:pPr>
    </w:p>
    <w:p w14:paraId="582CA55B">
      <w:pPr>
        <w:pStyle w:val="15"/>
        <w:tabs>
          <w:tab w:val="right" w:leader="dot" w:pos="8312"/>
        </w:tabs>
        <w:jc w:val="center"/>
        <w:rPr>
          <w:b/>
          <w:bCs/>
          <w:sz w:val="32"/>
          <w:szCs w:val="32"/>
        </w:rPr>
      </w:pPr>
      <w:r>
        <w:rPr>
          <w:b/>
          <w:bCs/>
          <w:sz w:val="32"/>
          <w:szCs w:val="32"/>
        </w:rPr>
        <w:t>目  录</w:t>
      </w:r>
    </w:p>
    <w:p w14:paraId="49E2FE56">
      <w:pPr>
        <w:pStyle w:val="15"/>
        <w:tabs>
          <w:tab w:val="right" w:leader="dot" w:pos="8312"/>
        </w:tabs>
      </w:pPr>
      <w:r>
        <w:fldChar w:fldCharType="begin"/>
      </w:r>
      <w:r>
        <w:instrText xml:space="preserve">TOC \o "1-2" \h \u </w:instrText>
      </w:r>
      <w:r>
        <w:fldChar w:fldCharType="separate"/>
      </w:r>
      <w:r>
        <w:fldChar w:fldCharType="begin"/>
      </w:r>
      <w:r>
        <w:instrText xml:space="preserve"> HYPERLINK \l _Toc1090 </w:instrText>
      </w:r>
      <w:r>
        <w:fldChar w:fldCharType="separate"/>
      </w:r>
      <w:r>
        <w:t>第一部分</w:t>
      </w:r>
      <w:r>
        <w:rPr>
          <w:rFonts w:hint="eastAsia"/>
          <w:lang w:val="en-US" w:eastAsia="zh-CN"/>
        </w:rPr>
        <w:t xml:space="preserve">  </w:t>
      </w:r>
      <w:r>
        <w:t>修编情况说明</w:t>
      </w:r>
      <w:r>
        <w:tab/>
      </w:r>
      <w:r>
        <w:fldChar w:fldCharType="begin"/>
      </w:r>
      <w:r>
        <w:instrText xml:space="preserve"> PAGEREF _Toc1090 \h </w:instrText>
      </w:r>
      <w:r>
        <w:fldChar w:fldCharType="separate"/>
      </w:r>
      <w:r>
        <w:t>1</w:t>
      </w:r>
      <w:r>
        <w:fldChar w:fldCharType="end"/>
      </w:r>
      <w:r>
        <w:fldChar w:fldCharType="end"/>
      </w:r>
    </w:p>
    <w:p w14:paraId="6165A16A">
      <w:pPr>
        <w:pStyle w:val="16"/>
        <w:tabs>
          <w:tab w:val="right" w:leader="dot" w:pos="8312"/>
        </w:tabs>
      </w:pPr>
      <w:r>
        <w:fldChar w:fldCharType="begin"/>
      </w:r>
      <w:r>
        <w:instrText xml:space="preserve"> HYPERLINK \l _Toc15905 </w:instrText>
      </w:r>
      <w:r>
        <w:fldChar w:fldCharType="separate"/>
      </w:r>
      <w:r>
        <w:t>1.1</w:t>
      </w:r>
      <w:r>
        <w:rPr>
          <w:rFonts w:hint="eastAsia"/>
        </w:rPr>
        <w:t>修订背景</w:t>
      </w:r>
      <w:r>
        <w:tab/>
      </w:r>
      <w:r>
        <w:fldChar w:fldCharType="begin"/>
      </w:r>
      <w:r>
        <w:instrText xml:space="preserve"> PAGEREF _Toc15905 \h </w:instrText>
      </w:r>
      <w:r>
        <w:fldChar w:fldCharType="separate"/>
      </w:r>
      <w:r>
        <w:t>2</w:t>
      </w:r>
      <w:r>
        <w:fldChar w:fldCharType="end"/>
      </w:r>
      <w:r>
        <w:fldChar w:fldCharType="end"/>
      </w:r>
    </w:p>
    <w:p w14:paraId="6C9B3698">
      <w:pPr>
        <w:pStyle w:val="16"/>
        <w:tabs>
          <w:tab w:val="right" w:leader="dot" w:pos="8312"/>
        </w:tabs>
      </w:pPr>
      <w:r>
        <w:fldChar w:fldCharType="begin"/>
      </w:r>
      <w:r>
        <w:instrText xml:space="preserve"> HYPERLINK \l _Toc29809 </w:instrText>
      </w:r>
      <w:r>
        <w:fldChar w:fldCharType="separate"/>
      </w:r>
      <w:r>
        <w:rPr>
          <w:rFonts w:hint="eastAsia"/>
        </w:rPr>
        <w:t>1.2修订</w:t>
      </w:r>
      <w:r>
        <w:t>过程概述</w:t>
      </w:r>
      <w:r>
        <w:tab/>
      </w:r>
      <w:r>
        <w:fldChar w:fldCharType="begin"/>
      </w:r>
      <w:r>
        <w:instrText xml:space="preserve"> PAGEREF _Toc29809 \h </w:instrText>
      </w:r>
      <w:r>
        <w:fldChar w:fldCharType="separate"/>
      </w:r>
      <w:r>
        <w:t>2</w:t>
      </w:r>
      <w:r>
        <w:fldChar w:fldCharType="end"/>
      </w:r>
      <w:r>
        <w:fldChar w:fldCharType="end"/>
      </w:r>
    </w:p>
    <w:p w14:paraId="6DFE8443">
      <w:pPr>
        <w:pStyle w:val="16"/>
        <w:tabs>
          <w:tab w:val="right" w:leader="dot" w:pos="8312"/>
        </w:tabs>
      </w:pPr>
      <w:r>
        <w:fldChar w:fldCharType="begin"/>
      </w:r>
      <w:r>
        <w:instrText xml:space="preserve"> HYPERLINK \l _Toc19947 </w:instrText>
      </w:r>
      <w:r>
        <w:fldChar w:fldCharType="separate"/>
      </w:r>
      <w:r>
        <w:t>1.</w:t>
      </w:r>
      <w:r>
        <w:rPr>
          <w:rFonts w:hint="eastAsia"/>
        </w:rPr>
        <w:t>3应急预案变化情况说明</w:t>
      </w:r>
      <w:r>
        <w:tab/>
      </w:r>
      <w:r>
        <w:fldChar w:fldCharType="begin"/>
      </w:r>
      <w:r>
        <w:instrText xml:space="preserve"> PAGEREF _Toc19947 \h </w:instrText>
      </w:r>
      <w:r>
        <w:fldChar w:fldCharType="separate"/>
      </w:r>
      <w:r>
        <w:t>5</w:t>
      </w:r>
      <w:r>
        <w:fldChar w:fldCharType="end"/>
      </w:r>
      <w:r>
        <w:fldChar w:fldCharType="end"/>
      </w:r>
    </w:p>
    <w:p w14:paraId="4A2FA0F9">
      <w:pPr>
        <w:pStyle w:val="16"/>
        <w:tabs>
          <w:tab w:val="right" w:leader="dot" w:pos="8312"/>
        </w:tabs>
      </w:pPr>
      <w:r>
        <w:fldChar w:fldCharType="begin"/>
      </w:r>
      <w:r>
        <w:instrText xml:space="preserve"> HYPERLINK \l _Toc5037 </w:instrText>
      </w:r>
      <w:r>
        <w:fldChar w:fldCharType="separate"/>
      </w:r>
      <w:r>
        <w:rPr>
          <w:rFonts w:hint="eastAsia"/>
        </w:rPr>
        <w:t>1.4原应急预案风险预防</w:t>
      </w:r>
      <w:r>
        <w:t>措施落实</w:t>
      </w:r>
      <w:r>
        <w:rPr>
          <w:rFonts w:hint="eastAsia"/>
        </w:rPr>
        <w:t>和执行</w:t>
      </w:r>
      <w:r>
        <w:t>情况</w:t>
      </w:r>
      <w:r>
        <w:rPr>
          <w:rFonts w:hint="eastAsia"/>
        </w:rPr>
        <w:t>说明</w:t>
      </w:r>
      <w:r>
        <w:tab/>
      </w:r>
      <w:r>
        <w:fldChar w:fldCharType="begin"/>
      </w:r>
      <w:r>
        <w:instrText xml:space="preserve"> PAGEREF _Toc5037 \h </w:instrText>
      </w:r>
      <w:r>
        <w:fldChar w:fldCharType="separate"/>
      </w:r>
      <w:r>
        <w:t>7</w:t>
      </w:r>
      <w:r>
        <w:fldChar w:fldCharType="end"/>
      </w:r>
      <w:r>
        <w:fldChar w:fldCharType="end"/>
      </w:r>
    </w:p>
    <w:p w14:paraId="6EFD51E7">
      <w:pPr>
        <w:pStyle w:val="16"/>
        <w:tabs>
          <w:tab w:val="right" w:leader="dot" w:pos="8312"/>
        </w:tabs>
      </w:pPr>
      <w:r>
        <w:fldChar w:fldCharType="begin"/>
      </w:r>
      <w:r>
        <w:instrText xml:space="preserve"> HYPERLINK \l _Toc13706 </w:instrText>
      </w:r>
      <w:r>
        <w:fldChar w:fldCharType="separate"/>
      </w:r>
      <w:r>
        <w:t>1.</w:t>
      </w:r>
      <w:r>
        <w:rPr>
          <w:rFonts w:hint="eastAsia"/>
        </w:rPr>
        <w:t>5</w:t>
      </w:r>
      <w:r>
        <w:t>征求意见及采纳情况说明</w:t>
      </w:r>
      <w:r>
        <w:tab/>
      </w:r>
      <w:r>
        <w:fldChar w:fldCharType="begin"/>
      </w:r>
      <w:r>
        <w:instrText xml:space="preserve"> PAGEREF _Toc13706 \h </w:instrText>
      </w:r>
      <w:r>
        <w:fldChar w:fldCharType="separate"/>
      </w:r>
      <w:r>
        <w:t>8</w:t>
      </w:r>
      <w:r>
        <w:fldChar w:fldCharType="end"/>
      </w:r>
      <w:r>
        <w:fldChar w:fldCharType="end"/>
      </w:r>
    </w:p>
    <w:p w14:paraId="2AAC6749">
      <w:pPr>
        <w:pStyle w:val="16"/>
        <w:tabs>
          <w:tab w:val="right" w:leader="dot" w:pos="8312"/>
        </w:tabs>
      </w:pPr>
      <w:r>
        <w:fldChar w:fldCharType="begin"/>
      </w:r>
      <w:r>
        <w:instrText xml:space="preserve"> HYPERLINK \l _Toc31094 </w:instrText>
      </w:r>
      <w:r>
        <w:fldChar w:fldCharType="separate"/>
      </w:r>
      <w:r>
        <w:t>1.</w:t>
      </w:r>
      <w:r>
        <w:rPr>
          <w:rFonts w:hint="eastAsia"/>
        </w:rPr>
        <w:t>6</w:t>
      </w:r>
      <w:r>
        <w:t>水源地保护区基本情况</w:t>
      </w:r>
      <w:r>
        <w:tab/>
      </w:r>
      <w:r>
        <w:fldChar w:fldCharType="begin"/>
      </w:r>
      <w:r>
        <w:instrText xml:space="preserve"> PAGEREF _Toc31094 \h </w:instrText>
      </w:r>
      <w:r>
        <w:fldChar w:fldCharType="separate"/>
      </w:r>
      <w:r>
        <w:t>8</w:t>
      </w:r>
      <w:r>
        <w:fldChar w:fldCharType="end"/>
      </w:r>
      <w:r>
        <w:fldChar w:fldCharType="end"/>
      </w:r>
    </w:p>
    <w:p w14:paraId="0AD403A8">
      <w:pPr>
        <w:pStyle w:val="16"/>
        <w:tabs>
          <w:tab w:val="right" w:leader="dot" w:pos="8312"/>
        </w:tabs>
      </w:pPr>
      <w:r>
        <w:fldChar w:fldCharType="begin"/>
      </w:r>
      <w:r>
        <w:instrText xml:space="preserve"> HYPERLINK \l _Toc26712 </w:instrText>
      </w:r>
      <w:r>
        <w:fldChar w:fldCharType="separate"/>
      </w:r>
      <w:r>
        <w:rPr>
          <w:szCs w:val="28"/>
        </w:rPr>
        <w:t>1.</w:t>
      </w:r>
      <w:r>
        <w:rPr>
          <w:rFonts w:hint="eastAsia"/>
          <w:szCs w:val="28"/>
        </w:rPr>
        <w:t>7</w:t>
      </w:r>
      <w:r>
        <w:rPr>
          <w:szCs w:val="28"/>
        </w:rPr>
        <w:t>保护区位置、保护区类型、供水情况及保护区定界</w:t>
      </w:r>
      <w:r>
        <w:tab/>
      </w:r>
      <w:r>
        <w:fldChar w:fldCharType="begin"/>
      </w:r>
      <w:r>
        <w:instrText xml:space="preserve"> PAGEREF _Toc26712 \h </w:instrText>
      </w:r>
      <w:r>
        <w:fldChar w:fldCharType="separate"/>
      </w:r>
      <w:r>
        <w:t>9</w:t>
      </w:r>
      <w:r>
        <w:fldChar w:fldCharType="end"/>
      </w:r>
      <w:r>
        <w:fldChar w:fldCharType="end"/>
      </w:r>
    </w:p>
    <w:p w14:paraId="1CE5610A">
      <w:pPr>
        <w:pStyle w:val="16"/>
        <w:tabs>
          <w:tab w:val="right" w:leader="dot" w:pos="8312"/>
        </w:tabs>
      </w:pPr>
      <w:r>
        <w:fldChar w:fldCharType="begin"/>
      </w:r>
      <w:r>
        <w:instrText xml:space="preserve"> HYPERLINK \l _Toc1590 </w:instrText>
      </w:r>
      <w:r>
        <w:fldChar w:fldCharType="separate"/>
      </w:r>
      <w:r>
        <w:t>1.</w:t>
      </w:r>
      <w:r>
        <w:rPr>
          <w:rFonts w:hint="eastAsia"/>
        </w:rPr>
        <w:t>8</w:t>
      </w:r>
      <w:r>
        <w:t>保护区水质情况</w:t>
      </w:r>
      <w:r>
        <w:tab/>
      </w:r>
      <w:r>
        <w:fldChar w:fldCharType="begin"/>
      </w:r>
      <w:r>
        <w:instrText xml:space="preserve"> PAGEREF _Toc1590 \h </w:instrText>
      </w:r>
      <w:r>
        <w:fldChar w:fldCharType="separate"/>
      </w:r>
      <w:r>
        <w:t>11</w:t>
      </w:r>
      <w:r>
        <w:fldChar w:fldCharType="end"/>
      </w:r>
      <w:r>
        <w:fldChar w:fldCharType="end"/>
      </w:r>
    </w:p>
    <w:p w14:paraId="7DB0642B">
      <w:pPr>
        <w:pStyle w:val="16"/>
        <w:tabs>
          <w:tab w:val="right" w:leader="dot" w:pos="8312"/>
        </w:tabs>
      </w:pPr>
      <w:r>
        <w:fldChar w:fldCharType="begin"/>
      </w:r>
      <w:r>
        <w:instrText xml:space="preserve"> HYPERLINK \l _Toc23998 </w:instrText>
      </w:r>
      <w:r>
        <w:fldChar w:fldCharType="separate"/>
      </w:r>
      <w:r>
        <w:t>1.</w:t>
      </w:r>
      <w:r>
        <w:rPr>
          <w:rFonts w:hint="eastAsia"/>
        </w:rPr>
        <w:t>9</w:t>
      </w:r>
      <w:r>
        <w:t>水源地保护区环境监督管理现状</w:t>
      </w:r>
      <w:r>
        <w:tab/>
      </w:r>
      <w:r>
        <w:fldChar w:fldCharType="begin"/>
      </w:r>
      <w:r>
        <w:instrText xml:space="preserve"> PAGEREF _Toc23998 \h </w:instrText>
      </w:r>
      <w:r>
        <w:fldChar w:fldCharType="separate"/>
      </w:r>
      <w:r>
        <w:t>12</w:t>
      </w:r>
      <w:r>
        <w:fldChar w:fldCharType="end"/>
      </w:r>
      <w:r>
        <w:fldChar w:fldCharType="end"/>
      </w:r>
    </w:p>
    <w:p w14:paraId="5A125642">
      <w:pPr>
        <w:pStyle w:val="16"/>
        <w:tabs>
          <w:tab w:val="right" w:leader="dot" w:pos="8312"/>
        </w:tabs>
      </w:pPr>
      <w:r>
        <w:fldChar w:fldCharType="begin"/>
      </w:r>
      <w:r>
        <w:instrText xml:space="preserve"> HYPERLINK \l _Toc12717 </w:instrText>
      </w:r>
      <w:r>
        <w:fldChar w:fldCharType="separate"/>
      </w:r>
      <w:r>
        <w:t>1.</w:t>
      </w:r>
      <w:r>
        <w:rPr>
          <w:rFonts w:hint="eastAsia"/>
        </w:rPr>
        <w:t>10</w:t>
      </w:r>
      <w:r>
        <w:t xml:space="preserve"> 饮用水源保护区所在区域自然环境状况</w:t>
      </w:r>
      <w:r>
        <w:tab/>
      </w:r>
      <w:r>
        <w:fldChar w:fldCharType="begin"/>
      </w:r>
      <w:r>
        <w:instrText xml:space="preserve"> PAGEREF _Toc12717 \h </w:instrText>
      </w:r>
      <w:r>
        <w:fldChar w:fldCharType="separate"/>
      </w:r>
      <w:r>
        <w:t>14</w:t>
      </w:r>
      <w:r>
        <w:fldChar w:fldCharType="end"/>
      </w:r>
      <w:r>
        <w:fldChar w:fldCharType="end"/>
      </w:r>
    </w:p>
    <w:p w14:paraId="5548929E">
      <w:pPr>
        <w:pStyle w:val="15"/>
        <w:tabs>
          <w:tab w:val="right" w:leader="dot" w:pos="8312"/>
        </w:tabs>
      </w:pPr>
      <w:r>
        <w:fldChar w:fldCharType="begin"/>
      </w:r>
      <w:r>
        <w:instrText xml:space="preserve"> HYPERLINK \l _Toc7291 </w:instrText>
      </w:r>
      <w:r>
        <w:fldChar w:fldCharType="separate"/>
      </w:r>
      <w:r>
        <w:t>第</w:t>
      </w:r>
      <w:r>
        <w:rPr>
          <w:rFonts w:hint="eastAsia"/>
          <w:lang w:val="en-US" w:eastAsia="zh-CN"/>
        </w:rPr>
        <w:t>二</w:t>
      </w:r>
      <w:r>
        <w:t>部分  突发环境事件应急预案</w:t>
      </w:r>
      <w:r>
        <w:tab/>
      </w:r>
      <w:r>
        <w:fldChar w:fldCharType="begin"/>
      </w:r>
      <w:r>
        <w:instrText xml:space="preserve"> PAGEREF _Toc7291 \h </w:instrText>
      </w:r>
      <w:r>
        <w:fldChar w:fldCharType="separate"/>
      </w:r>
      <w:r>
        <w:t>18</w:t>
      </w:r>
      <w:r>
        <w:fldChar w:fldCharType="end"/>
      </w:r>
      <w:r>
        <w:fldChar w:fldCharType="end"/>
      </w:r>
    </w:p>
    <w:p w14:paraId="416517EB">
      <w:pPr>
        <w:pStyle w:val="16"/>
        <w:tabs>
          <w:tab w:val="right" w:leader="dot" w:pos="8312"/>
        </w:tabs>
      </w:pPr>
      <w:r>
        <w:fldChar w:fldCharType="begin"/>
      </w:r>
      <w:r>
        <w:instrText xml:space="preserve"> HYPERLINK \l _Toc1463 </w:instrText>
      </w:r>
      <w:r>
        <w:fldChar w:fldCharType="separate"/>
      </w:r>
      <w:r>
        <w:t>1总则</w:t>
      </w:r>
      <w:r>
        <w:tab/>
      </w:r>
      <w:r>
        <w:fldChar w:fldCharType="begin"/>
      </w:r>
      <w:r>
        <w:instrText xml:space="preserve"> PAGEREF _Toc1463 \h </w:instrText>
      </w:r>
      <w:r>
        <w:fldChar w:fldCharType="separate"/>
      </w:r>
      <w:r>
        <w:t>18</w:t>
      </w:r>
      <w:r>
        <w:fldChar w:fldCharType="end"/>
      </w:r>
      <w:r>
        <w:fldChar w:fldCharType="end"/>
      </w:r>
    </w:p>
    <w:p w14:paraId="524B2CCB">
      <w:pPr>
        <w:pStyle w:val="16"/>
        <w:tabs>
          <w:tab w:val="right" w:leader="dot" w:pos="8312"/>
        </w:tabs>
      </w:pPr>
      <w:r>
        <w:fldChar w:fldCharType="begin"/>
      </w:r>
      <w:r>
        <w:instrText xml:space="preserve"> HYPERLINK \l _Toc29888 </w:instrText>
      </w:r>
      <w:r>
        <w:fldChar w:fldCharType="separate"/>
      </w:r>
      <w:r>
        <w:t>2应急组织指挥体系构成及职责</w:t>
      </w:r>
      <w:r>
        <w:tab/>
      </w:r>
      <w:r>
        <w:fldChar w:fldCharType="begin"/>
      </w:r>
      <w:r>
        <w:instrText xml:space="preserve"> PAGEREF _Toc29888 \h </w:instrText>
      </w:r>
      <w:r>
        <w:fldChar w:fldCharType="separate"/>
      </w:r>
      <w:r>
        <w:t>24</w:t>
      </w:r>
      <w:r>
        <w:fldChar w:fldCharType="end"/>
      </w:r>
      <w:r>
        <w:fldChar w:fldCharType="end"/>
      </w:r>
    </w:p>
    <w:p w14:paraId="6E83D3F7">
      <w:pPr>
        <w:pStyle w:val="16"/>
        <w:tabs>
          <w:tab w:val="right" w:leader="dot" w:pos="8312"/>
        </w:tabs>
      </w:pPr>
      <w:r>
        <w:fldChar w:fldCharType="begin"/>
      </w:r>
      <w:r>
        <w:instrText xml:space="preserve"> HYPERLINK \l _Toc28765 </w:instrText>
      </w:r>
      <w:r>
        <w:fldChar w:fldCharType="separate"/>
      </w:r>
      <w:r>
        <w:t>3应急响应</w:t>
      </w:r>
      <w:r>
        <w:tab/>
      </w:r>
      <w:r>
        <w:fldChar w:fldCharType="begin"/>
      </w:r>
      <w:r>
        <w:instrText xml:space="preserve"> PAGEREF _Toc28765 \h </w:instrText>
      </w:r>
      <w:r>
        <w:fldChar w:fldCharType="separate"/>
      </w:r>
      <w:r>
        <w:t>29</w:t>
      </w:r>
      <w:r>
        <w:fldChar w:fldCharType="end"/>
      </w:r>
      <w:r>
        <w:fldChar w:fldCharType="end"/>
      </w:r>
    </w:p>
    <w:p w14:paraId="1A400895">
      <w:pPr>
        <w:pStyle w:val="16"/>
        <w:tabs>
          <w:tab w:val="right" w:leader="dot" w:pos="8312"/>
        </w:tabs>
      </w:pPr>
      <w:r>
        <w:fldChar w:fldCharType="begin"/>
      </w:r>
      <w:r>
        <w:instrText xml:space="preserve"> HYPERLINK \l _Toc2191 </w:instrText>
      </w:r>
      <w:r>
        <w:fldChar w:fldCharType="separate"/>
      </w:r>
      <w:r>
        <w:t>4后期工作</w:t>
      </w:r>
      <w:r>
        <w:tab/>
      </w:r>
      <w:r>
        <w:fldChar w:fldCharType="begin"/>
      </w:r>
      <w:r>
        <w:instrText xml:space="preserve"> PAGEREF _Toc2191 \h </w:instrText>
      </w:r>
      <w:r>
        <w:fldChar w:fldCharType="separate"/>
      </w:r>
      <w:r>
        <w:t>52</w:t>
      </w:r>
      <w:r>
        <w:fldChar w:fldCharType="end"/>
      </w:r>
      <w:r>
        <w:fldChar w:fldCharType="end"/>
      </w:r>
    </w:p>
    <w:p w14:paraId="233F78F9">
      <w:pPr>
        <w:pStyle w:val="16"/>
        <w:tabs>
          <w:tab w:val="right" w:leader="dot" w:pos="8312"/>
        </w:tabs>
      </w:pPr>
      <w:r>
        <w:fldChar w:fldCharType="begin"/>
      </w:r>
      <w:r>
        <w:instrText xml:space="preserve"> HYPERLINK \l _Toc12109 </w:instrText>
      </w:r>
      <w:r>
        <w:fldChar w:fldCharType="separate"/>
      </w:r>
      <w:r>
        <w:t>5应急保障</w:t>
      </w:r>
      <w:r>
        <w:tab/>
      </w:r>
      <w:r>
        <w:fldChar w:fldCharType="begin"/>
      </w:r>
      <w:r>
        <w:instrText xml:space="preserve"> PAGEREF _Toc12109 \h </w:instrText>
      </w:r>
      <w:r>
        <w:fldChar w:fldCharType="separate"/>
      </w:r>
      <w:r>
        <w:t>54</w:t>
      </w:r>
      <w:r>
        <w:fldChar w:fldCharType="end"/>
      </w:r>
      <w:r>
        <w:fldChar w:fldCharType="end"/>
      </w:r>
    </w:p>
    <w:p w14:paraId="61F8F92A">
      <w:pPr>
        <w:pStyle w:val="16"/>
        <w:tabs>
          <w:tab w:val="right" w:leader="dot" w:pos="8312"/>
        </w:tabs>
      </w:pPr>
      <w:r>
        <w:fldChar w:fldCharType="begin"/>
      </w:r>
      <w:r>
        <w:instrText xml:space="preserve"> HYPERLINK \l _Toc26666 </w:instrText>
      </w:r>
      <w:r>
        <w:fldChar w:fldCharType="separate"/>
      </w:r>
      <w:r>
        <w:t>6附则</w:t>
      </w:r>
      <w:r>
        <w:tab/>
      </w:r>
      <w:r>
        <w:fldChar w:fldCharType="begin"/>
      </w:r>
      <w:r>
        <w:instrText xml:space="preserve"> PAGEREF _Toc26666 \h </w:instrText>
      </w:r>
      <w:r>
        <w:fldChar w:fldCharType="separate"/>
      </w:r>
      <w:r>
        <w:t>56</w:t>
      </w:r>
      <w:r>
        <w:fldChar w:fldCharType="end"/>
      </w:r>
      <w:r>
        <w:fldChar w:fldCharType="end"/>
      </w:r>
    </w:p>
    <w:p w14:paraId="469E57E5">
      <w:pPr>
        <w:pStyle w:val="15"/>
        <w:tabs>
          <w:tab w:val="right" w:leader="dot" w:pos="8312"/>
        </w:tabs>
      </w:pPr>
      <w:r>
        <w:fldChar w:fldCharType="begin"/>
      </w:r>
      <w:r>
        <w:instrText xml:space="preserve"> HYPERLINK \l _Toc12728 </w:instrText>
      </w:r>
      <w:r>
        <w:fldChar w:fldCharType="separate"/>
      </w:r>
      <w:r>
        <w:rPr>
          <w:bCs w:val="0"/>
        </w:rPr>
        <w:t>第</w:t>
      </w:r>
      <w:r>
        <w:rPr>
          <w:rFonts w:hint="eastAsia"/>
          <w:bCs w:val="0"/>
          <w:lang w:val="en-US" w:eastAsia="zh-CN"/>
        </w:rPr>
        <w:t>三</w:t>
      </w:r>
      <w:r>
        <w:rPr>
          <w:bCs w:val="0"/>
        </w:rPr>
        <w:t>部分   环境风险评估报告</w:t>
      </w:r>
      <w:r>
        <w:tab/>
      </w:r>
      <w:r>
        <w:fldChar w:fldCharType="begin"/>
      </w:r>
      <w:r>
        <w:instrText xml:space="preserve"> PAGEREF _Toc12728 \h </w:instrText>
      </w:r>
      <w:r>
        <w:fldChar w:fldCharType="separate"/>
      </w:r>
      <w:r>
        <w:t>58</w:t>
      </w:r>
      <w:r>
        <w:fldChar w:fldCharType="end"/>
      </w:r>
      <w:r>
        <w:fldChar w:fldCharType="end"/>
      </w:r>
    </w:p>
    <w:p w14:paraId="7AAA9B81">
      <w:pPr>
        <w:pStyle w:val="16"/>
        <w:tabs>
          <w:tab w:val="right" w:leader="dot" w:pos="8312"/>
        </w:tabs>
      </w:pPr>
      <w:r>
        <w:fldChar w:fldCharType="begin"/>
      </w:r>
      <w:r>
        <w:instrText xml:space="preserve"> HYPERLINK \l _Toc23643 </w:instrText>
      </w:r>
      <w:r>
        <w:fldChar w:fldCharType="separate"/>
      </w:r>
      <w:r>
        <w:rPr>
          <w:rFonts w:hint="eastAsia"/>
          <w:lang w:val="en-US" w:eastAsia="zh-CN"/>
        </w:rPr>
        <w:t>3</w:t>
      </w:r>
      <w:r>
        <w:t>.1水源地保护区环境风险源辨识</w:t>
      </w:r>
      <w:r>
        <w:tab/>
      </w:r>
      <w:r>
        <w:fldChar w:fldCharType="begin"/>
      </w:r>
      <w:r>
        <w:instrText xml:space="preserve"> PAGEREF _Toc23643 \h </w:instrText>
      </w:r>
      <w:r>
        <w:fldChar w:fldCharType="separate"/>
      </w:r>
      <w:r>
        <w:t>58</w:t>
      </w:r>
      <w:r>
        <w:fldChar w:fldCharType="end"/>
      </w:r>
      <w:r>
        <w:fldChar w:fldCharType="end"/>
      </w:r>
    </w:p>
    <w:p w14:paraId="48172613">
      <w:pPr>
        <w:pStyle w:val="16"/>
        <w:tabs>
          <w:tab w:val="right" w:leader="dot" w:pos="8312"/>
        </w:tabs>
      </w:pPr>
      <w:r>
        <w:fldChar w:fldCharType="begin"/>
      </w:r>
      <w:r>
        <w:instrText xml:space="preserve"> HYPERLINK \l _Toc27705 </w:instrText>
      </w:r>
      <w:r>
        <w:fldChar w:fldCharType="separate"/>
      </w:r>
      <w:r>
        <w:rPr>
          <w:rFonts w:hint="eastAsia"/>
          <w:lang w:val="en-US" w:eastAsia="zh-CN"/>
        </w:rPr>
        <w:t>3</w:t>
      </w:r>
      <w:r>
        <w:rPr>
          <w:rFonts w:hint="eastAsia"/>
        </w:rPr>
        <w:t>.2环境风险分析</w:t>
      </w:r>
      <w:r>
        <w:tab/>
      </w:r>
      <w:r>
        <w:fldChar w:fldCharType="begin"/>
      </w:r>
      <w:r>
        <w:instrText xml:space="preserve"> PAGEREF _Toc27705 \h </w:instrText>
      </w:r>
      <w:r>
        <w:fldChar w:fldCharType="separate"/>
      </w:r>
      <w:r>
        <w:t>67</w:t>
      </w:r>
      <w:r>
        <w:fldChar w:fldCharType="end"/>
      </w:r>
      <w:r>
        <w:fldChar w:fldCharType="end"/>
      </w:r>
    </w:p>
    <w:p w14:paraId="724943B1">
      <w:pPr>
        <w:pStyle w:val="16"/>
        <w:tabs>
          <w:tab w:val="right" w:leader="dot" w:pos="8312"/>
        </w:tabs>
      </w:pPr>
      <w:r>
        <w:fldChar w:fldCharType="begin"/>
      </w:r>
      <w:r>
        <w:instrText xml:space="preserve"> HYPERLINK \l _Toc23610 </w:instrText>
      </w:r>
      <w:r>
        <w:fldChar w:fldCharType="separate"/>
      </w:r>
      <w:r>
        <w:rPr>
          <w:rFonts w:hint="eastAsia"/>
          <w:lang w:val="en-US" w:eastAsia="zh-CN"/>
        </w:rPr>
        <w:t>3</w:t>
      </w:r>
      <w:r>
        <w:t>.3 环境风险评估</w:t>
      </w:r>
      <w:r>
        <w:tab/>
      </w:r>
      <w:r>
        <w:fldChar w:fldCharType="begin"/>
      </w:r>
      <w:r>
        <w:instrText xml:space="preserve"> PAGEREF _Toc23610 \h </w:instrText>
      </w:r>
      <w:r>
        <w:fldChar w:fldCharType="separate"/>
      </w:r>
      <w:r>
        <w:t>75</w:t>
      </w:r>
      <w:r>
        <w:fldChar w:fldCharType="end"/>
      </w:r>
      <w:r>
        <w:fldChar w:fldCharType="end"/>
      </w:r>
    </w:p>
    <w:p w14:paraId="03AD9F68">
      <w:pPr>
        <w:pStyle w:val="16"/>
        <w:tabs>
          <w:tab w:val="right" w:leader="dot" w:pos="8312"/>
        </w:tabs>
      </w:pPr>
      <w:r>
        <w:fldChar w:fldCharType="begin"/>
      </w:r>
      <w:r>
        <w:instrText xml:space="preserve"> HYPERLINK \l _Toc151 </w:instrText>
      </w:r>
      <w:r>
        <w:fldChar w:fldCharType="separate"/>
      </w:r>
      <w:r>
        <w:rPr>
          <w:rFonts w:hint="eastAsia"/>
          <w:lang w:val="en-US" w:eastAsia="zh-CN"/>
        </w:rPr>
        <w:t>3</w:t>
      </w:r>
      <w:r>
        <w:rPr>
          <w:rFonts w:hint="eastAsia"/>
        </w:rPr>
        <w:t>.4水源地保护区现有应急防控体系及应急能力建设</w:t>
      </w:r>
      <w:r>
        <w:tab/>
      </w:r>
      <w:r>
        <w:fldChar w:fldCharType="begin"/>
      </w:r>
      <w:r>
        <w:instrText xml:space="preserve"> PAGEREF _Toc151 \h </w:instrText>
      </w:r>
      <w:r>
        <w:fldChar w:fldCharType="separate"/>
      </w:r>
      <w:r>
        <w:t>83</w:t>
      </w:r>
      <w:r>
        <w:fldChar w:fldCharType="end"/>
      </w:r>
      <w:r>
        <w:fldChar w:fldCharType="end"/>
      </w:r>
    </w:p>
    <w:p w14:paraId="5857404B">
      <w:pPr>
        <w:pStyle w:val="15"/>
        <w:tabs>
          <w:tab w:val="right" w:leader="dot" w:pos="8312"/>
        </w:tabs>
      </w:pPr>
      <w:r>
        <w:fldChar w:fldCharType="begin"/>
      </w:r>
      <w:r>
        <w:instrText xml:space="preserve"> HYPERLINK \l _Toc31954 </w:instrText>
      </w:r>
      <w:r>
        <w:fldChar w:fldCharType="separate"/>
      </w:r>
      <w:r>
        <w:rPr>
          <w:bCs w:val="0"/>
        </w:rPr>
        <w:t>第四部分   环境应急资源调查报告</w:t>
      </w:r>
      <w:r>
        <w:tab/>
      </w:r>
      <w:r>
        <w:fldChar w:fldCharType="begin"/>
      </w:r>
      <w:r>
        <w:instrText xml:space="preserve"> PAGEREF _Toc31954 \h </w:instrText>
      </w:r>
      <w:r>
        <w:fldChar w:fldCharType="separate"/>
      </w:r>
      <w:r>
        <w:t>92</w:t>
      </w:r>
      <w:r>
        <w:fldChar w:fldCharType="end"/>
      </w:r>
      <w:r>
        <w:fldChar w:fldCharType="end"/>
      </w:r>
    </w:p>
    <w:p w14:paraId="327E0CFF">
      <w:pPr>
        <w:pStyle w:val="15"/>
        <w:tabs>
          <w:tab w:val="right" w:leader="dot" w:pos="8312"/>
        </w:tabs>
      </w:pPr>
      <w:r>
        <w:fldChar w:fldCharType="begin"/>
      </w:r>
      <w:r>
        <w:instrText xml:space="preserve"> HYPERLINK \l _Toc14551 </w:instrText>
      </w:r>
      <w:r>
        <w:fldChar w:fldCharType="separate"/>
      </w:r>
      <w:r>
        <w:rPr>
          <w:kern w:val="44"/>
        </w:rPr>
        <w:t>1、应急资源调查概要</w:t>
      </w:r>
      <w:r>
        <w:tab/>
      </w:r>
      <w:r>
        <w:fldChar w:fldCharType="begin"/>
      </w:r>
      <w:r>
        <w:instrText xml:space="preserve"> PAGEREF _Toc14551 \h </w:instrText>
      </w:r>
      <w:r>
        <w:fldChar w:fldCharType="separate"/>
      </w:r>
      <w:r>
        <w:t>92</w:t>
      </w:r>
      <w:r>
        <w:fldChar w:fldCharType="end"/>
      </w:r>
      <w:r>
        <w:fldChar w:fldCharType="end"/>
      </w:r>
    </w:p>
    <w:p w14:paraId="00576881">
      <w:pPr>
        <w:pStyle w:val="16"/>
        <w:tabs>
          <w:tab w:val="right" w:leader="dot" w:pos="8312"/>
        </w:tabs>
      </w:pPr>
      <w:r>
        <w:fldChar w:fldCharType="begin"/>
      </w:r>
      <w:r>
        <w:instrText xml:space="preserve"> HYPERLINK \l _Toc27799 </w:instrText>
      </w:r>
      <w:r>
        <w:fldChar w:fldCharType="separate"/>
      </w:r>
      <w:r>
        <w:rPr>
          <w:rFonts w:hint="eastAsia"/>
          <w:kern w:val="0"/>
          <w:szCs w:val="20"/>
        </w:rPr>
        <w:t>1.1调查目的</w:t>
      </w:r>
      <w:r>
        <w:tab/>
      </w:r>
      <w:r>
        <w:fldChar w:fldCharType="begin"/>
      </w:r>
      <w:r>
        <w:instrText xml:space="preserve"> PAGEREF _Toc27799 \h </w:instrText>
      </w:r>
      <w:r>
        <w:fldChar w:fldCharType="separate"/>
      </w:r>
      <w:r>
        <w:t>92</w:t>
      </w:r>
      <w:r>
        <w:fldChar w:fldCharType="end"/>
      </w:r>
      <w:r>
        <w:fldChar w:fldCharType="end"/>
      </w:r>
    </w:p>
    <w:p w14:paraId="4CDFEA67">
      <w:pPr>
        <w:pStyle w:val="16"/>
        <w:tabs>
          <w:tab w:val="right" w:leader="dot" w:pos="8312"/>
        </w:tabs>
      </w:pPr>
      <w:r>
        <w:fldChar w:fldCharType="begin"/>
      </w:r>
      <w:r>
        <w:instrText xml:space="preserve"> HYPERLINK \l _Toc27676 </w:instrText>
      </w:r>
      <w:r>
        <w:fldChar w:fldCharType="separate"/>
      </w:r>
      <w:r>
        <w:rPr>
          <w:kern w:val="0"/>
          <w:szCs w:val="20"/>
        </w:rPr>
        <w:t>1.2调查原则</w:t>
      </w:r>
      <w:r>
        <w:tab/>
      </w:r>
      <w:r>
        <w:fldChar w:fldCharType="begin"/>
      </w:r>
      <w:r>
        <w:instrText xml:space="preserve"> PAGEREF _Toc27676 \h </w:instrText>
      </w:r>
      <w:r>
        <w:fldChar w:fldCharType="separate"/>
      </w:r>
      <w:r>
        <w:t>92</w:t>
      </w:r>
      <w:r>
        <w:fldChar w:fldCharType="end"/>
      </w:r>
      <w:r>
        <w:fldChar w:fldCharType="end"/>
      </w:r>
    </w:p>
    <w:p w14:paraId="32EF51B5">
      <w:pPr>
        <w:pStyle w:val="16"/>
        <w:tabs>
          <w:tab w:val="right" w:leader="dot" w:pos="8312"/>
        </w:tabs>
      </w:pPr>
      <w:r>
        <w:fldChar w:fldCharType="begin"/>
      </w:r>
      <w:r>
        <w:instrText xml:space="preserve"> HYPERLINK \l _Toc26288 </w:instrText>
      </w:r>
      <w:r>
        <w:fldChar w:fldCharType="separate"/>
      </w:r>
      <w:r>
        <w:rPr>
          <w:kern w:val="0"/>
          <w:szCs w:val="20"/>
        </w:rPr>
        <w:t>1.3调查主体和调查对象</w:t>
      </w:r>
      <w:r>
        <w:tab/>
      </w:r>
      <w:r>
        <w:fldChar w:fldCharType="begin"/>
      </w:r>
      <w:r>
        <w:instrText xml:space="preserve"> PAGEREF _Toc26288 \h </w:instrText>
      </w:r>
      <w:r>
        <w:fldChar w:fldCharType="separate"/>
      </w:r>
      <w:r>
        <w:t>92</w:t>
      </w:r>
      <w:r>
        <w:fldChar w:fldCharType="end"/>
      </w:r>
      <w:r>
        <w:fldChar w:fldCharType="end"/>
      </w:r>
    </w:p>
    <w:p w14:paraId="55BF2B69">
      <w:pPr>
        <w:pStyle w:val="16"/>
        <w:tabs>
          <w:tab w:val="right" w:leader="dot" w:pos="8312"/>
        </w:tabs>
      </w:pPr>
      <w:r>
        <w:fldChar w:fldCharType="begin"/>
      </w:r>
      <w:r>
        <w:instrText xml:space="preserve"> HYPERLINK \l _Toc28469 </w:instrText>
      </w:r>
      <w:r>
        <w:fldChar w:fldCharType="separate"/>
      </w:r>
      <w:r>
        <w:rPr>
          <w:kern w:val="0"/>
          <w:szCs w:val="20"/>
        </w:rPr>
        <w:t>1.4调查时间</w:t>
      </w:r>
      <w:r>
        <w:tab/>
      </w:r>
      <w:r>
        <w:fldChar w:fldCharType="begin"/>
      </w:r>
      <w:r>
        <w:instrText xml:space="preserve"> PAGEREF _Toc28469 \h </w:instrText>
      </w:r>
      <w:r>
        <w:fldChar w:fldCharType="separate"/>
      </w:r>
      <w:r>
        <w:t>92</w:t>
      </w:r>
      <w:r>
        <w:fldChar w:fldCharType="end"/>
      </w:r>
      <w:r>
        <w:fldChar w:fldCharType="end"/>
      </w:r>
    </w:p>
    <w:p w14:paraId="4C1962EE">
      <w:pPr>
        <w:pStyle w:val="15"/>
        <w:tabs>
          <w:tab w:val="right" w:leader="dot" w:pos="8312"/>
        </w:tabs>
      </w:pPr>
      <w:r>
        <w:fldChar w:fldCharType="begin"/>
      </w:r>
      <w:r>
        <w:instrText xml:space="preserve"> HYPERLINK \l _Toc468 </w:instrText>
      </w:r>
      <w:r>
        <w:fldChar w:fldCharType="separate"/>
      </w:r>
      <w:r>
        <w:rPr>
          <w:kern w:val="44"/>
        </w:rPr>
        <w:t>2、调查程序及数据核实</w:t>
      </w:r>
      <w:r>
        <w:tab/>
      </w:r>
      <w:r>
        <w:fldChar w:fldCharType="begin"/>
      </w:r>
      <w:r>
        <w:instrText xml:space="preserve"> PAGEREF _Toc468 \h </w:instrText>
      </w:r>
      <w:r>
        <w:fldChar w:fldCharType="separate"/>
      </w:r>
      <w:r>
        <w:t>92</w:t>
      </w:r>
      <w:r>
        <w:fldChar w:fldCharType="end"/>
      </w:r>
      <w:r>
        <w:fldChar w:fldCharType="end"/>
      </w:r>
    </w:p>
    <w:p w14:paraId="5784F83E">
      <w:pPr>
        <w:pStyle w:val="16"/>
        <w:tabs>
          <w:tab w:val="right" w:leader="dot" w:pos="8312"/>
        </w:tabs>
      </w:pPr>
      <w:r>
        <w:fldChar w:fldCharType="begin"/>
      </w:r>
      <w:r>
        <w:instrText xml:space="preserve"> HYPERLINK \l _Toc18076 </w:instrText>
      </w:r>
      <w:r>
        <w:fldChar w:fldCharType="separate"/>
      </w:r>
      <w:r>
        <w:rPr>
          <w:rFonts w:hint="eastAsia"/>
          <w:kern w:val="0"/>
          <w:szCs w:val="20"/>
        </w:rPr>
        <w:t>2.1调查启动</w:t>
      </w:r>
      <w:r>
        <w:tab/>
      </w:r>
      <w:r>
        <w:fldChar w:fldCharType="begin"/>
      </w:r>
      <w:r>
        <w:instrText xml:space="preserve"> PAGEREF _Toc18076 \h </w:instrText>
      </w:r>
      <w:r>
        <w:fldChar w:fldCharType="separate"/>
      </w:r>
      <w:r>
        <w:t>92</w:t>
      </w:r>
      <w:r>
        <w:fldChar w:fldCharType="end"/>
      </w:r>
      <w:r>
        <w:fldChar w:fldCharType="end"/>
      </w:r>
    </w:p>
    <w:p w14:paraId="3D19A7AC">
      <w:pPr>
        <w:pStyle w:val="16"/>
        <w:tabs>
          <w:tab w:val="right" w:leader="dot" w:pos="8312"/>
        </w:tabs>
      </w:pPr>
      <w:r>
        <w:fldChar w:fldCharType="begin"/>
      </w:r>
      <w:r>
        <w:instrText xml:space="preserve"> HYPERLINK \l _Toc16071 </w:instrText>
      </w:r>
      <w:r>
        <w:fldChar w:fldCharType="separate"/>
      </w:r>
      <w:r>
        <w:rPr>
          <w:rFonts w:hint="eastAsia"/>
          <w:kern w:val="0"/>
          <w:szCs w:val="20"/>
        </w:rPr>
        <w:t>2.2数据采集</w:t>
      </w:r>
      <w:r>
        <w:tab/>
      </w:r>
      <w:r>
        <w:fldChar w:fldCharType="begin"/>
      </w:r>
      <w:r>
        <w:instrText xml:space="preserve"> PAGEREF _Toc16071 \h </w:instrText>
      </w:r>
      <w:r>
        <w:fldChar w:fldCharType="separate"/>
      </w:r>
      <w:r>
        <w:t>93</w:t>
      </w:r>
      <w:r>
        <w:fldChar w:fldCharType="end"/>
      </w:r>
      <w:r>
        <w:fldChar w:fldCharType="end"/>
      </w:r>
    </w:p>
    <w:p w14:paraId="47A01868">
      <w:pPr>
        <w:pStyle w:val="16"/>
        <w:tabs>
          <w:tab w:val="right" w:leader="dot" w:pos="8312"/>
        </w:tabs>
      </w:pPr>
      <w:r>
        <w:fldChar w:fldCharType="begin"/>
      </w:r>
      <w:r>
        <w:instrText xml:space="preserve"> HYPERLINK \l _Toc3438 </w:instrText>
      </w:r>
      <w:r>
        <w:fldChar w:fldCharType="separate"/>
      </w:r>
      <w:r>
        <w:rPr>
          <w:rFonts w:hint="eastAsia"/>
          <w:kern w:val="0"/>
          <w:szCs w:val="20"/>
        </w:rPr>
        <w:t>2.3调查信息分析</w:t>
      </w:r>
      <w:r>
        <w:tab/>
      </w:r>
      <w:r>
        <w:fldChar w:fldCharType="begin"/>
      </w:r>
      <w:r>
        <w:instrText xml:space="preserve"> PAGEREF _Toc3438 \h </w:instrText>
      </w:r>
      <w:r>
        <w:fldChar w:fldCharType="separate"/>
      </w:r>
      <w:r>
        <w:t>93</w:t>
      </w:r>
      <w:r>
        <w:fldChar w:fldCharType="end"/>
      </w:r>
      <w:r>
        <w:fldChar w:fldCharType="end"/>
      </w:r>
    </w:p>
    <w:p w14:paraId="62820F01">
      <w:pPr>
        <w:pStyle w:val="16"/>
        <w:tabs>
          <w:tab w:val="right" w:leader="dot" w:pos="8312"/>
        </w:tabs>
      </w:pPr>
      <w:r>
        <w:fldChar w:fldCharType="begin"/>
      </w:r>
      <w:r>
        <w:instrText xml:space="preserve"> HYPERLINK \l _Toc7156 </w:instrText>
      </w:r>
      <w:r>
        <w:fldChar w:fldCharType="separate"/>
      </w:r>
      <w:r>
        <w:rPr>
          <w:rFonts w:hint="eastAsia"/>
          <w:kern w:val="0"/>
          <w:szCs w:val="20"/>
        </w:rPr>
        <w:t>2.4调查报告编制</w:t>
      </w:r>
      <w:r>
        <w:tab/>
      </w:r>
      <w:r>
        <w:fldChar w:fldCharType="begin"/>
      </w:r>
      <w:r>
        <w:instrText xml:space="preserve"> PAGEREF _Toc7156 \h </w:instrText>
      </w:r>
      <w:r>
        <w:fldChar w:fldCharType="separate"/>
      </w:r>
      <w:r>
        <w:t>93</w:t>
      </w:r>
      <w:r>
        <w:fldChar w:fldCharType="end"/>
      </w:r>
      <w:r>
        <w:fldChar w:fldCharType="end"/>
      </w:r>
    </w:p>
    <w:p w14:paraId="5763AC8A">
      <w:pPr>
        <w:pStyle w:val="16"/>
        <w:tabs>
          <w:tab w:val="right" w:leader="dot" w:pos="8312"/>
        </w:tabs>
      </w:pPr>
      <w:r>
        <w:fldChar w:fldCharType="begin"/>
      </w:r>
      <w:r>
        <w:instrText xml:space="preserve"> HYPERLINK \l _Toc24868 </w:instrText>
      </w:r>
      <w:r>
        <w:fldChar w:fldCharType="separate"/>
      </w:r>
      <w:r>
        <w:rPr>
          <w:rFonts w:hint="eastAsia"/>
          <w:kern w:val="0"/>
          <w:szCs w:val="20"/>
        </w:rPr>
        <w:t>2.5质量控制措施</w:t>
      </w:r>
      <w:r>
        <w:tab/>
      </w:r>
      <w:r>
        <w:fldChar w:fldCharType="begin"/>
      </w:r>
      <w:r>
        <w:instrText xml:space="preserve"> PAGEREF _Toc24868 \h </w:instrText>
      </w:r>
      <w:r>
        <w:fldChar w:fldCharType="separate"/>
      </w:r>
      <w:r>
        <w:t>93</w:t>
      </w:r>
      <w:r>
        <w:fldChar w:fldCharType="end"/>
      </w:r>
      <w:r>
        <w:fldChar w:fldCharType="end"/>
      </w:r>
    </w:p>
    <w:p w14:paraId="4E22ACA9">
      <w:pPr>
        <w:pStyle w:val="15"/>
        <w:tabs>
          <w:tab w:val="right" w:leader="dot" w:pos="8312"/>
        </w:tabs>
      </w:pPr>
      <w:r>
        <w:fldChar w:fldCharType="begin"/>
      </w:r>
      <w:r>
        <w:instrText xml:space="preserve"> HYPERLINK \l _Toc24256 </w:instrText>
      </w:r>
      <w:r>
        <w:fldChar w:fldCharType="separate"/>
      </w:r>
      <w:r>
        <w:rPr>
          <w:rFonts w:hint="eastAsia"/>
        </w:rPr>
        <w:t>3、</w:t>
      </w:r>
      <w:r>
        <w:t>环境应急人力资源调查</w:t>
      </w:r>
      <w:r>
        <w:tab/>
      </w:r>
      <w:r>
        <w:fldChar w:fldCharType="begin"/>
      </w:r>
      <w:r>
        <w:instrText xml:space="preserve"> PAGEREF _Toc24256 \h </w:instrText>
      </w:r>
      <w:r>
        <w:fldChar w:fldCharType="separate"/>
      </w:r>
      <w:r>
        <w:t>94</w:t>
      </w:r>
      <w:r>
        <w:fldChar w:fldCharType="end"/>
      </w:r>
      <w:r>
        <w:fldChar w:fldCharType="end"/>
      </w:r>
    </w:p>
    <w:p w14:paraId="36D67B6D">
      <w:pPr>
        <w:pStyle w:val="15"/>
        <w:tabs>
          <w:tab w:val="right" w:leader="dot" w:pos="8312"/>
        </w:tabs>
      </w:pPr>
      <w:r>
        <w:fldChar w:fldCharType="begin"/>
      </w:r>
      <w:r>
        <w:instrText xml:space="preserve"> HYPERLINK \l _Toc24597 </w:instrText>
      </w:r>
      <w:r>
        <w:fldChar w:fldCharType="separate"/>
      </w:r>
      <w:r>
        <w:rPr>
          <w:rFonts w:hint="eastAsia"/>
        </w:rPr>
        <w:t>4、</w:t>
      </w:r>
      <w:r>
        <w:t>环境应急</w:t>
      </w:r>
      <w:r>
        <w:rPr>
          <w:rFonts w:hint="eastAsia"/>
        </w:rPr>
        <w:t>物资、</w:t>
      </w:r>
      <w:r>
        <w:t>装备调查</w:t>
      </w:r>
      <w:r>
        <w:tab/>
      </w:r>
      <w:r>
        <w:fldChar w:fldCharType="begin"/>
      </w:r>
      <w:r>
        <w:instrText xml:space="preserve"> PAGEREF _Toc24597 \h </w:instrText>
      </w:r>
      <w:r>
        <w:fldChar w:fldCharType="separate"/>
      </w:r>
      <w:r>
        <w:t>95</w:t>
      </w:r>
      <w:r>
        <w:fldChar w:fldCharType="end"/>
      </w:r>
      <w:r>
        <w:fldChar w:fldCharType="end"/>
      </w:r>
    </w:p>
    <w:p w14:paraId="300201C2">
      <w:pPr>
        <w:pStyle w:val="15"/>
        <w:tabs>
          <w:tab w:val="right" w:leader="dot" w:pos="8312"/>
        </w:tabs>
      </w:pPr>
      <w:r>
        <w:fldChar w:fldCharType="begin"/>
      </w:r>
      <w:r>
        <w:instrText xml:space="preserve"> HYPERLINK \l _Toc2183 </w:instrText>
      </w:r>
      <w:r>
        <w:fldChar w:fldCharType="separate"/>
      </w:r>
      <w:r>
        <w:rPr>
          <w:rFonts w:hint="eastAsia"/>
        </w:rPr>
        <w:t>5、</w:t>
      </w:r>
      <w:r>
        <w:t>环境应急专项经费调查</w:t>
      </w:r>
      <w:r>
        <w:tab/>
      </w:r>
      <w:r>
        <w:fldChar w:fldCharType="begin"/>
      </w:r>
      <w:r>
        <w:instrText xml:space="preserve"> PAGEREF _Toc2183 \h </w:instrText>
      </w:r>
      <w:r>
        <w:fldChar w:fldCharType="separate"/>
      </w:r>
      <w:r>
        <w:t>96</w:t>
      </w:r>
      <w:r>
        <w:fldChar w:fldCharType="end"/>
      </w:r>
      <w:r>
        <w:fldChar w:fldCharType="end"/>
      </w:r>
    </w:p>
    <w:p w14:paraId="3116030F">
      <w:pPr>
        <w:pStyle w:val="15"/>
        <w:tabs>
          <w:tab w:val="right" w:leader="dot" w:pos="8312"/>
        </w:tabs>
      </w:pPr>
      <w:r>
        <w:fldChar w:fldCharType="begin"/>
      </w:r>
      <w:r>
        <w:instrText xml:space="preserve"> HYPERLINK \l _Toc30988 </w:instrText>
      </w:r>
      <w:r>
        <w:fldChar w:fldCharType="separate"/>
      </w:r>
      <w:r>
        <w:rPr>
          <w:rFonts w:hint="eastAsia"/>
          <w:bCs w:val="0"/>
        </w:rPr>
        <w:t>6、</w:t>
      </w:r>
      <w:r>
        <w:rPr>
          <w:bCs w:val="0"/>
        </w:rPr>
        <w:t>应急资源调查结论</w:t>
      </w:r>
      <w:r>
        <w:tab/>
      </w:r>
      <w:r>
        <w:fldChar w:fldCharType="begin"/>
      </w:r>
      <w:r>
        <w:instrText xml:space="preserve"> PAGEREF _Toc30988 \h </w:instrText>
      </w:r>
      <w:r>
        <w:fldChar w:fldCharType="separate"/>
      </w:r>
      <w:r>
        <w:t>97</w:t>
      </w:r>
      <w:r>
        <w:fldChar w:fldCharType="end"/>
      </w:r>
      <w:r>
        <w:fldChar w:fldCharType="end"/>
      </w:r>
    </w:p>
    <w:p w14:paraId="2DB7C7F7">
      <w:pPr>
        <w:pStyle w:val="16"/>
        <w:tabs>
          <w:tab w:val="right" w:leader="dot" w:pos="8312"/>
        </w:tabs>
      </w:pPr>
      <w:r>
        <w:fldChar w:fldCharType="begin"/>
      </w:r>
      <w:r>
        <w:instrText xml:space="preserve"> HYPERLINK \l _Toc23647 </w:instrText>
      </w:r>
      <w:r>
        <w:fldChar w:fldCharType="separate"/>
      </w:r>
      <w:r>
        <w:rPr>
          <w:rFonts w:hint="eastAsia"/>
        </w:rPr>
        <w:t>6</w:t>
      </w:r>
      <w:r>
        <w:t>.1 总体结论</w:t>
      </w:r>
      <w:r>
        <w:tab/>
      </w:r>
      <w:r>
        <w:fldChar w:fldCharType="begin"/>
      </w:r>
      <w:r>
        <w:instrText xml:space="preserve"> PAGEREF _Toc23647 \h </w:instrText>
      </w:r>
      <w:r>
        <w:fldChar w:fldCharType="separate"/>
      </w:r>
      <w:r>
        <w:t>97</w:t>
      </w:r>
      <w:r>
        <w:fldChar w:fldCharType="end"/>
      </w:r>
      <w:r>
        <w:fldChar w:fldCharType="end"/>
      </w:r>
    </w:p>
    <w:p w14:paraId="2719D403">
      <w:pPr>
        <w:pStyle w:val="16"/>
        <w:tabs>
          <w:tab w:val="right" w:leader="dot" w:pos="8312"/>
        </w:tabs>
      </w:pPr>
      <w:r>
        <w:fldChar w:fldCharType="begin"/>
      </w:r>
      <w:r>
        <w:instrText xml:space="preserve"> HYPERLINK \l _Toc31855 </w:instrText>
      </w:r>
      <w:r>
        <w:fldChar w:fldCharType="separate"/>
      </w:r>
      <w:r>
        <w:rPr>
          <w:rFonts w:hint="eastAsia"/>
        </w:rPr>
        <w:t>6</w:t>
      </w:r>
      <w:r>
        <w:t>.2 建议完善应急资源的配置</w:t>
      </w:r>
      <w:r>
        <w:tab/>
      </w:r>
      <w:r>
        <w:fldChar w:fldCharType="begin"/>
      </w:r>
      <w:r>
        <w:instrText xml:space="preserve"> PAGEREF _Toc31855 \h </w:instrText>
      </w:r>
      <w:r>
        <w:fldChar w:fldCharType="separate"/>
      </w:r>
      <w:r>
        <w:t>97</w:t>
      </w:r>
      <w:r>
        <w:fldChar w:fldCharType="end"/>
      </w:r>
      <w:r>
        <w:fldChar w:fldCharType="end"/>
      </w:r>
    </w:p>
    <w:p w14:paraId="123B90D0">
      <w:r>
        <w:fldChar w:fldCharType="end"/>
      </w:r>
    </w:p>
    <w:p w14:paraId="0EBF07A6"/>
    <w:p w14:paraId="2077CC86"/>
    <w:p w14:paraId="584ED536"/>
    <w:p w14:paraId="03987508"/>
    <w:p w14:paraId="5F88E2BD"/>
    <w:p w14:paraId="3D0C6716"/>
    <w:p w14:paraId="004FF5B1"/>
    <w:p w14:paraId="775CA047"/>
    <w:p w14:paraId="4CB0D7AC"/>
    <w:p w14:paraId="3B7725B9"/>
    <w:p w14:paraId="1C9D7E0C"/>
    <w:p w14:paraId="680918AD"/>
    <w:p w14:paraId="54A3CFDC"/>
    <w:p w14:paraId="3B329384"/>
    <w:p w14:paraId="46B7500F"/>
    <w:p w14:paraId="0E6BE7FA"/>
    <w:p w14:paraId="1D4C9371"/>
    <w:p w14:paraId="06CDB498"/>
    <w:p w14:paraId="39AD8F1E">
      <w:pPr>
        <w:spacing w:line="400" w:lineRule="exact"/>
        <w:rPr>
          <w:b/>
        </w:rPr>
      </w:pPr>
      <w:r>
        <w:rPr>
          <w:b/>
        </w:rPr>
        <w:t>附件：</w:t>
      </w:r>
    </w:p>
    <w:p w14:paraId="16B33374">
      <w:pPr>
        <w:adjustRightInd w:val="0"/>
        <w:snapToGrid w:val="0"/>
        <w:spacing w:line="400" w:lineRule="exact"/>
        <w:ind w:left="960" w:hanging="960" w:hangingChars="400"/>
      </w:pPr>
      <w:r>
        <w:t>附件1    水源地保护区突发环境事件应急组织指挥体系图</w:t>
      </w:r>
    </w:p>
    <w:p w14:paraId="767A4E29">
      <w:pPr>
        <w:spacing w:line="400" w:lineRule="exact"/>
        <w:ind w:left="960" w:hanging="960" w:hangingChars="400"/>
        <w:jc w:val="left"/>
      </w:pPr>
      <w:r>
        <w:t>附件2    原应急预案备案表</w:t>
      </w:r>
    </w:p>
    <w:p w14:paraId="5743B479">
      <w:pPr>
        <w:spacing w:line="400" w:lineRule="exact"/>
        <w:ind w:left="960" w:hanging="960" w:hangingChars="400"/>
        <w:jc w:val="left"/>
      </w:pPr>
      <w:r>
        <w:rPr>
          <w:rFonts w:hint="eastAsia"/>
        </w:rPr>
        <w:t>附件3    原应急预案发布文件</w:t>
      </w:r>
    </w:p>
    <w:p w14:paraId="0B01E0E8">
      <w:pPr>
        <w:spacing w:line="400" w:lineRule="exact"/>
        <w:ind w:left="960" w:hanging="960" w:hangingChars="400"/>
        <w:jc w:val="left"/>
      </w:pPr>
      <w:r>
        <w:rPr>
          <w:rFonts w:hint="eastAsia"/>
        </w:rPr>
        <w:t xml:space="preserve">附件4    </w:t>
      </w:r>
      <w:r>
        <w:t>水源地保护区突发环境事件应急组织指挥部成员名单</w:t>
      </w:r>
    </w:p>
    <w:p w14:paraId="35EE7E64">
      <w:pPr>
        <w:spacing w:line="400" w:lineRule="exact"/>
        <w:ind w:left="960" w:hanging="960" w:hangingChars="400"/>
        <w:jc w:val="left"/>
      </w:pPr>
      <w:r>
        <w:t>附件</w:t>
      </w:r>
      <w:r>
        <w:rPr>
          <w:rFonts w:hint="eastAsia"/>
        </w:rPr>
        <w:t>5</w:t>
      </w:r>
      <w:r>
        <w:t xml:space="preserve">    应急组织指挥部及成员单位联系方式一览表</w:t>
      </w:r>
    </w:p>
    <w:p w14:paraId="1E3AB620">
      <w:pPr>
        <w:spacing w:line="400" w:lineRule="exact"/>
        <w:ind w:left="960" w:hanging="960" w:hangingChars="400"/>
        <w:jc w:val="left"/>
      </w:pPr>
      <w:r>
        <w:t>附件</w:t>
      </w:r>
      <w:r>
        <w:rPr>
          <w:rFonts w:hint="eastAsia"/>
        </w:rPr>
        <w:t>6</w:t>
      </w:r>
      <w:r>
        <w:t xml:space="preserve">    水源地保护区突发环境事件应急专项工作组组长名单</w:t>
      </w:r>
    </w:p>
    <w:p w14:paraId="7D972EF8">
      <w:pPr>
        <w:spacing w:line="400" w:lineRule="exact"/>
        <w:ind w:left="960" w:hanging="960" w:hangingChars="400"/>
        <w:jc w:val="left"/>
      </w:pPr>
      <w:r>
        <w:t>附件</w:t>
      </w:r>
      <w:r>
        <w:rPr>
          <w:rFonts w:hint="eastAsia"/>
        </w:rPr>
        <w:t>7</w:t>
      </w:r>
      <w:r>
        <w:t xml:space="preserve">    水源地保护区突发环境事件应急处置组储备成员名单</w:t>
      </w:r>
    </w:p>
    <w:p w14:paraId="6D29A14C">
      <w:pPr>
        <w:spacing w:line="400" w:lineRule="exact"/>
        <w:ind w:left="960" w:hanging="960" w:hangingChars="400"/>
        <w:jc w:val="left"/>
      </w:pPr>
      <w:r>
        <w:t>附件</w:t>
      </w:r>
      <w:r>
        <w:rPr>
          <w:rFonts w:hint="eastAsia"/>
        </w:rPr>
        <w:t>8</w:t>
      </w:r>
      <w:r>
        <w:t xml:space="preserve">    水源地保护区突发环境事件应急监测组储备成员名单</w:t>
      </w:r>
    </w:p>
    <w:p w14:paraId="7101C353">
      <w:pPr>
        <w:spacing w:line="400" w:lineRule="exact"/>
        <w:ind w:left="960" w:hanging="960" w:hangingChars="400"/>
        <w:jc w:val="left"/>
      </w:pPr>
      <w:r>
        <w:t>附件</w:t>
      </w:r>
      <w:r>
        <w:rPr>
          <w:rFonts w:hint="eastAsia"/>
        </w:rPr>
        <w:t>9</w:t>
      </w:r>
      <w:r>
        <w:t xml:space="preserve">    水源地保护区突发环境事件应急供水保障组储备成员名单</w:t>
      </w:r>
    </w:p>
    <w:p w14:paraId="2190074C">
      <w:pPr>
        <w:spacing w:line="400" w:lineRule="exact"/>
        <w:ind w:left="960" w:hanging="960" w:hangingChars="400"/>
        <w:jc w:val="left"/>
      </w:pPr>
      <w:r>
        <w:t>附件</w:t>
      </w:r>
      <w:r>
        <w:rPr>
          <w:rFonts w:hint="eastAsia"/>
        </w:rPr>
        <w:t>10</w:t>
      </w:r>
      <w:r>
        <w:t xml:space="preserve">   水源地保护区突发环境事件应急物资保障组储备成员名单</w:t>
      </w:r>
    </w:p>
    <w:p w14:paraId="37B810D4">
      <w:pPr>
        <w:spacing w:line="400" w:lineRule="exact"/>
        <w:ind w:left="960" w:hanging="960" w:hangingChars="400"/>
        <w:jc w:val="left"/>
      </w:pPr>
      <w:r>
        <w:t>附件</w:t>
      </w:r>
      <w:r>
        <w:rPr>
          <w:rFonts w:hint="eastAsia"/>
        </w:rPr>
        <w:t>11</w:t>
      </w:r>
      <w:r>
        <w:t xml:space="preserve">   水源地保护区突发环境事件综合组储备成员名单</w:t>
      </w:r>
    </w:p>
    <w:p w14:paraId="0451A3DC">
      <w:pPr>
        <w:adjustRightInd w:val="0"/>
        <w:snapToGrid w:val="0"/>
        <w:spacing w:line="400" w:lineRule="exact"/>
        <w:ind w:left="960" w:hanging="960" w:hangingChars="400"/>
      </w:pPr>
      <w:r>
        <w:t>附件1</w:t>
      </w:r>
      <w:r>
        <w:rPr>
          <w:rFonts w:hint="eastAsia"/>
        </w:rPr>
        <w:t>2</w:t>
      </w:r>
      <w:r>
        <w:t xml:space="preserve">   水源地保护区突发环境事件应急专家组储备成员名单</w:t>
      </w:r>
    </w:p>
    <w:p w14:paraId="15C747E4">
      <w:pPr>
        <w:adjustRightInd w:val="0"/>
        <w:snapToGrid w:val="0"/>
        <w:spacing w:line="400" w:lineRule="exact"/>
        <w:ind w:left="960" w:hanging="960" w:hangingChars="400"/>
      </w:pPr>
      <w:r>
        <w:t>附件1</w:t>
      </w:r>
      <w:r>
        <w:rPr>
          <w:rFonts w:hint="eastAsia"/>
        </w:rPr>
        <w:t>3</w:t>
      </w:r>
      <w:r>
        <w:t xml:space="preserve">   信息接报表</w:t>
      </w:r>
    </w:p>
    <w:p w14:paraId="15DD407E">
      <w:pPr>
        <w:adjustRightInd w:val="0"/>
        <w:snapToGrid w:val="0"/>
        <w:spacing w:line="400" w:lineRule="exact"/>
        <w:ind w:left="960" w:hanging="960" w:hangingChars="400"/>
      </w:pPr>
      <w:r>
        <w:t>附件1</w:t>
      </w:r>
      <w:r>
        <w:rPr>
          <w:rFonts w:hint="eastAsia"/>
        </w:rPr>
        <w:t xml:space="preserve">4 </w:t>
      </w:r>
      <w:r>
        <w:t xml:space="preserve">  应急信息上报表</w:t>
      </w:r>
    </w:p>
    <w:p w14:paraId="6EC15C48">
      <w:pPr>
        <w:adjustRightInd w:val="0"/>
        <w:snapToGrid w:val="0"/>
        <w:spacing w:line="400" w:lineRule="exact"/>
        <w:ind w:left="960" w:hanging="960" w:hangingChars="400"/>
      </w:pPr>
      <w:r>
        <w:t>附件1</w:t>
      </w:r>
      <w:r>
        <w:rPr>
          <w:rFonts w:hint="eastAsia"/>
        </w:rPr>
        <w:t>5</w:t>
      </w:r>
      <w:r>
        <w:t xml:space="preserve">   水源地保护区突发环境事件应急预警调级或解除审批表</w:t>
      </w:r>
    </w:p>
    <w:p w14:paraId="6B317661">
      <w:pPr>
        <w:adjustRightInd w:val="0"/>
        <w:snapToGrid w:val="0"/>
        <w:spacing w:line="400" w:lineRule="exact"/>
        <w:ind w:left="960" w:hanging="960" w:hangingChars="400"/>
      </w:pPr>
      <w:r>
        <w:t>附件1</w:t>
      </w:r>
      <w:r>
        <w:rPr>
          <w:rFonts w:hint="eastAsia"/>
        </w:rPr>
        <w:t>6</w:t>
      </w:r>
      <w:r>
        <w:t xml:space="preserve">   水源地保护区突发环境事件应急预警审批表</w:t>
      </w:r>
    </w:p>
    <w:p w14:paraId="49362719">
      <w:pPr>
        <w:adjustRightInd w:val="0"/>
        <w:snapToGrid w:val="0"/>
        <w:spacing w:line="400" w:lineRule="exact"/>
        <w:ind w:left="960" w:hanging="960" w:hangingChars="400"/>
      </w:pPr>
      <w:r>
        <w:t>附件1</w:t>
      </w:r>
      <w:r>
        <w:rPr>
          <w:rFonts w:hint="eastAsia"/>
        </w:rPr>
        <w:t>7</w:t>
      </w:r>
      <w:r>
        <w:t xml:space="preserve">   应急培训记录表</w:t>
      </w:r>
    </w:p>
    <w:p w14:paraId="67229CE7">
      <w:pPr>
        <w:adjustRightInd w:val="0"/>
        <w:snapToGrid w:val="0"/>
        <w:spacing w:line="400" w:lineRule="exact"/>
        <w:ind w:left="960" w:hanging="960" w:hangingChars="400"/>
      </w:pPr>
      <w:r>
        <w:t>附件</w:t>
      </w:r>
      <w:r>
        <w:rPr>
          <w:rFonts w:hint="eastAsia"/>
        </w:rPr>
        <w:t>18</w:t>
      </w:r>
      <w:r>
        <w:t xml:space="preserve">   应急演练记录表</w:t>
      </w:r>
    </w:p>
    <w:p w14:paraId="6E40D303">
      <w:pPr>
        <w:adjustRightInd w:val="0"/>
        <w:snapToGrid w:val="0"/>
        <w:spacing w:line="400" w:lineRule="exact"/>
        <w:ind w:left="960" w:hanging="960" w:hangingChars="400"/>
        <w:rPr>
          <w:rFonts w:hint="default"/>
          <w:b w:val="0"/>
          <w:bCs w:val="0"/>
          <w:lang w:val="en-US" w:eastAsia="zh-CN"/>
        </w:rPr>
      </w:pPr>
      <w:r>
        <w:rPr>
          <w:rFonts w:hint="eastAsia"/>
          <w:b w:val="0"/>
          <w:bCs w:val="0"/>
          <w:lang w:val="en-US" w:eastAsia="zh-CN"/>
        </w:rPr>
        <w:t>附件19   内审会签到表</w:t>
      </w:r>
    </w:p>
    <w:p w14:paraId="7577F49F">
      <w:pPr>
        <w:adjustRightInd w:val="0"/>
        <w:snapToGrid w:val="0"/>
        <w:spacing w:line="400" w:lineRule="exact"/>
        <w:rPr>
          <w:rFonts w:hint="eastAsia"/>
          <w:b w:val="0"/>
          <w:bCs w:val="0"/>
          <w:lang w:val="en-US" w:eastAsia="zh-CN"/>
        </w:rPr>
      </w:pPr>
      <w:r>
        <w:rPr>
          <w:rFonts w:hint="eastAsia"/>
          <w:b w:val="0"/>
          <w:bCs w:val="0"/>
          <w:lang w:val="en-US" w:eastAsia="zh-CN"/>
        </w:rPr>
        <w:t>附件20   外部专家组评审意见</w:t>
      </w:r>
    </w:p>
    <w:p w14:paraId="5216F0B8">
      <w:pPr>
        <w:pStyle w:val="2"/>
        <w:rPr>
          <w:rFonts w:hint="default"/>
          <w:lang w:val="en-US" w:eastAsia="zh-CN"/>
        </w:rPr>
      </w:pPr>
    </w:p>
    <w:p w14:paraId="6DA8ACBA">
      <w:pPr>
        <w:adjustRightInd w:val="0"/>
        <w:snapToGrid w:val="0"/>
        <w:spacing w:line="400" w:lineRule="exact"/>
        <w:rPr>
          <w:b/>
        </w:rPr>
      </w:pPr>
      <w:r>
        <w:rPr>
          <w:b/>
        </w:rPr>
        <w:t>附图：</w:t>
      </w:r>
    </w:p>
    <w:p w14:paraId="42D89D74">
      <w:pPr>
        <w:snapToGrid w:val="0"/>
        <w:spacing w:line="400" w:lineRule="exact"/>
      </w:pPr>
      <w:r>
        <w:t>附图1  现场照片</w:t>
      </w:r>
    </w:p>
    <w:p w14:paraId="1DF9DE94">
      <w:pPr>
        <w:snapToGrid w:val="0"/>
        <w:spacing w:line="400" w:lineRule="exact"/>
      </w:pPr>
      <w:r>
        <w:t>附图2  水源地保护区取水口地理位置图</w:t>
      </w:r>
    </w:p>
    <w:p w14:paraId="1B41E08B">
      <w:pPr>
        <w:snapToGrid w:val="0"/>
        <w:spacing w:line="400" w:lineRule="exact"/>
      </w:pPr>
      <w:r>
        <w:t xml:space="preserve">附图3  </w:t>
      </w:r>
      <w:r>
        <w:rPr>
          <w:rFonts w:hint="eastAsia"/>
        </w:rPr>
        <w:t>饮用水源保护区定界图</w:t>
      </w:r>
    </w:p>
    <w:p w14:paraId="76E42CAE">
      <w:pPr>
        <w:snapToGrid w:val="0"/>
        <w:spacing w:line="400" w:lineRule="exact"/>
      </w:pPr>
      <w:r>
        <w:t xml:space="preserve">附图4  </w:t>
      </w:r>
      <w:r>
        <w:rPr>
          <w:rFonts w:hint="eastAsia"/>
        </w:rPr>
        <w:t>水源地保护区内污染源分布图</w:t>
      </w:r>
    </w:p>
    <w:p w14:paraId="02F888C5">
      <w:pPr>
        <w:snapToGrid w:val="0"/>
        <w:spacing w:line="400" w:lineRule="exact"/>
        <w:rPr>
          <w:rFonts w:hint="eastAsia"/>
        </w:rPr>
      </w:pPr>
      <w:r>
        <w:t xml:space="preserve">附图5  </w:t>
      </w:r>
      <w:r>
        <w:rPr>
          <w:rFonts w:hint="eastAsia"/>
        </w:rPr>
        <w:t>水源地保护区调查范围内污染源分布图</w:t>
      </w:r>
    </w:p>
    <w:p w14:paraId="6E4A7BEB">
      <w:pPr>
        <w:snapToGrid w:val="0"/>
        <w:spacing w:line="400" w:lineRule="exact"/>
        <w:rPr>
          <w:rFonts w:hint="eastAsia"/>
        </w:rPr>
      </w:pPr>
      <w:r>
        <w:rPr>
          <w:rFonts w:hint="eastAsia"/>
        </w:rPr>
        <w:t>附图6  水源地保护区周边水系图</w:t>
      </w:r>
    </w:p>
    <w:p w14:paraId="21E3C25E">
      <w:pPr>
        <w:snapToGrid w:val="0"/>
        <w:sectPr>
          <w:footerReference r:id="rId5" w:type="default"/>
          <w:pgSz w:w="11906" w:h="16838"/>
          <w:pgMar w:top="1440" w:right="1797" w:bottom="1440" w:left="1797" w:header="709" w:footer="709" w:gutter="0"/>
          <w:pgNumType w:start="1"/>
          <w:cols w:space="720" w:num="1"/>
          <w:docGrid w:linePitch="360" w:charSpace="0"/>
        </w:sectPr>
      </w:pPr>
    </w:p>
    <w:p w14:paraId="38B2D1B5">
      <w:pPr>
        <w:pStyle w:val="3"/>
        <w:jc w:val="center"/>
        <w:rPr>
          <w:rStyle w:val="54"/>
          <w:b w:val="0"/>
          <w:bCs w:val="0"/>
          <w:sz w:val="32"/>
        </w:rPr>
      </w:pPr>
      <w:bookmarkStart w:id="0" w:name="_Toc6415"/>
      <w:bookmarkStart w:id="1" w:name="_Toc1090"/>
      <w:bookmarkStart w:id="2" w:name="_Toc7371"/>
      <w:r>
        <w:t>第一部分</w:t>
      </w:r>
      <w:r>
        <w:rPr>
          <w:rFonts w:hint="eastAsia"/>
          <w:lang w:val="en-US" w:eastAsia="zh-CN"/>
        </w:rPr>
        <w:t xml:space="preserve">  </w:t>
      </w:r>
      <w:r>
        <w:t>修编情况说明</w:t>
      </w:r>
      <w:bookmarkEnd w:id="0"/>
      <w:bookmarkEnd w:id="1"/>
      <w:bookmarkEnd w:id="2"/>
    </w:p>
    <w:p w14:paraId="76BA9CFD">
      <w:pPr>
        <w:adjustRightInd w:val="0"/>
        <w:snapToGrid w:val="0"/>
        <w:ind w:firstLine="480" w:firstLineChars="200"/>
      </w:pPr>
      <w:bookmarkStart w:id="3" w:name="_Toc9890"/>
      <w:bookmarkStart w:id="4" w:name="_Toc28944"/>
      <w:bookmarkStart w:id="5" w:name="_Toc485049343"/>
      <w:bookmarkStart w:id="6" w:name="_Toc22831"/>
      <w:bookmarkStart w:id="7" w:name="_Toc485049267"/>
      <w:bookmarkStart w:id="8" w:name="_Toc485037832"/>
      <w:bookmarkStart w:id="9" w:name="_Toc26542"/>
      <w:bookmarkStart w:id="10" w:name="_Toc2682"/>
      <w:bookmarkStart w:id="11" w:name="_Toc26364"/>
      <w:r>
        <w:rPr>
          <w:rFonts w:hint="eastAsia"/>
        </w:rPr>
        <w:t>2019年12月27日，湖南省生态环境厅划定关峡乡兰溪水水源地为乡镇级“千吨万人”集中式饮用水水源保护区（湘环函〔2019〕231号），该保护区位于</w:t>
      </w:r>
      <w:r>
        <w:rPr>
          <w:kern w:val="0"/>
        </w:rPr>
        <w:t>绥宁县关峡苗族乡插柳村</w:t>
      </w:r>
      <w:r>
        <w:rPr>
          <w:rFonts w:hint="eastAsia"/>
          <w:kern w:val="0"/>
        </w:rPr>
        <w:t>，为河流型地表水</w:t>
      </w:r>
      <w:r>
        <w:t>水源地保护区</w:t>
      </w:r>
      <w:r>
        <w:rPr>
          <w:rFonts w:hint="eastAsia"/>
        </w:rPr>
        <w:t>，</w:t>
      </w:r>
      <w:r>
        <w:rPr>
          <w:rFonts w:hint="eastAsia"/>
          <w:u w:val="wave"/>
        </w:rPr>
        <w:t>一级保护区为：一级水域：关峡水厂一级水域保护区水域长度为取水口上游330m，下游30m；一级陆域：一级保护区水域边界向陆域纵深10米的陆域。二级保护区为：二级水域：水域长度为一级水域保护区边界上游670m，下游外侧边界距一级保护区边界70m；二级陆域：二级保护区水域边界向陆域纵深50米的陆域。在一级陆域保护区外侧，取一级保护区陆域边界向陆域纵深40米的陆域范围。</w:t>
      </w:r>
      <w:r>
        <w:rPr>
          <w:rFonts w:hint="eastAsia"/>
        </w:rPr>
        <w:t>不设置准保护区。</w:t>
      </w:r>
    </w:p>
    <w:p w14:paraId="000D8956">
      <w:pPr>
        <w:adjustRightInd w:val="0"/>
        <w:snapToGrid w:val="0"/>
        <w:ind w:firstLine="480" w:firstLineChars="200"/>
      </w:pPr>
      <w:r>
        <w:rPr>
          <w:rFonts w:hint="eastAsia"/>
        </w:rPr>
        <w:t>2020年9月，绥宁县人民政府委托邵阳市生态环境局绥宁分局</w:t>
      </w:r>
      <w:r>
        <w:t>编制了《</w:t>
      </w:r>
      <w:r>
        <w:rPr>
          <w:rFonts w:hint="eastAsia"/>
        </w:rPr>
        <w:t>绥宁县关峡苗族乡兰溪水饮用水水源地保护区</w:t>
      </w:r>
      <w:r>
        <w:t>突发环境事件应急预案</w:t>
      </w:r>
      <w:r>
        <w:rPr>
          <w:rFonts w:hint="eastAsia"/>
        </w:rPr>
        <w:t>（2020年版）</w:t>
      </w:r>
      <w:r>
        <w:t>》</w:t>
      </w:r>
      <w:r>
        <w:rPr>
          <w:rFonts w:hint="eastAsia"/>
        </w:rPr>
        <w:t>，</w:t>
      </w:r>
      <w:r>
        <w:t>其主要内容</w:t>
      </w:r>
      <w:r>
        <w:rPr>
          <w:rFonts w:hint="eastAsia"/>
        </w:rPr>
        <w:t>为</w:t>
      </w:r>
      <w:r>
        <w:t>综合应急预案；该预案于20</w:t>
      </w:r>
      <w:r>
        <w:rPr>
          <w:rFonts w:hint="eastAsia"/>
        </w:rPr>
        <w:t>20</w:t>
      </w:r>
      <w:r>
        <w:t>年</w:t>
      </w:r>
      <w:r>
        <w:rPr>
          <w:rFonts w:hint="eastAsia"/>
        </w:rPr>
        <w:t>9</w:t>
      </w:r>
      <w:r>
        <w:t>月</w:t>
      </w:r>
      <w:r>
        <w:rPr>
          <w:rFonts w:hint="eastAsia"/>
        </w:rPr>
        <w:t>22日和9月25日分别</w:t>
      </w:r>
      <w:r>
        <w:t>在邵阳市生态环境局</w:t>
      </w:r>
      <w:r>
        <w:rPr>
          <w:rFonts w:hint="eastAsia"/>
        </w:rPr>
        <w:t>绥宁分局、</w:t>
      </w:r>
      <w:r>
        <w:t>邵阳市生态环境局进行了备案</w:t>
      </w:r>
      <w:r>
        <w:rPr>
          <w:rFonts w:hint="eastAsia"/>
        </w:rPr>
        <w:t>（备案号分别为430527-2020-008-E、430527-2020-005-E）</w:t>
      </w:r>
      <w:r>
        <w:t>，目前《</w:t>
      </w:r>
      <w:r>
        <w:rPr>
          <w:rFonts w:hint="eastAsia"/>
        </w:rPr>
        <w:t>绥宁县关峡苗族乡兰溪水饮用水水源地保护区</w:t>
      </w:r>
      <w:r>
        <w:t>突发环境事件应急预案</w:t>
      </w:r>
      <w:r>
        <w:rPr>
          <w:rFonts w:hint="eastAsia"/>
        </w:rPr>
        <w:t>（2020年版）</w:t>
      </w:r>
      <w:r>
        <w:t>》已经运行</w:t>
      </w:r>
      <w:r>
        <w:rPr>
          <w:rFonts w:hint="eastAsia"/>
        </w:rPr>
        <w:t>了三年</w:t>
      </w:r>
      <w:r>
        <w:t>。</w:t>
      </w:r>
      <w:r>
        <w:rPr>
          <w:rFonts w:hint="eastAsia"/>
          <w:u w:val="wave"/>
        </w:rPr>
        <w:t>原2019年版《突发环境事件应急预案》自备案后，关峡水厂兰溪</w:t>
      </w:r>
      <w:r>
        <w:rPr>
          <w:u w:val="wave"/>
        </w:rPr>
        <w:t>集中式饮用水水源地保护区</w:t>
      </w:r>
      <w:r>
        <w:rPr>
          <w:rFonts w:hint="eastAsia"/>
          <w:u w:val="wave"/>
        </w:rPr>
        <w:t>及上游未发生过突发环境事件。</w:t>
      </w:r>
    </w:p>
    <w:p w14:paraId="13CDDB13">
      <w:pPr>
        <w:ind w:firstLine="480" w:firstLineChars="200"/>
      </w:pPr>
      <w:r>
        <w:rPr>
          <w:rFonts w:hint="eastAsia"/>
        </w:rPr>
        <w:t>绥宁县人民政府</w:t>
      </w:r>
      <w:r>
        <w:t>为积极应对突发环境事件，规范环境应急管理工作、提高应对和防范突发环境事件能力，防止突发性环境污染事故的发生，并能在事故发生后．能迅速有效地开展应急救援、环境监测、人员疏散、清洁净化、污染跟踪和信息通报等活动，将事故损失和社会危害减少到最低程度，根据《中华人民共和国环境保护法》、《中华人民共和国突发事件应对法》、《突发事件应急预案管理办法》、《企业事业单位突发环境事件应急预案备案管理办法（试行）》（环发[2015]4号）、《湖南省突发环境事件应急预案管理办法》（湘环发[2013]10号）、《关于进一步加强突发环境事件应急预案管理工作的通知》（湘环函[2017]107号）等相关法规及规章的规定，</w:t>
      </w:r>
      <w:r>
        <w:rPr>
          <w:rFonts w:hint="eastAsia"/>
        </w:rPr>
        <w:t>邵阳市生态环境局绥宁分局委托湖南天弘环保科技有限公司</w:t>
      </w:r>
      <w:r>
        <w:t>完成</w:t>
      </w:r>
      <w:r>
        <w:rPr>
          <w:rFonts w:hint="eastAsia"/>
        </w:rPr>
        <w:t>绥宁县关峡苗族乡兰溪水饮用水水源地保护区</w:t>
      </w:r>
      <w:r>
        <w:t>突发环境事件应急预案的</w:t>
      </w:r>
      <w:r>
        <w:rPr>
          <w:rFonts w:hint="eastAsia"/>
        </w:rPr>
        <w:t>修订</w:t>
      </w:r>
      <w:r>
        <w:t>工作。</w:t>
      </w:r>
    </w:p>
    <w:p w14:paraId="27C5E19B">
      <w:pPr>
        <w:adjustRightInd w:val="0"/>
        <w:snapToGrid w:val="0"/>
        <w:ind w:firstLine="480" w:firstLineChars="200"/>
      </w:pPr>
      <w:r>
        <w:rPr>
          <w:rFonts w:hint="eastAsia"/>
        </w:rPr>
        <w:t>根据湖南省生态环境厅《关于印发湖南省突发环境事件应急预案管理办法》的通知（湘环发〔</w:t>
      </w:r>
      <w:r>
        <w:t>2013〕20号</w:t>
      </w:r>
      <w:r>
        <w:rPr>
          <w:rFonts w:hint="eastAsia"/>
        </w:rPr>
        <w:t>），突发</w:t>
      </w:r>
      <w:r>
        <w:rPr>
          <w:rFonts w:hint="eastAsia" w:ascii="仿宋_GB2312" w:hAnsi="宋体"/>
          <w:szCs w:val="32"/>
        </w:rPr>
        <w:t>环境事</w:t>
      </w:r>
      <w:r>
        <w:rPr>
          <w:rFonts w:hint="eastAsia"/>
        </w:rPr>
        <w:t>件应急预案原则上每三年修订一次。因该水源地保护区最近应急预案备案及颁布时间为2020年9月，且环境风险源等发生了变化，因此绥宁县人民政府委托邵阳市生态环境局绥宁分局对</w:t>
      </w:r>
      <w:r>
        <w:t>《</w:t>
      </w:r>
      <w:r>
        <w:rPr>
          <w:rFonts w:hint="eastAsia"/>
        </w:rPr>
        <w:t>绥宁县关峡苗族乡兰溪水饮用水水源地保护区</w:t>
      </w:r>
      <w:r>
        <w:t>突发环境事件应急预案</w:t>
      </w:r>
      <w:r>
        <w:rPr>
          <w:rFonts w:hint="eastAsia"/>
        </w:rPr>
        <w:t>（2020年版）</w:t>
      </w:r>
      <w:r>
        <w:t>》</w:t>
      </w:r>
      <w:r>
        <w:rPr>
          <w:rFonts w:hint="eastAsia"/>
        </w:rPr>
        <w:t>进行了修订，</w:t>
      </w:r>
      <w:r>
        <w:t>编制了《</w:t>
      </w:r>
      <w:r>
        <w:rPr>
          <w:rFonts w:hint="eastAsia"/>
        </w:rPr>
        <w:t>绥宁县关峡苗族乡兰溪水饮用水水源地保护区</w:t>
      </w:r>
      <w:r>
        <w:t>突发环境事件应急预案（第</w:t>
      </w:r>
      <w:r>
        <w:rPr>
          <w:rFonts w:hint="eastAsia"/>
        </w:rPr>
        <w:t>一</w:t>
      </w:r>
      <w:r>
        <w:t>次修订，</w:t>
      </w:r>
      <w:r>
        <w:rPr>
          <w:rFonts w:hint="eastAsia"/>
          <w:lang w:eastAsia="zh-CN"/>
        </w:rPr>
        <w:t>2024年版</w:t>
      </w:r>
      <w:r>
        <w:t>）》</w:t>
      </w:r>
      <w:r>
        <w:rPr>
          <w:rFonts w:hint="eastAsia"/>
        </w:rPr>
        <w:t>。</w:t>
      </w:r>
      <w:r>
        <w:rPr>
          <w:rFonts w:hint="eastAsia" w:ascii="宋体" w:hAnsi="宋体" w:cs="宋体"/>
        </w:rPr>
        <w:t>现将本次应急预案的编制过程、重点内容说明、内部征求意见情况、内部评审情况等涉及应急预案编制的相关情况做以下说明：</w:t>
      </w:r>
    </w:p>
    <w:p w14:paraId="42B06C41">
      <w:pPr>
        <w:pStyle w:val="4"/>
        <w:rPr>
          <w:rFonts w:hint="eastAsia"/>
        </w:rPr>
      </w:pPr>
      <w:bookmarkStart w:id="12" w:name="_Toc15905"/>
      <w:bookmarkStart w:id="13" w:name="_Toc25966"/>
      <w:bookmarkStart w:id="14" w:name="_Toc17356"/>
      <w:bookmarkStart w:id="15" w:name="_Toc22190_WPSOffice_Level2"/>
      <w:bookmarkStart w:id="16" w:name="_Toc492841606"/>
      <w:r>
        <w:t>1.1</w:t>
      </w:r>
      <w:r>
        <w:rPr>
          <w:rFonts w:hint="eastAsia"/>
        </w:rPr>
        <w:t>修订背景</w:t>
      </w:r>
      <w:bookmarkEnd w:id="12"/>
      <w:bookmarkEnd w:id="13"/>
    </w:p>
    <w:p w14:paraId="44B43E15">
      <w:pPr>
        <w:ind w:firstLine="480" w:firstLineChars="200"/>
        <w:rPr>
          <w:rFonts w:hint="eastAsia"/>
        </w:rPr>
      </w:pPr>
      <w:r>
        <w:rPr>
          <w:rFonts w:hint="eastAsia"/>
        </w:rPr>
        <w:t xml:space="preserve">（1）原应急预案执行的效果 </w:t>
      </w:r>
    </w:p>
    <w:p w14:paraId="0CA49CAC">
      <w:pPr>
        <w:ind w:firstLine="480" w:firstLineChars="200"/>
        <w:rPr>
          <w:rFonts w:hint="eastAsia"/>
        </w:rPr>
      </w:pPr>
      <w:r>
        <w:rPr>
          <w:rFonts w:hint="eastAsia"/>
        </w:rPr>
        <w:t>原</w:t>
      </w:r>
      <w:r>
        <w:t>《突发环境事件应急预案</w:t>
      </w:r>
      <w:r>
        <w:rPr>
          <w:rFonts w:hint="eastAsia"/>
        </w:rPr>
        <w:t>（2020年版）</w:t>
      </w:r>
      <w:r>
        <w:t>》</w:t>
      </w:r>
      <w:r>
        <w:rPr>
          <w:rFonts w:hint="eastAsia"/>
        </w:rPr>
        <w:t>发布至今，绥宁县关峡苗族乡兰溪水饮用水水源地保护区及上游未发生过突发环境污染事件。</w:t>
      </w:r>
    </w:p>
    <w:p w14:paraId="38F10A9F">
      <w:pPr>
        <w:ind w:firstLine="480" w:firstLineChars="200"/>
        <w:rPr>
          <w:rFonts w:hint="eastAsia"/>
        </w:rPr>
      </w:pPr>
      <w:r>
        <w:rPr>
          <w:rFonts w:hint="eastAsia"/>
        </w:rPr>
        <w:t xml:space="preserve">（2）原应急预案存在的问题 </w:t>
      </w:r>
    </w:p>
    <w:p w14:paraId="15B9FAEC">
      <w:pPr>
        <w:ind w:firstLine="480" w:firstLineChars="200"/>
        <w:rPr>
          <w:rFonts w:hint="eastAsia"/>
        </w:rPr>
      </w:pPr>
      <w:r>
        <w:rPr>
          <w:rFonts w:hint="eastAsia"/>
        </w:rPr>
        <w:fldChar w:fldCharType="begin"/>
      </w:r>
      <w:r>
        <w:rPr>
          <w:rFonts w:hint="eastAsia"/>
        </w:rPr>
        <w:instrText xml:space="preserve"> = 1 \* GB3 \* MERGEFORMAT </w:instrText>
      </w:r>
      <w:r>
        <w:rPr>
          <w:rFonts w:hint="eastAsia"/>
        </w:rPr>
        <w:fldChar w:fldCharType="separate"/>
      </w:r>
      <w:r>
        <w:t>①</w:t>
      </w:r>
      <w:r>
        <w:rPr>
          <w:rFonts w:hint="eastAsia"/>
        </w:rPr>
        <w:fldChar w:fldCharType="end"/>
      </w:r>
      <w:r>
        <w:rPr>
          <w:rFonts w:hint="eastAsia"/>
        </w:rPr>
        <w:t xml:space="preserve">由于机构体制改革，部分部门职能已重组或者更改名字，故需要重新修订。 </w:t>
      </w:r>
    </w:p>
    <w:p w14:paraId="0D4D9847">
      <w:pPr>
        <w:ind w:firstLine="480" w:firstLineChars="200"/>
        <w:rPr>
          <w:rFonts w:hint="eastAsia"/>
        </w:rPr>
      </w:pPr>
      <w:r>
        <w:rPr>
          <w:rFonts w:hint="eastAsia"/>
        </w:rPr>
        <w:fldChar w:fldCharType="begin"/>
      </w:r>
      <w:r>
        <w:rPr>
          <w:rFonts w:hint="eastAsia"/>
        </w:rPr>
        <w:instrText xml:space="preserve"> = 2 \* GB3 \* MERGEFORMAT </w:instrText>
      </w:r>
      <w:r>
        <w:rPr>
          <w:rFonts w:hint="eastAsia"/>
        </w:rPr>
        <w:fldChar w:fldCharType="separate"/>
      </w:r>
      <w:r>
        <w:t>②</w:t>
      </w:r>
      <w:r>
        <w:rPr>
          <w:rFonts w:hint="eastAsia"/>
        </w:rPr>
        <w:fldChar w:fldCharType="end"/>
      </w:r>
      <w:r>
        <w:rPr>
          <w:rFonts w:hint="eastAsia"/>
        </w:rPr>
        <w:t xml:space="preserve">为贯彻党的二十大关于打好防范化解重大风险攻坚战精神，开展本应急预案制修订，提升区域环境风险能力已成为当务之急。 </w:t>
      </w:r>
    </w:p>
    <w:p w14:paraId="1CDEF53F">
      <w:pPr>
        <w:ind w:firstLine="480" w:firstLineChars="200"/>
        <w:rPr>
          <w:rFonts w:hint="eastAsia"/>
        </w:rPr>
      </w:pPr>
      <w:r>
        <w:rPr>
          <w:rFonts w:hint="eastAsia"/>
        </w:rPr>
        <w:t xml:space="preserve">（3）修订原则 </w:t>
      </w:r>
    </w:p>
    <w:p w14:paraId="56490C5A">
      <w:pPr>
        <w:ind w:firstLine="480" w:firstLineChars="200"/>
        <w:rPr>
          <w:rFonts w:hint="eastAsia"/>
        </w:rPr>
      </w:pPr>
      <w:r>
        <w:rPr>
          <w:rFonts w:hint="eastAsia"/>
        </w:rPr>
        <w:t xml:space="preserve">环境应急预案每三年内至少修订、更新一次。有下列情形之一的，应对应急预案及时修订、更新： </w:t>
      </w:r>
    </w:p>
    <w:p w14:paraId="1ED00CA0">
      <w:pPr>
        <w:ind w:firstLine="480" w:firstLineChars="200"/>
        <w:rPr>
          <w:rFonts w:hint="eastAsia"/>
        </w:rPr>
      </w:pPr>
      <w:r>
        <w:rPr>
          <w:rFonts w:hint="eastAsia"/>
        </w:rPr>
        <w:t>1、应急指挥机构组成部门或职责调整；所有参与应急指挥、协调活动的负责人、所处部门、职务和联系电话发生变化； 2、风险源发生变化； 3、突发环境事件应急预案依据的法律、法规、规章等发生变化； 4、应急预案演练评估报告要求修订。</w:t>
      </w:r>
    </w:p>
    <w:p w14:paraId="48F916F3">
      <w:pPr>
        <w:ind w:firstLine="480" w:firstLineChars="200"/>
      </w:pPr>
      <w:r>
        <w:rPr>
          <w:rFonts w:hint="eastAsia"/>
        </w:rPr>
        <w:t>本预案因应急指挥机构组成部门调整、原应急预案备案满三年等进行修订。</w:t>
      </w:r>
    </w:p>
    <w:p w14:paraId="0339C2F9">
      <w:pPr>
        <w:rPr>
          <w:rFonts w:hint="eastAsia"/>
        </w:rPr>
      </w:pPr>
    </w:p>
    <w:p w14:paraId="11381870">
      <w:pPr>
        <w:pStyle w:val="4"/>
      </w:pPr>
      <w:bookmarkStart w:id="17" w:name="_Toc5546"/>
      <w:bookmarkStart w:id="18" w:name="_Toc29809"/>
      <w:r>
        <w:rPr>
          <w:rFonts w:hint="eastAsia"/>
        </w:rPr>
        <w:t>1.2修订</w:t>
      </w:r>
      <w:r>
        <w:t>过程</w:t>
      </w:r>
      <w:bookmarkEnd w:id="3"/>
      <w:bookmarkEnd w:id="4"/>
      <w:bookmarkEnd w:id="5"/>
      <w:bookmarkEnd w:id="6"/>
      <w:bookmarkEnd w:id="7"/>
      <w:bookmarkEnd w:id="8"/>
      <w:bookmarkEnd w:id="9"/>
      <w:bookmarkEnd w:id="10"/>
      <w:bookmarkEnd w:id="11"/>
      <w:r>
        <w:t>概述</w:t>
      </w:r>
      <w:bookmarkEnd w:id="14"/>
      <w:bookmarkEnd w:id="15"/>
      <w:bookmarkEnd w:id="16"/>
      <w:bookmarkEnd w:id="17"/>
      <w:bookmarkEnd w:id="18"/>
      <w:r>
        <w:t xml:space="preserve"> </w:t>
      </w:r>
    </w:p>
    <w:p w14:paraId="1D648E5F">
      <w:pPr>
        <w:adjustRightInd w:val="0"/>
        <w:snapToGrid w:val="0"/>
        <w:ind w:firstLine="480" w:firstLineChars="200"/>
      </w:pPr>
      <w:r>
        <w:t>1、县政府</w:t>
      </w:r>
      <w:r>
        <w:rPr>
          <w:rFonts w:hint="eastAsia"/>
        </w:rPr>
        <w:t>委托邵阳市生态环境局绥宁分局、湖南天弘环保科技有限公司</w:t>
      </w:r>
      <w:r>
        <w:t>组织相关技术人员成立应急预案</w:t>
      </w:r>
      <w:r>
        <w:rPr>
          <w:rFonts w:hint="eastAsia"/>
        </w:rPr>
        <w:t>修订</w:t>
      </w:r>
      <w:r>
        <w:t>小组，并同时聘请相关专家对本预案</w:t>
      </w:r>
      <w:r>
        <w:rPr>
          <w:rFonts w:hint="eastAsia"/>
        </w:rPr>
        <w:t>修订</w:t>
      </w:r>
      <w:r>
        <w:t>进行技术指导工作。</w:t>
      </w:r>
    </w:p>
    <w:p w14:paraId="2D3B08F9">
      <w:pPr>
        <w:ind w:firstLine="480" w:firstLineChars="200"/>
      </w:pPr>
      <w:r>
        <w:t>2、县政府组织相关技术人员对</w:t>
      </w:r>
      <w:r>
        <w:rPr>
          <w:rFonts w:hint="eastAsia"/>
          <w:kern w:val="0"/>
        </w:rPr>
        <w:t>关峡苗族乡兰溪水</w:t>
      </w:r>
      <w:r>
        <w:rPr>
          <w:kern w:val="0"/>
        </w:rPr>
        <w:t>水源地保护区</w:t>
      </w:r>
      <w:r>
        <w:rPr>
          <w:rFonts w:hint="eastAsia"/>
          <w:kern w:val="0"/>
        </w:rPr>
        <w:t>取水口至上游发源地（约27Km）</w:t>
      </w:r>
      <w:r>
        <w:rPr>
          <w:kern w:val="0"/>
        </w:rPr>
        <w:t>内的水域和分水岭内的陆域</w:t>
      </w:r>
      <w:r>
        <w:t>内的环境现状和环境风险受体进行全面调查，收集相关资料，排查、确定环境风险源，并对风险源进行分析。</w:t>
      </w:r>
    </w:p>
    <w:p w14:paraId="45672BCF">
      <w:pPr>
        <w:ind w:firstLine="480" w:firstLineChars="200"/>
      </w:pPr>
      <w:r>
        <w:t>3、对水源地保护区内及周边的环境风险源进行分析，确定环境风险类型，分析风险事故造成的后果，制定现场处理方案。</w:t>
      </w:r>
    </w:p>
    <w:p w14:paraId="3710A61C">
      <w:pPr>
        <w:ind w:firstLine="480" w:firstLineChars="200"/>
      </w:pPr>
      <w:r>
        <w:t>4、对水源地保护区突发环境事件现有的应急能力进行评估，查找差距，提出相应的建议和对策。</w:t>
      </w:r>
    </w:p>
    <w:p w14:paraId="37F06EDC">
      <w:pPr>
        <w:ind w:firstLine="480" w:firstLineChars="200"/>
      </w:pPr>
      <w:r>
        <w:t>5、编制环境风险评估报告、突发环境事件应急预案和环境应急资源调查报告。</w:t>
      </w:r>
    </w:p>
    <w:p w14:paraId="318598DF">
      <w:pPr>
        <w:ind w:firstLine="480" w:firstLineChars="200"/>
        <w:rPr>
          <w:rFonts w:hint="eastAsia"/>
        </w:rPr>
      </w:pPr>
      <w:r>
        <w:rPr>
          <w:rFonts w:hint="eastAsia"/>
        </w:rPr>
        <w:t>6、征求相关单位和可能受影响的居民、单位代表的意见，组织对预案内容进行推演。</w:t>
      </w:r>
    </w:p>
    <w:p w14:paraId="30AE0C81">
      <w:pPr>
        <w:pStyle w:val="67"/>
        <w:ind w:firstLine="480"/>
        <w:rPr>
          <w:rFonts w:ascii="Times New Roman" w:hAnsi="Times New Roman"/>
        </w:rPr>
      </w:pPr>
      <w:r>
        <w:rPr>
          <w:rFonts w:ascii="Times New Roman" w:hAnsi="Times New Roman"/>
        </w:rPr>
        <w:t>本应急预案的</w:t>
      </w:r>
      <w:r>
        <w:rPr>
          <w:rFonts w:hint="eastAsia" w:ascii="Times New Roman" w:hAnsi="Times New Roman"/>
        </w:rPr>
        <w:t>修订</w:t>
      </w:r>
      <w:r>
        <w:rPr>
          <w:rFonts w:ascii="Times New Roman" w:hAnsi="Times New Roman"/>
        </w:rPr>
        <w:t>工作路线见图1-1</w:t>
      </w:r>
      <w:r>
        <w:rPr>
          <w:rFonts w:hint="eastAsia" w:ascii="Times New Roman" w:hAnsi="Times New Roman"/>
        </w:rPr>
        <w:t>，预案修订领导小组名单见表1-1</w:t>
      </w:r>
      <w:r>
        <w:rPr>
          <w:rFonts w:ascii="Times New Roman" w:hAnsi="Times New Roman"/>
        </w:rPr>
        <w:t>。</w:t>
      </w:r>
    </w:p>
    <w:p w14:paraId="24235635">
      <w:pPr>
        <w:pStyle w:val="67"/>
        <w:ind w:firstLine="0" w:firstLineChars="0"/>
        <w:jc w:val="center"/>
        <w:rPr>
          <w:rFonts w:ascii="Times New Roman" w:hAnsi="Times New Roman"/>
        </w:rPr>
      </w:pPr>
      <w:r>
        <w:rPr>
          <w:rFonts w:ascii="Times New Roman" w:hAnsi="Times New Roman"/>
        </w:rPr>
        <w:object>
          <v:shape id="_x0000_i1025" o:spt="75" type="#_x0000_t75" style="height:670.85pt;width:433.7pt;" o:ole="t" filled="f" o:preferrelative="t" stroked="f" coordsize="21600,21600">
            <v:path/>
            <v:fill on="f" focussize="0,0"/>
            <v:stroke on="f" joinstyle="miter"/>
            <v:imagedata r:id="rId16" cropright="2839f" cropbottom="1081f" o:title=""/>
            <o:lock v:ext="edit" aspectratio="t"/>
            <w10:wrap type="none"/>
            <w10:anchorlock/>
          </v:shape>
          <o:OLEObject Type="Embed" ProgID="Visio.Drawing.11" ShapeID="_x0000_i1025" DrawAspect="Content" ObjectID="_1468075725" r:id="rId15">
            <o:LockedField>false</o:LockedField>
          </o:OLEObject>
        </w:object>
      </w:r>
      <w:r>
        <w:rPr>
          <w:rFonts w:ascii="Times New Roman" w:hAnsi="Times New Roman"/>
          <w:b/>
          <w:bCs/>
          <w:sz w:val="21"/>
          <w:szCs w:val="21"/>
        </w:rPr>
        <w:t>图1-1 预案</w:t>
      </w:r>
      <w:r>
        <w:rPr>
          <w:rFonts w:hint="eastAsia" w:ascii="Times New Roman" w:hAnsi="Times New Roman"/>
          <w:b/>
          <w:bCs/>
          <w:sz w:val="21"/>
          <w:szCs w:val="21"/>
        </w:rPr>
        <w:t>修订</w:t>
      </w:r>
      <w:r>
        <w:rPr>
          <w:rFonts w:ascii="Times New Roman" w:hAnsi="Times New Roman"/>
          <w:b/>
          <w:bCs/>
          <w:sz w:val="21"/>
          <w:szCs w:val="21"/>
        </w:rPr>
        <w:t>工作路线</w:t>
      </w:r>
    </w:p>
    <w:p w14:paraId="719F893B">
      <w:pPr>
        <w:pStyle w:val="9"/>
        <w:spacing w:line="360" w:lineRule="auto"/>
        <w:jc w:val="center"/>
        <w:rPr>
          <w:rFonts w:hint="eastAsia"/>
        </w:rPr>
      </w:pPr>
      <w:bookmarkStart w:id="19" w:name="_Toc21888"/>
      <w:bookmarkStart w:id="20" w:name="_Toc485049268"/>
      <w:bookmarkStart w:id="21" w:name="_Toc24920_WPSOffice_Level2"/>
      <w:bookmarkStart w:id="22" w:name="_Toc17728"/>
      <w:bookmarkStart w:id="23" w:name="_Toc3802"/>
      <w:bookmarkStart w:id="24" w:name="_Toc485037833"/>
      <w:bookmarkStart w:id="25" w:name="_Toc492841607"/>
      <w:bookmarkStart w:id="26" w:name="_Toc485049344"/>
      <w:bookmarkStart w:id="27" w:name="_Toc807"/>
      <w:bookmarkStart w:id="28" w:name="_Toc25679"/>
      <w:bookmarkStart w:id="29" w:name="_Toc26739"/>
      <w:bookmarkStart w:id="30" w:name="_Toc22405"/>
      <w:r>
        <w:rPr>
          <w:rFonts w:ascii="Times New Roman" w:hAnsi="Times New Roman"/>
          <w:bCs/>
          <w:sz w:val="21"/>
          <w:szCs w:val="21"/>
        </w:rPr>
        <w:t>表1-1 预案修订小组名单</w:t>
      </w:r>
    </w:p>
    <w:tbl>
      <w:tblPr>
        <w:tblStyle w:val="20"/>
        <w:tblW w:w="8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2904"/>
        <w:gridCol w:w="1511"/>
        <w:gridCol w:w="1645"/>
        <w:gridCol w:w="1226"/>
      </w:tblGrid>
      <w:tr w14:paraId="4DEA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vAlign w:val="center"/>
          </w:tcPr>
          <w:p w14:paraId="1B6922AC">
            <w:pPr>
              <w:pStyle w:val="78"/>
              <w:widowControl w:val="0"/>
              <w:spacing w:beforeLines="0"/>
              <w:ind w:left="0" w:leftChars="0"/>
              <w:rPr>
                <w:b/>
                <w:bCs/>
                <w:kern w:val="0"/>
                <w:sz w:val="21"/>
                <w:szCs w:val="21"/>
                <w:lang w:val="en-US"/>
              </w:rPr>
            </w:pPr>
            <w:r>
              <w:rPr>
                <w:rFonts w:hint="eastAsia"/>
                <w:b/>
                <w:bCs/>
                <w:kern w:val="0"/>
                <w:sz w:val="21"/>
                <w:szCs w:val="21"/>
                <w:lang w:val="en-US"/>
              </w:rPr>
              <w:t>序号</w:t>
            </w:r>
          </w:p>
        </w:tc>
        <w:tc>
          <w:tcPr>
            <w:tcW w:w="2904" w:type="dxa"/>
            <w:vAlign w:val="center"/>
          </w:tcPr>
          <w:p w14:paraId="073739A0">
            <w:pPr>
              <w:pStyle w:val="78"/>
              <w:widowControl w:val="0"/>
              <w:spacing w:beforeLines="0"/>
              <w:ind w:left="0" w:leftChars="0"/>
              <w:rPr>
                <w:b/>
                <w:bCs/>
                <w:kern w:val="0"/>
                <w:sz w:val="21"/>
                <w:szCs w:val="21"/>
                <w:lang w:val="en-US"/>
              </w:rPr>
            </w:pPr>
            <w:r>
              <w:rPr>
                <w:rFonts w:hint="eastAsia"/>
                <w:b/>
                <w:bCs/>
                <w:kern w:val="0"/>
                <w:sz w:val="21"/>
                <w:szCs w:val="21"/>
                <w:lang w:val="en-US"/>
              </w:rPr>
              <w:t>职务</w:t>
            </w:r>
          </w:p>
        </w:tc>
        <w:tc>
          <w:tcPr>
            <w:tcW w:w="1511" w:type="dxa"/>
            <w:vAlign w:val="center"/>
          </w:tcPr>
          <w:p w14:paraId="1BBCE733">
            <w:pPr>
              <w:pStyle w:val="78"/>
              <w:widowControl w:val="0"/>
              <w:spacing w:beforeLines="0"/>
              <w:ind w:left="0" w:leftChars="0"/>
              <w:rPr>
                <w:b/>
                <w:bCs/>
                <w:kern w:val="0"/>
                <w:sz w:val="21"/>
                <w:szCs w:val="21"/>
                <w:lang w:val="en-US"/>
              </w:rPr>
            </w:pPr>
            <w:r>
              <w:rPr>
                <w:rFonts w:hint="eastAsia"/>
                <w:b/>
                <w:bCs/>
                <w:kern w:val="0"/>
                <w:sz w:val="21"/>
                <w:szCs w:val="21"/>
                <w:lang w:val="en-US"/>
              </w:rPr>
              <w:t>名字</w:t>
            </w:r>
          </w:p>
        </w:tc>
        <w:tc>
          <w:tcPr>
            <w:tcW w:w="1645" w:type="dxa"/>
            <w:vAlign w:val="center"/>
          </w:tcPr>
          <w:p w14:paraId="09476B17">
            <w:pPr>
              <w:pStyle w:val="78"/>
              <w:widowControl w:val="0"/>
              <w:spacing w:beforeLines="0"/>
              <w:ind w:left="0" w:leftChars="0"/>
              <w:rPr>
                <w:b/>
                <w:bCs/>
                <w:kern w:val="0"/>
                <w:sz w:val="21"/>
                <w:szCs w:val="21"/>
                <w:lang w:val="en-US"/>
              </w:rPr>
            </w:pPr>
            <w:r>
              <w:rPr>
                <w:rFonts w:hint="eastAsia"/>
                <w:b/>
                <w:bCs/>
                <w:kern w:val="0"/>
                <w:sz w:val="21"/>
                <w:szCs w:val="21"/>
                <w:lang w:val="en-US"/>
              </w:rPr>
              <w:t>电话号码</w:t>
            </w:r>
          </w:p>
        </w:tc>
        <w:tc>
          <w:tcPr>
            <w:tcW w:w="1226" w:type="dxa"/>
            <w:vAlign w:val="center"/>
          </w:tcPr>
          <w:p w14:paraId="4BC269A1">
            <w:pPr>
              <w:pStyle w:val="78"/>
              <w:widowControl w:val="0"/>
              <w:spacing w:beforeLines="0"/>
              <w:ind w:left="0" w:leftChars="0"/>
              <w:rPr>
                <w:b/>
                <w:bCs/>
                <w:kern w:val="0"/>
                <w:sz w:val="21"/>
                <w:szCs w:val="21"/>
                <w:lang w:val="en-US"/>
              </w:rPr>
            </w:pPr>
            <w:r>
              <w:rPr>
                <w:rFonts w:hint="eastAsia"/>
                <w:b/>
                <w:bCs/>
                <w:kern w:val="0"/>
                <w:sz w:val="21"/>
                <w:szCs w:val="21"/>
                <w:lang w:val="en-US"/>
              </w:rPr>
              <w:t>备注</w:t>
            </w:r>
          </w:p>
        </w:tc>
      </w:tr>
      <w:tr w14:paraId="44A0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vAlign w:val="center"/>
          </w:tcPr>
          <w:p w14:paraId="03FA6616">
            <w:pPr>
              <w:pStyle w:val="78"/>
              <w:widowControl w:val="0"/>
              <w:spacing w:beforeLines="0"/>
              <w:ind w:left="0" w:leftChars="0"/>
              <w:rPr>
                <w:kern w:val="0"/>
                <w:sz w:val="21"/>
                <w:szCs w:val="21"/>
                <w:lang w:val="en-US"/>
              </w:rPr>
            </w:pPr>
            <w:r>
              <w:rPr>
                <w:rFonts w:hint="eastAsia"/>
                <w:kern w:val="0"/>
                <w:sz w:val="21"/>
                <w:szCs w:val="21"/>
                <w:lang w:val="en-US"/>
              </w:rPr>
              <w:t>1</w:t>
            </w:r>
          </w:p>
        </w:tc>
        <w:tc>
          <w:tcPr>
            <w:tcW w:w="2904" w:type="dxa"/>
            <w:vAlign w:val="center"/>
          </w:tcPr>
          <w:p w14:paraId="7DDCD2CC">
            <w:pPr>
              <w:pStyle w:val="78"/>
              <w:widowControl w:val="0"/>
              <w:spacing w:beforeLines="0"/>
              <w:ind w:left="0" w:leftChars="0"/>
              <w:rPr>
                <w:kern w:val="0"/>
                <w:sz w:val="21"/>
                <w:szCs w:val="21"/>
                <w:lang w:val="en-US"/>
              </w:rPr>
            </w:pPr>
            <w:r>
              <w:rPr>
                <w:kern w:val="0"/>
                <w:sz w:val="21"/>
                <w:szCs w:val="21"/>
                <w:lang w:val="en-US"/>
              </w:rPr>
              <w:t>邵阳市生态环境局绥宁分局</w:t>
            </w:r>
            <w:r>
              <w:rPr>
                <w:rFonts w:hint="eastAsia"/>
                <w:kern w:val="0"/>
                <w:sz w:val="21"/>
                <w:szCs w:val="21"/>
                <w:lang w:val="en-US"/>
              </w:rPr>
              <w:t>局长</w:t>
            </w:r>
          </w:p>
        </w:tc>
        <w:tc>
          <w:tcPr>
            <w:tcW w:w="1511" w:type="dxa"/>
            <w:vAlign w:val="center"/>
          </w:tcPr>
          <w:p w14:paraId="4A0D7273">
            <w:pPr>
              <w:pStyle w:val="78"/>
              <w:widowControl w:val="0"/>
              <w:spacing w:beforeLines="0"/>
              <w:ind w:left="0" w:leftChars="0"/>
              <w:rPr>
                <w:kern w:val="0"/>
                <w:sz w:val="21"/>
                <w:szCs w:val="21"/>
                <w:lang w:val="en-US"/>
              </w:rPr>
            </w:pPr>
            <w:r>
              <w:rPr>
                <w:kern w:val="0"/>
                <w:sz w:val="21"/>
                <w:szCs w:val="21"/>
                <w:lang w:val="en-US"/>
              </w:rPr>
              <w:t>袁惠雄</w:t>
            </w:r>
          </w:p>
        </w:tc>
        <w:tc>
          <w:tcPr>
            <w:tcW w:w="1645" w:type="dxa"/>
            <w:vAlign w:val="center"/>
          </w:tcPr>
          <w:p w14:paraId="1E2BAF04">
            <w:pPr>
              <w:pStyle w:val="78"/>
              <w:widowControl w:val="0"/>
              <w:spacing w:beforeLines="0"/>
              <w:ind w:left="0" w:leftChars="0"/>
              <w:rPr>
                <w:kern w:val="0"/>
                <w:sz w:val="21"/>
                <w:szCs w:val="21"/>
                <w:lang w:val="en-US"/>
              </w:rPr>
            </w:pPr>
            <w:r>
              <w:rPr>
                <w:rFonts w:hint="eastAsia"/>
                <w:kern w:val="0"/>
                <w:sz w:val="21"/>
                <w:szCs w:val="21"/>
                <w:lang w:val="en-US"/>
              </w:rPr>
              <w:t>13874290112</w:t>
            </w:r>
          </w:p>
        </w:tc>
        <w:tc>
          <w:tcPr>
            <w:tcW w:w="1226" w:type="dxa"/>
            <w:vAlign w:val="center"/>
          </w:tcPr>
          <w:p w14:paraId="2712B828">
            <w:pPr>
              <w:pStyle w:val="78"/>
              <w:widowControl w:val="0"/>
              <w:spacing w:beforeLines="0"/>
              <w:ind w:left="0" w:leftChars="0"/>
              <w:rPr>
                <w:kern w:val="0"/>
                <w:sz w:val="21"/>
                <w:szCs w:val="21"/>
                <w:lang w:val="en-US"/>
              </w:rPr>
            </w:pPr>
            <w:r>
              <w:rPr>
                <w:rFonts w:hint="eastAsia"/>
                <w:kern w:val="0"/>
                <w:sz w:val="21"/>
                <w:szCs w:val="21"/>
                <w:lang w:val="en-US"/>
              </w:rPr>
              <w:t>组长</w:t>
            </w:r>
          </w:p>
        </w:tc>
      </w:tr>
      <w:tr w14:paraId="39A6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vAlign w:val="center"/>
          </w:tcPr>
          <w:p w14:paraId="0144E40F">
            <w:pPr>
              <w:pStyle w:val="78"/>
              <w:widowControl w:val="0"/>
              <w:spacing w:beforeLines="0"/>
              <w:ind w:left="0" w:leftChars="0"/>
              <w:rPr>
                <w:kern w:val="0"/>
                <w:sz w:val="21"/>
                <w:szCs w:val="21"/>
                <w:lang w:val="en-US"/>
              </w:rPr>
            </w:pPr>
            <w:r>
              <w:rPr>
                <w:rFonts w:hint="eastAsia"/>
                <w:kern w:val="0"/>
                <w:sz w:val="21"/>
                <w:szCs w:val="21"/>
                <w:lang w:val="en-US"/>
              </w:rPr>
              <w:t>2</w:t>
            </w:r>
          </w:p>
        </w:tc>
        <w:tc>
          <w:tcPr>
            <w:tcW w:w="2904" w:type="dxa"/>
            <w:vAlign w:val="center"/>
          </w:tcPr>
          <w:p w14:paraId="6761A865">
            <w:pPr>
              <w:pStyle w:val="78"/>
              <w:widowControl w:val="0"/>
              <w:spacing w:beforeLines="0"/>
              <w:ind w:left="0" w:leftChars="0"/>
              <w:rPr>
                <w:kern w:val="0"/>
                <w:sz w:val="21"/>
                <w:szCs w:val="21"/>
                <w:lang w:val="en-US"/>
              </w:rPr>
            </w:pPr>
            <w:r>
              <w:rPr>
                <w:kern w:val="0"/>
                <w:sz w:val="21"/>
                <w:szCs w:val="21"/>
                <w:lang w:val="en-US"/>
              </w:rPr>
              <w:t>邵阳市生态环境局绥宁分局</w:t>
            </w:r>
            <w:r>
              <w:rPr>
                <w:rFonts w:hint="eastAsia"/>
                <w:kern w:val="0"/>
                <w:sz w:val="21"/>
                <w:szCs w:val="21"/>
                <w:lang w:val="en-US"/>
              </w:rPr>
              <w:t>副局长</w:t>
            </w:r>
          </w:p>
        </w:tc>
        <w:tc>
          <w:tcPr>
            <w:tcW w:w="1511" w:type="dxa"/>
            <w:vAlign w:val="center"/>
          </w:tcPr>
          <w:p w14:paraId="41A2FF44">
            <w:pPr>
              <w:pStyle w:val="78"/>
              <w:widowControl w:val="0"/>
              <w:spacing w:beforeLines="0"/>
              <w:ind w:left="0" w:leftChars="0"/>
              <w:rPr>
                <w:kern w:val="0"/>
                <w:sz w:val="21"/>
                <w:szCs w:val="21"/>
                <w:lang w:val="en-US"/>
              </w:rPr>
            </w:pPr>
            <w:r>
              <w:rPr>
                <w:rFonts w:hint="eastAsia"/>
                <w:kern w:val="0"/>
                <w:sz w:val="21"/>
                <w:szCs w:val="21"/>
                <w:lang w:val="en-US"/>
              </w:rPr>
              <w:t>唐小芳</w:t>
            </w:r>
          </w:p>
        </w:tc>
        <w:tc>
          <w:tcPr>
            <w:tcW w:w="1645" w:type="dxa"/>
            <w:vAlign w:val="center"/>
          </w:tcPr>
          <w:p w14:paraId="1F5D5036">
            <w:pPr>
              <w:pStyle w:val="78"/>
              <w:widowControl w:val="0"/>
              <w:spacing w:beforeLines="0"/>
              <w:ind w:left="0" w:leftChars="0"/>
              <w:rPr>
                <w:kern w:val="0"/>
                <w:sz w:val="21"/>
                <w:szCs w:val="21"/>
                <w:lang w:val="en-US"/>
              </w:rPr>
            </w:pPr>
            <w:r>
              <w:rPr>
                <w:rFonts w:hint="eastAsia"/>
                <w:kern w:val="0"/>
                <w:sz w:val="21"/>
                <w:szCs w:val="21"/>
                <w:lang w:val="en-US"/>
              </w:rPr>
              <w:t>15180918077</w:t>
            </w:r>
          </w:p>
        </w:tc>
        <w:tc>
          <w:tcPr>
            <w:tcW w:w="1226" w:type="dxa"/>
            <w:vAlign w:val="center"/>
          </w:tcPr>
          <w:p w14:paraId="4E65C9BF">
            <w:pPr>
              <w:pStyle w:val="78"/>
              <w:widowControl w:val="0"/>
              <w:spacing w:beforeLines="0"/>
              <w:ind w:left="0" w:leftChars="0"/>
              <w:rPr>
                <w:kern w:val="0"/>
                <w:sz w:val="21"/>
                <w:szCs w:val="21"/>
                <w:lang w:val="en-US"/>
              </w:rPr>
            </w:pPr>
            <w:r>
              <w:rPr>
                <w:rFonts w:hint="eastAsia"/>
                <w:kern w:val="0"/>
                <w:sz w:val="21"/>
                <w:szCs w:val="21"/>
                <w:lang w:val="en-US"/>
              </w:rPr>
              <w:t>副组长</w:t>
            </w:r>
          </w:p>
        </w:tc>
      </w:tr>
      <w:tr w14:paraId="15BD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vAlign w:val="center"/>
          </w:tcPr>
          <w:p w14:paraId="55979046">
            <w:pPr>
              <w:pStyle w:val="78"/>
              <w:widowControl w:val="0"/>
              <w:spacing w:beforeLines="0"/>
              <w:ind w:left="0" w:leftChars="0"/>
              <w:rPr>
                <w:kern w:val="0"/>
                <w:sz w:val="21"/>
                <w:szCs w:val="21"/>
                <w:lang w:val="en-US"/>
              </w:rPr>
            </w:pPr>
            <w:r>
              <w:rPr>
                <w:rFonts w:hint="eastAsia"/>
                <w:kern w:val="0"/>
                <w:sz w:val="21"/>
                <w:szCs w:val="21"/>
                <w:lang w:val="en-US"/>
              </w:rPr>
              <w:t>3</w:t>
            </w:r>
          </w:p>
        </w:tc>
        <w:tc>
          <w:tcPr>
            <w:tcW w:w="2904" w:type="dxa"/>
            <w:vAlign w:val="center"/>
          </w:tcPr>
          <w:p w14:paraId="42DA7591">
            <w:pPr>
              <w:pStyle w:val="78"/>
              <w:widowControl w:val="0"/>
              <w:spacing w:beforeLines="0"/>
              <w:ind w:left="0" w:leftChars="0"/>
              <w:rPr>
                <w:kern w:val="0"/>
                <w:sz w:val="21"/>
                <w:szCs w:val="21"/>
                <w:lang w:val="en-US"/>
              </w:rPr>
            </w:pPr>
            <w:r>
              <w:rPr>
                <w:kern w:val="0"/>
                <w:sz w:val="21"/>
                <w:szCs w:val="21"/>
                <w:lang w:val="en-US"/>
              </w:rPr>
              <w:t>邵阳市生态环境局绥宁分局</w:t>
            </w:r>
          </w:p>
        </w:tc>
        <w:tc>
          <w:tcPr>
            <w:tcW w:w="1511" w:type="dxa"/>
            <w:vAlign w:val="center"/>
          </w:tcPr>
          <w:p w14:paraId="2A0532DE">
            <w:pPr>
              <w:pStyle w:val="78"/>
              <w:widowControl w:val="0"/>
              <w:spacing w:beforeLines="0"/>
              <w:ind w:left="0" w:leftChars="0"/>
              <w:rPr>
                <w:rFonts w:hint="eastAsia"/>
                <w:kern w:val="0"/>
                <w:sz w:val="21"/>
                <w:szCs w:val="21"/>
                <w:lang w:val="en-US"/>
              </w:rPr>
            </w:pPr>
            <w:r>
              <w:rPr>
                <w:rFonts w:hint="eastAsia"/>
                <w:kern w:val="0"/>
                <w:sz w:val="21"/>
                <w:szCs w:val="21"/>
                <w:lang w:val="en-US"/>
              </w:rPr>
              <w:t>李永刚</w:t>
            </w:r>
          </w:p>
        </w:tc>
        <w:tc>
          <w:tcPr>
            <w:tcW w:w="1645" w:type="dxa"/>
            <w:vAlign w:val="center"/>
          </w:tcPr>
          <w:p w14:paraId="7B68289C">
            <w:pPr>
              <w:pStyle w:val="78"/>
              <w:widowControl w:val="0"/>
              <w:spacing w:beforeLines="0"/>
              <w:ind w:left="0" w:leftChars="0"/>
              <w:rPr>
                <w:rFonts w:hint="eastAsia"/>
                <w:kern w:val="0"/>
                <w:sz w:val="21"/>
                <w:szCs w:val="21"/>
                <w:lang w:val="en-US"/>
              </w:rPr>
            </w:pPr>
            <w:r>
              <w:rPr>
                <w:rFonts w:hint="eastAsia"/>
                <w:kern w:val="0"/>
                <w:sz w:val="21"/>
                <w:szCs w:val="21"/>
                <w:lang w:val="en-US"/>
              </w:rPr>
              <w:t>18274381084</w:t>
            </w:r>
          </w:p>
        </w:tc>
        <w:tc>
          <w:tcPr>
            <w:tcW w:w="1226" w:type="dxa"/>
            <w:vAlign w:val="center"/>
          </w:tcPr>
          <w:p w14:paraId="0443B7A5">
            <w:pPr>
              <w:pStyle w:val="78"/>
              <w:widowControl w:val="0"/>
              <w:spacing w:beforeLines="0"/>
              <w:ind w:left="0" w:leftChars="0"/>
              <w:rPr>
                <w:rFonts w:hint="eastAsia"/>
                <w:kern w:val="0"/>
                <w:sz w:val="21"/>
                <w:szCs w:val="21"/>
                <w:lang w:val="en-US"/>
              </w:rPr>
            </w:pPr>
            <w:r>
              <w:rPr>
                <w:rFonts w:hint="eastAsia"/>
                <w:kern w:val="0"/>
                <w:sz w:val="21"/>
                <w:szCs w:val="21"/>
                <w:lang w:val="en-US"/>
              </w:rPr>
              <w:t>成员</w:t>
            </w:r>
          </w:p>
        </w:tc>
      </w:tr>
      <w:tr w14:paraId="4322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vAlign w:val="center"/>
          </w:tcPr>
          <w:p w14:paraId="7D1F272E">
            <w:pPr>
              <w:pStyle w:val="78"/>
              <w:widowControl w:val="0"/>
              <w:spacing w:beforeLines="0"/>
              <w:ind w:left="0" w:leftChars="0"/>
              <w:rPr>
                <w:kern w:val="0"/>
                <w:sz w:val="21"/>
                <w:szCs w:val="21"/>
                <w:lang w:val="en-US"/>
              </w:rPr>
            </w:pPr>
            <w:r>
              <w:rPr>
                <w:rFonts w:hint="eastAsia"/>
                <w:kern w:val="0"/>
                <w:sz w:val="21"/>
                <w:szCs w:val="21"/>
                <w:lang w:val="en-US"/>
              </w:rPr>
              <w:t>4</w:t>
            </w:r>
          </w:p>
        </w:tc>
        <w:tc>
          <w:tcPr>
            <w:tcW w:w="2904" w:type="dxa"/>
            <w:vAlign w:val="center"/>
          </w:tcPr>
          <w:p w14:paraId="783F815F">
            <w:pPr>
              <w:pStyle w:val="78"/>
              <w:widowControl w:val="0"/>
              <w:spacing w:beforeLines="0"/>
              <w:ind w:left="0" w:leftChars="0"/>
              <w:rPr>
                <w:rFonts w:hint="eastAsia"/>
                <w:kern w:val="0"/>
                <w:sz w:val="21"/>
                <w:szCs w:val="21"/>
                <w:lang w:val="en-US"/>
              </w:rPr>
            </w:pPr>
            <w:r>
              <w:rPr>
                <w:kern w:val="0"/>
                <w:sz w:val="21"/>
                <w:szCs w:val="21"/>
                <w:lang w:val="en-US"/>
              </w:rPr>
              <w:t>邵阳市生态环境局绥宁分局</w:t>
            </w:r>
          </w:p>
        </w:tc>
        <w:tc>
          <w:tcPr>
            <w:tcW w:w="1511" w:type="dxa"/>
            <w:vAlign w:val="center"/>
          </w:tcPr>
          <w:p w14:paraId="7AF7FD4B">
            <w:pPr>
              <w:pStyle w:val="78"/>
              <w:widowControl w:val="0"/>
              <w:spacing w:beforeLines="0"/>
              <w:ind w:left="0" w:leftChars="0"/>
              <w:rPr>
                <w:kern w:val="0"/>
                <w:sz w:val="21"/>
                <w:szCs w:val="21"/>
                <w:lang w:val="en-US"/>
              </w:rPr>
            </w:pPr>
            <w:r>
              <w:rPr>
                <w:kern w:val="0"/>
                <w:sz w:val="21"/>
                <w:szCs w:val="21"/>
                <w:lang w:val="en-US"/>
              </w:rPr>
              <w:t>曹芝求</w:t>
            </w:r>
          </w:p>
        </w:tc>
        <w:tc>
          <w:tcPr>
            <w:tcW w:w="1645" w:type="dxa"/>
            <w:vAlign w:val="center"/>
          </w:tcPr>
          <w:p w14:paraId="466BB48D">
            <w:pPr>
              <w:pStyle w:val="78"/>
              <w:widowControl w:val="0"/>
              <w:spacing w:beforeLines="0"/>
              <w:ind w:left="0" w:leftChars="0"/>
              <w:rPr>
                <w:kern w:val="0"/>
                <w:sz w:val="21"/>
                <w:szCs w:val="21"/>
                <w:lang w:val="en-US"/>
              </w:rPr>
            </w:pPr>
            <w:r>
              <w:rPr>
                <w:rFonts w:hint="eastAsia"/>
                <w:kern w:val="0"/>
                <w:sz w:val="21"/>
                <w:szCs w:val="21"/>
                <w:lang w:val="en-US"/>
              </w:rPr>
              <w:t>15873908309</w:t>
            </w:r>
          </w:p>
        </w:tc>
        <w:tc>
          <w:tcPr>
            <w:tcW w:w="1226" w:type="dxa"/>
            <w:vAlign w:val="center"/>
          </w:tcPr>
          <w:p w14:paraId="6DBFA079">
            <w:pPr>
              <w:pStyle w:val="78"/>
              <w:widowControl w:val="0"/>
              <w:spacing w:beforeLines="0"/>
              <w:ind w:left="0" w:leftChars="0"/>
              <w:rPr>
                <w:kern w:val="0"/>
                <w:sz w:val="21"/>
                <w:szCs w:val="21"/>
                <w:lang w:val="en-US"/>
              </w:rPr>
            </w:pPr>
            <w:r>
              <w:rPr>
                <w:rFonts w:hint="eastAsia"/>
                <w:kern w:val="0"/>
                <w:sz w:val="21"/>
                <w:szCs w:val="21"/>
                <w:lang w:val="en-US"/>
              </w:rPr>
              <w:t>成员</w:t>
            </w:r>
          </w:p>
        </w:tc>
      </w:tr>
      <w:tr w14:paraId="1C64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vAlign w:val="center"/>
          </w:tcPr>
          <w:p w14:paraId="07DFC86C">
            <w:pPr>
              <w:pStyle w:val="78"/>
              <w:widowControl w:val="0"/>
              <w:spacing w:beforeLines="0"/>
              <w:ind w:left="0" w:leftChars="0"/>
              <w:rPr>
                <w:rFonts w:hint="eastAsia" w:eastAsia="宋体"/>
                <w:kern w:val="0"/>
                <w:sz w:val="21"/>
                <w:szCs w:val="21"/>
                <w:u w:val="wave"/>
                <w:lang w:val="en-US" w:eastAsia="zh-CN"/>
              </w:rPr>
            </w:pPr>
            <w:r>
              <w:rPr>
                <w:rFonts w:hint="eastAsia"/>
                <w:kern w:val="0"/>
                <w:sz w:val="21"/>
                <w:szCs w:val="21"/>
                <w:u w:val="wave"/>
                <w:lang w:val="en-US" w:eastAsia="zh-CN"/>
              </w:rPr>
              <w:t>5</w:t>
            </w:r>
          </w:p>
        </w:tc>
        <w:tc>
          <w:tcPr>
            <w:tcW w:w="2904" w:type="dxa"/>
            <w:vAlign w:val="center"/>
          </w:tcPr>
          <w:p w14:paraId="3832F684">
            <w:pPr>
              <w:pStyle w:val="78"/>
              <w:widowControl w:val="0"/>
              <w:spacing w:beforeLines="0"/>
              <w:ind w:left="0" w:leftChars="0"/>
              <w:rPr>
                <w:rFonts w:hint="eastAsia" w:eastAsia="宋体"/>
                <w:kern w:val="0"/>
                <w:sz w:val="21"/>
                <w:szCs w:val="21"/>
                <w:u w:val="wave"/>
                <w:lang w:val="en-US" w:eastAsia="zh-CN"/>
              </w:rPr>
            </w:pPr>
            <w:r>
              <w:rPr>
                <w:rFonts w:hint="eastAsia"/>
                <w:kern w:val="0"/>
                <w:sz w:val="21"/>
                <w:szCs w:val="21"/>
                <w:u w:val="wave"/>
                <w:lang w:val="en-US" w:eastAsia="zh-CN"/>
              </w:rPr>
              <w:t>湖南天弘环保科技有限公司</w:t>
            </w:r>
          </w:p>
        </w:tc>
        <w:tc>
          <w:tcPr>
            <w:tcW w:w="1511" w:type="dxa"/>
            <w:vAlign w:val="center"/>
          </w:tcPr>
          <w:p w14:paraId="2A246BD3">
            <w:pPr>
              <w:pStyle w:val="78"/>
              <w:widowControl w:val="0"/>
              <w:spacing w:beforeLines="0"/>
              <w:ind w:left="0" w:leftChars="0"/>
              <w:rPr>
                <w:rFonts w:hint="eastAsia" w:eastAsia="宋体"/>
                <w:kern w:val="0"/>
                <w:sz w:val="21"/>
                <w:szCs w:val="21"/>
                <w:u w:val="wave"/>
                <w:lang w:val="en-US" w:eastAsia="zh-CN"/>
              </w:rPr>
            </w:pPr>
            <w:r>
              <w:rPr>
                <w:rFonts w:hint="eastAsia"/>
                <w:kern w:val="0"/>
                <w:sz w:val="21"/>
                <w:szCs w:val="21"/>
                <w:u w:val="wave"/>
                <w:lang w:val="en-US" w:eastAsia="zh-CN"/>
              </w:rPr>
              <w:t>孟  燕</w:t>
            </w:r>
          </w:p>
        </w:tc>
        <w:tc>
          <w:tcPr>
            <w:tcW w:w="1645" w:type="dxa"/>
            <w:vAlign w:val="center"/>
          </w:tcPr>
          <w:p w14:paraId="436F3271">
            <w:pPr>
              <w:pStyle w:val="78"/>
              <w:widowControl w:val="0"/>
              <w:spacing w:beforeLines="0"/>
              <w:ind w:left="0" w:leftChars="0"/>
              <w:rPr>
                <w:rFonts w:hint="default" w:eastAsia="宋体"/>
                <w:kern w:val="0"/>
                <w:sz w:val="21"/>
                <w:szCs w:val="21"/>
                <w:u w:val="wave"/>
                <w:lang w:val="en-US" w:eastAsia="zh-CN"/>
              </w:rPr>
            </w:pPr>
            <w:r>
              <w:rPr>
                <w:rFonts w:hint="eastAsia"/>
                <w:kern w:val="0"/>
                <w:sz w:val="21"/>
                <w:szCs w:val="21"/>
                <w:u w:val="wave"/>
                <w:lang w:val="en-US" w:eastAsia="zh-CN"/>
              </w:rPr>
              <w:t>13975910012</w:t>
            </w:r>
          </w:p>
        </w:tc>
        <w:tc>
          <w:tcPr>
            <w:tcW w:w="1226" w:type="dxa"/>
            <w:vAlign w:val="center"/>
          </w:tcPr>
          <w:p w14:paraId="40B166CD">
            <w:pPr>
              <w:pStyle w:val="78"/>
              <w:widowControl w:val="0"/>
              <w:spacing w:beforeLines="0"/>
              <w:ind w:left="0" w:leftChars="0"/>
              <w:rPr>
                <w:rFonts w:hint="eastAsia" w:eastAsia="宋体"/>
                <w:kern w:val="0"/>
                <w:sz w:val="21"/>
                <w:szCs w:val="21"/>
                <w:u w:val="wave"/>
                <w:lang w:val="en-US" w:eastAsia="zh-CN"/>
              </w:rPr>
            </w:pPr>
            <w:r>
              <w:rPr>
                <w:rFonts w:hint="eastAsia"/>
                <w:kern w:val="0"/>
                <w:sz w:val="21"/>
                <w:szCs w:val="21"/>
                <w:u w:val="wave"/>
                <w:lang w:val="en-US" w:eastAsia="zh-CN"/>
              </w:rPr>
              <w:t>技术支持</w:t>
            </w:r>
          </w:p>
        </w:tc>
      </w:tr>
    </w:tbl>
    <w:p w14:paraId="25BA99D3">
      <w:pPr>
        <w:ind w:firstLine="480" w:firstLineChars="200"/>
      </w:pPr>
      <w:r>
        <w:t>20</w:t>
      </w:r>
      <w:r>
        <w:rPr>
          <w:rFonts w:hint="eastAsia"/>
        </w:rPr>
        <w:t>23</w:t>
      </w:r>
      <w:r>
        <w:t>年</w:t>
      </w:r>
      <w:r>
        <w:rPr>
          <w:rFonts w:hint="eastAsia"/>
        </w:rPr>
        <w:t>11</w:t>
      </w:r>
      <w:r>
        <w:t>月，预案</w:t>
      </w:r>
      <w:r>
        <w:rPr>
          <w:rFonts w:hint="eastAsia"/>
        </w:rPr>
        <w:t>修订</w:t>
      </w:r>
      <w:r>
        <w:t>小组在相关法律、法规、技术导则等文件以及邵阳市生态环境局的指导下，明确了预案的编制依据和目的、人员的职责分工、相关工作计划，并</w:t>
      </w:r>
      <w:r>
        <w:rPr>
          <w:rFonts w:hint="eastAsia"/>
        </w:rPr>
        <w:t>开展</w:t>
      </w:r>
      <w:r>
        <w:t>环境风险评</w:t>
      </w:r>
      <w:r>
        <w:rPr>
          <w:rFonts w:hint="eastAsia"/>
        </w:rPr>
        <w:t>估、</w:t>
      </w:r>
      <w:r>
        <w:t>环境应急</w:t>
      </w:r>
      <w:r>
        <w:rPr>
          <w:rFonts w:hint="eastAsia"/>
        </w:rPr>
        <w:t>资源调查</w:t>
      </w:r>
      <w:r>
        <w:t>、环境应急能力评估、可能发生的突发环境事件及其后果分析、现有环境风险防控和环境应急管理差距分析，制定完善环境风险防控和应急措施的实施计划，划定突发环境事件风险等级等步骤，</w:t>
      </w:r>
      <w:r>
        <w:rPr>
          <w:rFonts w:hint="eastAsia"/>
        </w:rPr>
        <w:t>修订了</w:t>
      </w:r>
      <w:r>
        <w:t>适应</w:t>
      </w:r>
      <w:r>
        <w:rPr>
          <w:rFonts w:hint="eastAsia" w:ascii="宋体" w:hAnsi="宋体" w:cs="宋体"/>
          <w:szCs w:val="30"/>
        </w:rPr>
        <w:t>绥宁县</w:t>
      </w:r>
      <w:r>
        <w:rPr>
          <w:szCs w:val="30"/>
        </w:rPr>
        <w:t>现有实际应急条件及管理水平的突发环境事件应急预案，并于</w:t>
      </w:r>
      <w:r>
        <w:rPr>
          <w:rFonts w:hint="eastAsia"/>
          <w:szCs w:val="30"/>
        </w:rPr>
        <w:t>2023年12</w:t>
      </w:r>
      <w:r>
        <w:rPr>
          <w:szCs w:val="30"/>
        </w:rPr>
        <w:t>月</w:t>
      </w:r>
      <w:r>
        <w:rPr>
          <w:rFonts w:hint="eastAsia"/>
          <w:szCs w:val="30"/>
        </w:rPr>
        <w:t>4</w:t>
      </w:r>
      <w:r>
        <w:rPr>
          <w:szCs w:val="30"/>
        </w:rPr>
        <w:t>日完成了</w:t>
      </w:r>
      <w:r>
        <w:t>《</w:t>
      </w:r>
      <w:r>
        <w:rPr>
          <w:rFonts w:hint="eastAsia"/>
        </w:rPr>
        <w:t>绥宁县关峡苗族乡兰溪水饮用水水源地保护区</w:t>
      </w:r>
      <w:r>
        <w:t>突发环境事件应急预案（第</w:t>
      </w:r>
      <w:r>
        <w:rPr>
          <w:rFonts w:hint="eastAsia"/>
        </w:rPr>
        <w:t>一</w:t>
      </w:r>
      <w:r>
        <w:t>次修订，</w:t>
      </w:r>
      <w:r>
        <w:rPr>
          <w:rFonts w:hint="eastAsia"/>
          <w:lang w:eastAsia="zh-CN"/>
        </w:rPr>
        <w:t>2024年版</w:t>
      </w:r>
      <w:r>
        <w:t>）》</w:t>
      </w:r>
      <w:r>
        <w:rPr>
          <w:szCs w:val="30"/>
        </w:rPr>
        <w:t>（征</w:t>
      </w:r>
      <w:r>
        <w:rPr>
          <w:rFonts w:hint="eastAsia"/>
        </w:rPr>
        <w:t>求意见稿）</w:t>
      </w:r>
      <w:r>
        <w:t>的编写工作。</w:t>
      </w:r>
    </w:p>
    <w:p w14:paraId="432F319C">
      <w:pPr>
        <w:pStyle w:val="4"/>
      </w:pPr>
      <w:bookmarkStart w:id="31" w:name="_Toc19947"/>
      <w:bookmarkStart w:id="32" w:name="_Toc19485"/>
      <w:r>
        <w:t>1.</w:t>
      </w:r>
      <w:bookmarkEnd w:id="19"/>
      <w:bookmarkEnd w:id="20"/>
      <w:bookmarkEnd w:id="21"/>
      <w:bookmarkEnd w:id="22"/>
      <w:bookmarkEnd w:id="23"/>
      <w:bookmarkEnd w:id="24"/>
      <w:bookmarkEnd w:id="25"/>
      <w:bookmarkEnd w:id="26"/>
      <w:bookmarkEnd w:id="27"/>
      <w:bookmarkEnd w:id="28"/>
      <w:bookmarkEnd w:id="29"/>
      <w:bookmarkEnd w:id="30"/>
      <w:r>
        <w:rPr>
          <w:rFonts w:hint="eastAsia"/>
        </w:rPr>
        <w:t>3应急预案变化情况说明</w:t>
      </w:r>
      <w:bookmarkEnd w:id="31"/>
      <w:bookmarkEnd w:id="32"/>
    </w:p>
    <w:p w14:paraId="404B1E25">
      <w:pPr>
        <w:ind w:firstLine="480" w:firstLineChars="200"/>
      </w:pPr>
      <w:r>
        <w:rPr>
          <w:rFonts w:hint="eastAsia"/>
        </w:rPr>
        <w:t>原应急预案与本应急预案的适用范围、环境风险源、安全保障、环境风险受体等变化情况如下表1-2所示：</w:t>
      </w:r>
    </w:p>
    <w:p w14:paraId="615310A0">
      <w:pPr>
        <w:ind w:firstLine="482"/>
        <w:jc w:val="center"/>
        <w:rPr>
          <w:b/>
          <w:bCs/>
          <w:szCs w:val="21"/>
        </w:rPr>
      </w:pPr>
      <w:r>
        <w:rPr>
          <w:b/>
          <w:bCs/>
          <w:sz w:val="21"/>
          <w:szCs w:val="21"/>
        </w:rPr>
        <w:t>表</w:t>
      </w:r>
      <w:r>
        <w:rPr>
          <w:rFonts w:hint="eastAsia"/>
          <w:b/>
          <w:bCs/>
          <w:sz w:val="21"/>
          <w:szCs w:val="21"/>
        </w:rPr>
        <w:t>1</w:t>
      </w:r>
      <w:r>
        <w:rPr>
          <w:b/>
          <w:bCs/>
          <w:sz w:val="21"/>
          <w:szCs w:val="21"/>
        </w:rPr>
        <w:t>-</w:t>
      </w:r>
      <w:r>
        <w:rPr>
          <w:rFonts w:hint="eastAsia"/>
          <w:b/>
          <w:bCs/>
          <w:sz w:val="21"/>
          <w:szCs w:val="21"/>
        </w:rPr>
        <w:t>2  原应急预案与本应急预案变化情况一览表</w:t>
      </w:r>
    </w:p>
    <w:tbl>
      <w:tblPr>
        <w:tblStyle w:val="20"/>
        <w:tblW w:w="87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07"/>
        <w:gridCol w:w="418"/>
        <w:gridCol w:w="203"/>
        <w:gridCol w:w="1928"/>
        <w:gridCol w:w="2539"/>
        <w:gridCol w:w="1177"/>
      </w:tblGrid>
      <w:tr w14:paraId="7DA61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135" w:type="dxa"/>
            <w:vAlign w:val="center"/>
          </w:tcPr>
          <w:p w14:paraId="0D67D16D">
            <w:pPr>
              <w:snapToGrid w:val="0"/>
              <w:spacing w:line="240" w:lineRule="auto"/>
              <w:jc w:val="center"/>
              <w:rPr>
                <w:b/>
                <w:sz w:val="21"/>
                <w:szCs w:val="21"/>
              </w:rPr>
            </w:pPr>
            <w:r>
              <w:rPr>
                <w:rFonts w:hint="eastAsia"/>
                <w:b/>
                <w:sz w:val="21"/>
                <w:szCs w:val="21"/>
              </w:rPr>
              <w:t>变化项目</w:t>
            </w:r>
          </w:p>
        </w:tc>
        <w:tc>
          <w:tcPr>
            <w:tcW w:w="3856" w:type="dxa"/>
            <w:gridSpan w:val="4"/>
            <w:vAlign w:val="center"/>
          </w:tcPr>
          <w:p w14:paraId="766846BE">
            <w:pPr>
              <w:snapToGrid w:val="0"/>
              <w:spacing w:line="240" w:lineRule="auto"/>
              <w:jc w:val="center"/>
              <w:rPr>
                <w:b/>
                <w:sz w:val="21"/>
                <w:szCs w:val="21"/>
              </w:rPr>
            </w:pPr>
            <w:r>
              <w:rPr>
                <w:rFonts w:hint="eastAsia"/>
                <w:b/>
                <w:sz w:val="21"/>
                <w:szCs w:val="21"/>
              </w:rPr>
              <w:t>原应急预案</w:t>
            </w:r>
          </w:p>
        </w:tc>
        <w:tc>
          <w:tcPr>
            <w:tcW w:w="2539" w:type="dxa"/>
            <w:vAlign w:val="center"/>
          </w:tcPr>
          <w:p w14:paraId="7B64FE60">
            <w:pPr>
              <w:snapToGrid w:val="0"/>
              <w:spacing w:line="240" w:lineRule="auto"/>
              <w:jc w:val="center"/>
              <w:rPr>
                <w:b/>
                <w:sz w:val="21"/>
                <w:szCs w:val="21"/>
              </w:rPr>
            </w:pPr>
            <w:r>
              <w:rPr>
                <w:rFonts w:hint="eastAsia"/>
                <w:b/>
                <w:sz w:val="21"/>
                <w:szCs w:val="21"/>
              </w:rPr>
              <w:t>本应急预案</w:t>
            </w:r>
          </w:p>
        </w:tc>
        <w:tc>
          <w:tcPr>
            <w:tcW w:w="1177" w:type="dxa"/>
            <w:vAlign w:val="center"/>
          </w:tcPr>
          <w:p w14:paraId="04AB56ED">
            <w:pPr>
              <w:snapToGrid w:val="0"/>
              <w:spacing w:line="240" w:lineRule="auto"/>
              <w:jc w:val="center"/>
              <w:rPr>
                <w:rFonts w:hint="eastAsia"/>
                <w:b/>
                <w:sz w:val="21"/>
                <w:szCs w:val="21"/>
              </w:rPr>
            </w:pPr>
            <w:r>
              <w:rPr>
                <w:rFonts w:hint="eastAsia"/>
                <w:b/>
                <w:sz w:val="21"/>
                <w:szCs w:val="21"/>
              </w:rPr>
              <w:t>变化情况</w:t>
            </w:r>
          </w:p>
        </w:tc>
      </w:tr>
      <w:tr w14:paraId="20CB7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5" w:type="dxa"/>
            <w:vAlign w:val="center"/>
          </w:tcPr>
          <w:p w14:paraId="424956AD">
            <w:pPr>
              <w:snapToGrid w:val="0"/>
              <w:spacing w:line="240" w:lineRule="auto"/>
              <w:jc w:val="center"/>
              <w:rPr>
                <w:rFonts w:hint="eastAsia"/>
                <w:sz w:val="21"/>
                <w:szCs w:val="21"/>
              </w:rPr>
            </w:pPr>
            <w:r>
              <w:rPr>
                <w:rFonts w:hint="eastAsia"/>
                <w:sz w:val="21"/>
                <w:szCs w:val="21"/>
              </w:rPr>
              <w:t>适用范围</w:t>
            </w:r>
          </w:p>
        </w:tc>
        <w:tc>
          <w:tcPr>
            <w:tcW w:w="3856" w:type="dxa"/>
            <w:gridSpan w:val="4"/>
            <w:vAlign w:val="center"/>
          </w:tcPr>
          <w:p w14:paraId="73E5F475">
            <w:pPr>
              <w:snapToGrid w:val="0"/>
              <w:spacing w:line="240" w:lineRule="auto"/>
              <w:rPr>
                <w:sz w:val="21"/>
                <w:szCs w:val="21"/>
              </w:rPr>
            </w:pPr>
            <w:r>
              <w:rPr>
                <w:sz w:val="21"/>
                <w:szCs w:val="21"/>
              </w:rPr>
              <w:t>适用于</w:t>
            </w:r>
            <w:r>
              <w:rPr>
                <w:rFonts w:hint="eastAsia"/>
                <w:sz w:val="21"/>
                <w:szCs w:val="21"/>
              </w:rPr>
              <w:t>关峡苗族乡兰溪水</w:t>
            </w:r>
            <w:r>
              <w:rPr>
                <w:sz w:val="21"/>
                <w:szCs w:val="21"/>
              </w:rPr>
              <w:t>水源地保护区</w:t>
            </w:r>
            <w:r>
              <w:rPr>
                <w:rFonts w:hint="eastAsia"/>
                <w:sz w:val="21"/>
                <w:szCs w:val="21"/>
              </w:rPr>
              <w:t>取水口至上游发源地（约27Km）内</w:t>
            </w:r>
            <w:r>
              <w:rPr>
                <w:sz w:val="21"/>
                <w:szCs w:val="21"/>
              </w:rPr>
              <w:t>的水域和分水岭内的陆域且需要由绥宁县人民政府指导、督促、协调、处理的水源地保护区突发环境事件应急工作。</w:t>
            </w:r>
          </w:p>
        </w:tc>
        <w:tc>
          <w:tcPr>
            <w:tcW w:w="2539" w:type="dxa"/>
            <w:vAlign w:val="center"/>
          </w:tcPr>
          <w:p w14:paraId="543632BF">
            <w:pPr>
              <w:snapToGrid w:val="0"/>
              <w:spacing w:line="240" w:lineRule="auto"/>
              <w:jc w:val="center"/>
              <w:rPr>
                <w:sz w:val="21"/>
                <w:szCs w:val="21"/>
              </w:rPr>
            </w:pPr>
            <w:r>
              <w:rPr>
                <w:rFonts w:hint="eastAsia"/>
                <w:sz w:val="21"/>
                <w:szCs w:val="21"/>
              </w:rPr>
              <w:t>与原应急预案相同</w:t>
            </w:r>
          </w:p>
        </w:tc>
        <w:tc>
          <w:tcPr>
            <w:tcW w:w="1177" w:type="dxa"/>
            <w:vAlign w:val="center"/>
          </w:tcPr>
          <w:p w14:paraId="3F5323DF">
            <w:pPr>
              <w:snapToGrid w:val="0"/>
              <w:spacing w:line="240" w:lineRule="auto"/>
              <w:jc w:val="center"/>
              <w:rPr>
                <w:rFonts w:hint="eastAsia"/>
                <w:sz w:val="21"/>
                <w:szCs w:val="21"/>
              </w:rPr>
            </w:pPr>
            <w:r>
              <w:rPr>
                <w:rFonts w:hint="eastAsia"/>
                <w:sz w:val="21"/>
                <w:szCs w:val="21"/>
              </w:rPr>
              <w:t>无变化</w:t>
            </w:r>
          </w:p>
        </w:tc>
      </w:tr>
      <w:tr w14:paraId="6469C7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135" w:type="dxa"/>
            <w:vAlign w:val="center"/>
          </w:tcPr>
          <w:p w14:paraId="58D29DE1">
            <w:pPr>
              <w:snapToGrid w:val="0"/>
              <w:spacing w:line="240" w:lineRule="auto"/>
              <w:jc w:val="center"/>
              <w:rPr>
                <w:rFonts w:hint="eastAsia"/>
                <w:sz w:val="21"/>
                <w:szCs w:val="21"/>
              </w:rPr>
            </w:pPr>
            <w:r>
              <w:rPr>
                <w:rFonts w:hint="eastAsia"/>
                <w:sz w:val="21"/>
                <w:szCs w:val="21"/>
              </w:rPr>
              <w:t>取水情况</w:t>
            </w:r>
          </w:p>
        </w:tc>
        <w:tc>
          <w:tcPr>
            <w:tcW w:w="3856" w:type="dxa"/>
            <w:gridSpan w:val="4"/>
            <w:vAlign w:val="center"/>
          </w:tcPr>
          <w:p w14:paraId="13EE9EA6">
            <w:pPr>
              <w:snapToGrid w:val="0"/>
              <w:spacing w:line="240" w:lineRule="auto"/>
              <w:rPr>
                <w:sz w:val="21"/>
                <w:szCs w:val="21"/>
              </w:rPr>
            </w:pPr>
            <w:r>
              <w:rPr>
                <w:sz w:val="21"/>
                <w:szCs w:val="21"/>
              </w:rPr>
              <w:t>绥宁县关峡水厂取水点位于绥宁县关峡苗族乡插柳村</w:t>
            </w:r>
            <w:r>
              <w:rPr>
                <w:rFonts w:hint="eastAsia"/>
                <w:sz w:val="21"/>
                <w:szCs w:val="21"/>
              </w:rPr>
              <w:t>，</w:t>
            </w:r>
            <w:r>
              <w:rPr>
                <w:sz w:val="21"/>
                <w:szCs w:val="21"/>
              </w:rPr>
              <w:t>取水水源类型为河流（兰溪水），取水方式为提水。</w:t>
            </w:r>
          </w:p>
        </w:tc>
        <w:tc>
          <w:tcPr>
            <w:tcW w:w="2539" w:type="dxa"/>
            <w:vAlign w:val="center"/>
          </w:tcPr>
          <w:p w14:paraId="71374D74">
            <w:pPr>
              <w:snapToGrid w:val="0"/>
              <w:spacing w:line="240" w:lineRule="auto"/>
              <w:jc w:val="center"/>
              <w:rPr>
                <w:rFonts w:hint="eastAsia"/>
                <w:sz w:val="21"/>
                <w:szCs w:val="21"/>
              </w:rPr>
            </w:pPr>
            <w:r>
              <w:rPr>
                <w:rFonts w:hint="eastAsia"/>
                <w:sz w:val="21"/>
                <w:szCs w:val="21"/>
              </w:rPr>
              <w:t>水厂取水点位于关峡乡插柳村，水源类型为河流（兰溪水），取水方式为提水</w:t>
            </w:r>
          </w:p>
        </w:tc>
        <w:tc>
          <w:tcPr>
            <w:tcW w:w="1177" w:type="dxa"/>
            <w:vAlign w:val="center"/>
          </w:tcPr>
          <w:p w14:paraId="17C3E24A">
            <w:pPr>
              <w:snapToGrid w:val="0"/>
              <w:spacing w:line="240" w:lineRule="auto"/>
              <w:jc w:val="center"/>
              <w:rPr>
                <w:rFonts w:hint="eastAsia"/>
                <w:sz w:val="21"/>
                <w:szCs w:val="21"/>
              </w:rPr>
            </w:pPr>
            <w:r>
              <w:rPr>
                <w:rFonts w:hint="eastAsia"/>
                <w:sz w:val="21"/>
                <w:szCs w:val="21"/>
              </w:rPr>
              <w:t>无变化</w:t>
            </w:r>
          </w:p>
        </w:tc>
      </w:tr>
      <w:tr w14:paraId="4F90E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5" w:type="dxa"/>
            <w:vMerge w:val="restart"/>
            <w:vAlign w:val="center"/>
          </w:tcPr>
          <w:p w14:paraId="35016981">
            <w:pPr>
              <w:snapToGrid w:val="0"/>
              <w:spacing w:line="240" w:lineRule="auto"/>
              <w:jc w:val="center"/>
              <w:rPr>
                <w:rFonts w:hint="eastAsia"/>
                <w:sz w:val="21"/>
                <w:szCs w:val="21"/>
              </w:rPr>
            </w:pPr>
            <w:r>
              <w:rPr>
                <w:rFonts w:hint="eastAsia"/>
                <w:sz w:val="21"/>
                <w:szCs w:val="21"/>
              </w:rPr>
              <w:t>应急指挥机构</w:t>
            </w:r>
          </w:p>
        </w:tc>
        <w:tc>
          <w:tcPr>
            <w:tcW w:w="1928" w:type="dxa"/>
            <w:gridSpan w:val="3"/>
            <w:vAlign w:val="center"/>
          </w:tcPr>
          <w:p w14:paraId="3490A82E">
            <w:pPr>
              <w:snapToGrid w:val="0"/>
              <w:spacing w:line="240" w:lineRule="auto"/>
              <w:jc w:val="center"/>
              <w:rPr>
                <w:rFonts w:cs="宋体"/>
                <w:b/>
                <w:sz w:val="21"/>
                <w:szCs w:val="21"/>
              </w:rPr>
            </w:pPr>
            <w:r>
              <w:rPr>
                <w:rFonts w:hint="eastAsia" w:cs="宋体"/>
                <w:b/>
                <w:sz w:val="21"/>
                <w:szCs w:val="21"/>
              </w:rPr>
              <w:t>职务</w:t>
            </w:r>
          </w:p>
        </w:tc>
        <w:tc>
          <w:tcPr>
            <w:tcW w:w="1928" w:type="dxa"/>
            <w:vAlign w:val="center"/>
          </w:tcPr>
          <w:p w14:paraId="7F147CED">
            <w:pPr>
              <w:snapToGrid w:val="0"/>
              <w:spacing w:line="240" w:lineRule="auto"/>
              <w:jc w:val="center"/>
              <w:rPr>
                <w:rFonts w:hint="eastAsia" w:cs="宋体"/>
                <w:b/>
                <w:sz w:val="21"/>
                <w:szCs w:val="21"/>
              </w:rPr>
            </w:pPr>
            <w:r>
              <w:rPr>
                <w:rFonts w:hint="eastAsia" w:cs="宋体"/>
                <w:b/>
                <w:sz w:val="21"/>
                <w:szCs w:val="21"/>
              </w:rPr>
              <w:t>名称</w:t>
            </w:r>
          </w:p>
        </w:tc>
        <w:tc>
          <w:tcPr>
            <w:tcW w:w="2539" w:type="dxa"/>
            <w:vAlign w:val="center"/>
          </w:tcPr>
          <w:p w14:paraId="14731362">
            <w:pPr>
              <w:snapToGrid w:val="0"/>
              <w:spacing w:line="240" w:lineRule="auto"/>
              <w:jc w:val="center"/>
              <w:rPr>
                <w:rFonts w:hint="eastAsia" w:cs="宋体"/>
                <w:b/>
                <w:sz w:val="21"/>
                <w:szCs w:val="21"/>
              </w:rPr>
            </w:pPr>
            <w:r>
              <w:rPr>
                <w:rFonts w:cs="宋体"/>
                <w:b/>
                <w:sz w:val="21"/>
                <w:szCs w:val="21"/>
              </w:rPr>
              <w:t>名称</w:t>
            </w:r>
          </w:p>
        </w:tc>
        <w:tc>
          <w:tcPr>
            <w:tcW w:w="1177" w:type="dxa"/>
            <w:vAlign w:val="center"/>
          </w:tcPr>
          <w:p w14:paraId="3B918189">
            <w:pPr>
              <w:snapToGrid w:val="0"/>
              <w:spacing w:line="240" w:lineRule="auto"/>
              <w:jc w:val="center"/>
              <w:rPr>
                <w:rFonts w:hint="eastAsia" w:cs="宋体"/>
                <w:b/>
                <w:sz w:val="21"/>
                <w:szCs w:val="21"/>
              </w:rPr>
            </w:pPr>
            <w:r>
              <w:rPr>
                <w:rFonts w:hint="eastAsia" w:cs="宋体"/>
                <w:b/>
                <w:sz w:val="21"/>
                <w:szCs w:val="21"/>
              </w:rPr>
              <w:t>变化情况</w:t>
            </w:r>
          </w:p>
        </w:tc>
      </w:tr>
      <w:tr w14:paraId="5A8ED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694DFBBD">
            <w:pPr>
              <w:snapToGrid w:val="0"/>
              <w:spacing w:line="240" w:lineRule="auto"/>
              <w:jc w:val="center"/>
              <w:rPr>
                <w:rFonts w:hint="eastAsia"/>
                <w:sz w:val="21"/>
                <w:szCs w:val="21"/>
              </w:rPr>
            </w:pPr>
          </w:p>
        </w:tc>
        <w:tc>
          <w:tcPr>
            <w:tcW w:w="1928" w:type="dxa"/>
            <w:gridSpan w:val="3"/>
            <w:vAlign w:val="center"/>
          </w:tcPr>
          <w:p w14:paraId="65B09702">
            <w:pPr>
              <w:snapToGrid w:val="0"/>
              <w:spacing w:line="240" w:lineRule="auto"/>
              <w:jc w:val="center"/>
              <w:rPr>
                <w:sz w:val="21"/>
                <w:szCs w:val="21"/>
              </w:rPr>
            </w:pPr>
            <w:r>
              <w:rPr>
                <w:rFonts w:hint="eastAsia"/>
                <w:sz w:val="21"/>
                <w:szCs w:val="21"/>
              </w:rPr>
              <w:t>总指挥</w:t>
            </w:r>
          </w:p>
        </w:tc>
        <w:tc>
          <w:tcPr>
            <w:tcW w:w="1928" w:type="dxa"/>
            <w:vAlign w:val="center"/>
          </w:tcPr>
          <w:p w14:paraId="55E94BB0">
            <w:pPr>
              <w:snapToGrid w:val="0"/>
              <w:spacing w:line="240" w:lineRule="auto"/>
              <w:jc w:val="center"/>
              <w:rPr>
                <w:rFonts w:hint="eastAsia"/>
                <w:sz w:val="21"/>
                <w:szCs w:val="21"/>
              </w:rPr>
            </w:pPr>
            <w:r>
              <w:rPr>
                <w:rFonts w:hint="eastAsia"/>
                <w:sz w:val="21"/>
                <w:szCs w:val="21"/>
              </w:rPr>
              <w:t>刘文兰</w:t>
            </w:r>
          </w:p>
        </w:tc>
        <w:tc>
          <w:tcPr>
            <w:tcW w:w="2539" w:type="dxa"/>
            <w:vAlign w:val="center"/>
          </w:tcPr>
          <w:p w14:paraId="1FBF95D8">
            <w:pPr>
              <w:snapToGrid w:val="0"/>
              <w:spacing w:line="240" w:lineRule="auto"/>
              <w:jc w:val="center"/>
              <w:rPr>
                <w:rFonts w:hint="eastAsia"/>
                <w:sz w:val="21"/>
                <w:szCs w:val="21"/>
              </w:rPr>
            </w:pPr>
            <w:r>
              <w:rPr>
                <w:rFonts w:hint="eastAsia"/>
                <w:sz w:val="21"/>
                <w:szCs w:val="21"/>
              </w:rPr>
              <w:t>杨昌盛</w:t>
            </w:r>
          </w:p>
        </w:tc>
        <w:tc>
          <w:tcPr>
            <w:tcW w:w="1177" w:type="dxa"/>
            <w:vAlign w:val="center"/>
          </w:tcPr>
          <w:p w14:paraId="777CC598">
            <w:pPr>
              <w:snapToGrid w:val="0"/>
              <w:spacing w:line="240" w:lineRule="auto"/>
              <w:jc w:val="center"/>
              <w:rPr>
                <w:rFonts w:hint="eastAsia"/>
                <w:sz w:val="21"/>
                <w:szCs w:val="21"/>
              </w:rPr>
            </w:pPr>
            <w:r>
              <w:rPr>
                <w:rFonts w:hint="eastAsia"/>
                <w:sz w:val="21"/>
                <w:szCs w:val="21"/>
              </w:rPr>
              <w:t>人员变动</w:t>
            </w:r>
          </w:p>
        </w:tc>
      </w:tr>
      <w:tr w14:paraId="0300D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5E42C871">
            <w:pPr>
              <w:snapToGrid w:val="0"/>
              <w:spacing w:line="240" w:lineRule="auto"/>
              <w:jc w:val="center"/>
              <w:rPr>
                <w:rFonts w:hint="eastAsia"/>
                <w:sz w:val="21"/>
                <w:szCs w:val="21"/>
              </w:rPr>
            </w:pPr>
          </w:p>
        </w:tc>
        <w:tc>
          <w:tcPr>
            <w:tcW w:w="1928" w:type="dxa"/>
            <w:gridSpan w:val="3"/>
            <w:vAlign w:val="center"/>
          </w:tcPr>
          <w:p w14:paraId="3E9BF7CB">
            <w:pPr>
              <w:snapToGrid w:val="0"/>
              <w:spacing w:line="240" w:lineRule="auto"/>
              <w:jc w:val="center"/>
              <w:rPr>
                <w:sz w:val="21"/>
                <w:szCs w:val="21"/>
              </w:rPr>
            </w:pPr>
            <w:r>
              <w:rPr>
                <w:rFonts w:hint="eastAsia"/>
                <w:sz w:val="21"/>
                <w:szCs w:val="21"/>
              </w:rPr>
              <w:t>副总指挥</w:t>
            </w:r>
          </w:p>
        </w:tc>
        <w:tc>
          <w:tcPr>
            <w:tcW w:w="1928" w:type="dxa"/>
            <w:vAlign w:val="center"/>
          </w:tcPr>
          <w:p w14:paraId="0C2F0372">
            <w:pPr>
              <w:snapToGrid w:val="0"/>
              <w:spacing w:line="240" w:lineRule="auto"/>
              <w:jc w:val="center"/>
              <w:rPr>
                <w:rFonts w:hint="eastAsia"/>
                <w:sz w:val="21"/>
                <w:szCs w:val="21"/>
              </w:rPr>
            </w:pPr>
            <w:r>
              <w:rPr>
                <w:rFonts w:hint="eastAsia"/>
                <w:sz w:val="21"/>
                <w:szCs w:val="21"/>
              </w:rPr>
              <w:t>戴熙辉</w:t>
            </w:r>
          </w:p>
        </w:tc>
        <w:tc>
          <w:tcPr>
            <w:tcW w:w="2539" w:type="dxa"/>
            <w:vAlign w:val="center"/>
          </w:tcPr>
          <w:p w14:paraId="63CC8706">
            <w:pPr>
              <w:snapToGrid w:val="0"/>
              <w:spacing w:line="240" w:lineRule="auto"/>
              <w:jc w:val="center"/>
              <w:rPr>
                <w:sz w:val="21"/>
                <w:szCs w:val="21"/>
              </w:rPr>
            </w:pPr>
            <w:r>
              <w:rPr>
                <w:sz w:val="21"/>
                <w:szCs w:val="21"/>
              </w:rPr>
              <w:t>张志雄</w:t>
            </w:r>
          </w:p>
        </w:tc>
        <w:tc>
          <w:tcPr>
            <w:tcW w:w="1177" w:type="dxa"/>
            <w:vAlign w:val="center"/>
          </w:tcPr>
          <w:p w14:paraId="2036669B">
            <w:pPr>
              <w:snapToGrid w:val="0"/>
              <w:spacing w:line="240" w:lineRule="auto"/>
              <w:jc w:val="center"/>
              <w:rPr>
                <w:rFonts w:hint="eastAsia"/>
                <w:sz w:val="21"/>
                <w:szCs w:val="21"/>
              </w:rPr>
            </w:pPr>
            <w:r>
              <w:rPr>
                <w:rFonts w:hint="eastAsia"/>
                <w:sz w:val="21"/>
                <w:szCs w:val="21"/>
              </w:rPr>
              <w:t>人员变动</w:t>
            </w:r>
          </w:p>
        </w:tc>
      </w:tr>
      <w:tr w14:paraId="4C5E1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62438C13">
            <w:pPr>
              <w:snapToGrid w:val="0"/>
              <w:spacing w:line="240" w:lineRule="auto"/>
              <w:jc w:val="center"/>
              <w:rPr>
                <w:rFonts w:hint="eastAsia"/>
                <w:sz w:val="21"/>
                <w:szCs w:val="21"/>
              </w:rPr>
            </w:pPr>
          </w:p>
        </w:tc>
        <w:tc>
          <w:tcPr>
            <w:tcW w:w="1928" w:type="dxa"/>
            <w:gridSpan w:val="3"/>
            <w:vAlign w:val="center"/>
          </w:tcPr>
          <w:p w14:paraId="313A37BC">
            <w:pPr>
              <w:snapToGrid w:val="0"/>
              <w:spacing w:line="240" w:lineRule="auto"/>
              <w:jc w:val="center"/>
              <w:rPr>
                <w:rFonts w:hint="eastAsia"/>
                <w:sz w:val="21"/>
                <w:szCs w:val="21"/>
              </w:rPr>
            </w:pPr>
            <w:r>
              <w:rPr>
                <w:rFonts w:hint="eastAsia"/>
                <w:sz w:val="21"/>
                <w:szCs w:val="21"/>
              </w:rPr>
              <w:t>副总指挥</w:t>
            </w:r>
          </w:p>
        </w:tc>
        <w:tc>
          <w:tcPr>
            <w:tcW w:w="1928" w:type="dxa"/>
            <w:vAlign w:val="center"/>
          </w:tcPr>
          <w:p w14:paraId="5C5F4AFD">
            <w:pPr>
              <w:snapToGrid w:val="0"/>
              <w:spacing w:line="240" w:lineRule="auto"/>
              <w:jc w:val="center"/>
              <w:rPr>
                <w:rFonts w:hint="eastAsia"/>
                <w:sz w:val="21"/>
                <w:szCs w:val="21"/>
              </w:rPr>
            </w:pPr>
            <w:r>
              <w:rPr>
                <w:rFonts w:hint="eastAsia"/>
                <w:sz w:val="21"/>
                <w:szCs w:val="21"/>
              </w:rPr>
              <w:t>杨文华</w:t>
            </w:r>
          </w:p>
        </w:tc>
        <w:tc>
          <w:tcPr>
            <w:tcW w:w="2539" w:type="dxa"/>
            <w:vAlign w:val="center"/>
          </w:tcPr>
          <w:p w14:paraId="4DF42B98">
            <w:pPr>
              <w:snapToGrid w:val="0"/>
              <w:spacing w:line="240" w:lineRule="auto"/>
              <w:jc w:val="center"/>
              <w:rPr>
                <w:sz w:val="21"/>
                <w:szCs w:val="21"/>
              </w:rPr>
            </w:pPr>
            <w:r>
              <w:rPr>
                <w:sz w:val="21"/>
                <w:szCs w:val="21"/>
              </w:rPr>
              <w:t>袁惠雄</w:t>
            </w:r>
          </w:p>
        </w:tc>
        <w:tc>
          <w:tcPr>
            <w:tcW w:w="1177" w:type="dxa"/>
            <w:vAlign w:val="center"/>
          </w:tcPr>
          <w:p w14:paraId="3194F160">
            <w:pPr>
              <w:snapToGrid w:val="0"/>
              <w:spacing w:line="240" w:lineRule="auto"/>
              <w:jc w:val="center"/>
              <w:rPr>
                <w:rFonts w:hint="eastAsia"/>
                <w:sz w:val="21"/>
                <w:szCs w:val="21"/>
              </w:rPr>
            </w:pPr>
            <w:r>
              <w:rPr>
                <w:rFonts w:hint="eastAsia"/>
                <w:sz w:val="21"/>
                <w:szCs w:val="21"/>
              </w:rPr>
              <w:t>人员变动</w:t>
            </w:r>
          </w:p>
        </w:tc>
      </w:tr>
      <w:tr w14:paraId="08375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059AC7F3">
            <w:pPr>
              <w:snapToGrid w:val="0"/>
              <w:spacing w:line="240" w:lineRule="auto"/>
              <w:jc w:val="center"/>
              <w:rPr>
                <w:rFonts w:hint="eastAsia"/>
                <w:sz w:val="21"/>
                <w:szCs w:val="21"/>
              </w:rPr>
            </w:pPr>
          </w:p>
        </w:tc>
        <w:tc>
          <w:tcPr>
            <w:tcW w:w="1928" w:type="dxa"/>
            <w:gridSpan w:val="3"/>
            <w:vAlign w:val="center"/>
          </w:tcPr>
          <w:p w14:paraId="0F4F7130">
            <w:pPr>
              <w:snapToGrid w:val="0"/>
              <w:spacing w:line="240" w:lineRule="auto"/>
              <w:jc w:val="center"/>
              <w:rPr>
                <w:rFonts w:hint="eastAsia"/>
                <w:sz w:val="21"/>
                <w:szCs w:val="21"/>
              </w:rPr>
            </w:pPr>
            <w:r>
              <w:rPr>
                <w:rFonts w:hint="eastAsia"/>
                <w:sz w:val="21"/>
                <w:szCs w:val="21"/>
              </w:rPr>
              <w:t>副总指挥</w:t>
            </w:r>
          </w:p>
        </w:tc>
        <w:tc>
          <w:tcPr>
            <w:tcW w:w="1928" w:type="dxa"/>
            <w:vAlign w:val="center"/>
          </w:tcPr>
          <w:p w14:paraId="2EF0969D">
            <w:pPr>
              <w:snapToGrid w:val="0"/>
              <w:spacing w:line="240" w:lineRule="auto"/>
              <w:jc w:val="center"/>
              <w:rPr>
                <w:rFonts w:hint="eastAsia"/>
                <w:sz w:val="21"/>
                <w:szCs w:val="21"/>
              </w:rPr>
            </w:pPr>
            <w:r>
              <w:rPr>
                <w:sz w:val="21"/>
                <w:szCs w:val="21"/>
              </w:rPr>
              <w:t>唐则俭</w:t>
            </w:r>
          </w:p>
        </w:tc>
        <w:tc>
          <w:tcPr>
            <w:tcW w:w="2539" w:type="dxa"/>
            <w:vAlign w:val="center"/>
          </w:tcPr>
          <w:p w14:paraId="59FD358C">
            <w:pPr>
              <w:snapToGrid w:val="0"/>
              <w:spacing w:line="240" w:lineRule="auto"/>
              <w:jc w:val="center"/>
              <w:rPr>
                <w:sz w:val="21"/>
                <w:szCs w:val="21"/>
              </w:rPr>
            </w:pPr>
            <w:r>
              <w:rPr>
                <w:sz w:val="21"/>
                <w:szCs w:val="21"/>
              </w:rPr>
              <w:t>莫</w:t>
            </w:r>
            <w:r>
              <w:rPr>
                <w:rFonts w:hint="eastAsia"/>
                <w:sz w:val="21"/>
                <w:szCs w:val="21"/>
              </w:rPr>
              <w:t xml:space="preserve">  </w:t>
            </w:r>
            <w:r>
              <w:rPr>
                <w:sz w:val="21"/>
                <w:szCs w:val="21"/>
              </w:rPr>
              <w:t>俊</w:t>
            </w:r>
          </w:p>
        </w:tc>
        <w:tc>
          <w:tcPr>
            <w:tcW w:w="1177" w:type="dxa"/>
            <w:vAlign w:val="center"/>
          </w:tcPr>
          <w:p w14:paraId="365EE623">
            <w:pPr>
              <w:snapToGrid w:val="0"/>
              <w:spacing w:line="240" w:lineRule="auto"/>
              <w:jc w:val="center"/>
              <w:rPr>
                <w:rFonts w:hint="eastAsia"/>
                <w:sz w:val="21"/>
                <w:szCs w:val="21"/>
              </w:rPr>
            </w:pPr>
            <w:r>
              <w:rPr>
                <w:rFonts w:hint="eastAsia"/>
                <w:sz w:val="21"/>
                <w:szCs w:val="21"/>
              </w:rPr>
              <w:t>人员变动</w:t>
            </w:r>
          </w:p>
        </w:tc>
      </w:tr>
      <w:tr w14:paraId="681C1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08BC18AD">
            <w:pPr>
              <w:snapToGrid w:val="0"/>
              <w:spacing w:line="240" w:lineRule="auto"/>
              <w:jc w:val="center"/>
              <w:rPr>
                <w:rFonts w:hint="eastAsia"/>
                <w:sz w:val="21"/>
                <w:szCs w:val="21"/>
              </w:rPr>
            </w:pPr>
          </w:p>
        </w:tc>
        <w:tc>
          <w:tcPr>
            <w:tcW w:w="1928" w:type="dxa"/>
            <w:gridSpan w:val="3"/>
            <w:vAlign w:val="center"/>
          </w:tcPr>
          <w:p w14:paraId="2B304415">
            <w:pPr>
              <w:snapToGrid w:val="0"/>
              <w:spacing w:line="240" w:lineRule="auto"/>
              <w:jc w:val="center"/>
              <w:rPr>
                <w:sz w:val="21"/>
                <w:szCs w:val="21"/>
              </w:rPr>
            </w:pPr>
            <w:r>
              <w:rPr>
                <w:rFonts w:hint="eastAsia"/>
                <w:sz w:val="21"/>
                <w:szCs w:val="21"/>
              </w:rPr>
              <w:t>县委宣传部</w:t>
            </w:r>
          </w:p>
        </w:tc>
        <w:tc>
          <w:tcPr>
            <w:tcW w:w="1928" w:type="dxa"/>
            <w:vAlign w:val="center"/>
          </w:tcPr>
          <w:p w14:paraId="6041C801">
            <w:pPr>
              <w:snapToGrid w:val="0"/>
              <w:spacing w:line="240" w:lineRule="auto"/>
              <w:jc w:val="center"/>
              <w:rPr>
                <w:rFonts w:hint="eastAsia"/>
                <w:sz w:val="21"/>
                <w:szCs w:val="21"/>
              </w:rPr>
            </w:pPr>
            <w:r>
              <w:rPr>
                <w:rFonts w:hint="eastAsia"/>
                <w:sz w:val="21"/>
                <w:szCs w:val="21"/>
              </w:rPr>
              <w:t>李  斌</w:t>
            </w:r>
          </w:p>
        </w:tc>
        <w:tc>
          <w:tcPr>
            <w:tcW w:w="2539" w:type="dxa"/>
            <w:vAlign w:val="center"/>
          </w:tcPr>
          <w:p w14:paraId="64B14BD4">
            <w:pPr>
              <w:snapToGrid w:val="0"/>
              <w:spacing w:line="240" w:lineRule="auto"/>
              <w:jc w:val="center"/>
              <w:rPr>
                <w:sz w:val="21"/>
                <w:szCs w:val="21"/>
              </w:rPr>
            </w:pPr>
            <w:r>
              <w:rPr>
                <w:rFonts w:hint="eastAsia"/>
                <w:sz w:val="21"/>
                <w:szCs w:val="21"/>
                <w:lang w:val="en-US" w:eastAsia="zh-CN"/>
              </w:rPr>
              <w:t>胡海英</w:t>
            </w:r>
          </w:p>
        </w:tc>
        <w:tc>
          <w:tcPr>
            <w:tcW w:w="1177" w:type="dxa"/>
            <w:vAlign w:val="center"/>
          </w:tcPr>
          <w:p w14:paraId="44E240C6">
            <w:pPr>
              <w:snapToGrid w:val="0"/>
              <w:spacing w:line="240" w:lineRule="auto"/>
              <w:jc w:val="center"/>
              <w:rPr>
                <w:rFonts w:hint="eastAsia"/>
                <w:sz w:val="21"/>
                <w:szCs w:val="21"/>
              </w:rPr>
            </w:pPr>
            <w:r>
              <w:rPr>
                <w:rFonts w:hint="eastAsia"/>
                <w:sz w:val="21"/>
                <w:szCs w:val="21"/>
              </w:rPr>
              <w:t>人员变动</w:t>
            </w:r>
          </w:p>
        </w:tc>
      </w:tr>
      <w:tr w14:paraId="73DA9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6549E766">
            <w:pPr>
              <w:snapToGrid w:val="0"/>
              <w:spacing w:line="240" w:lineRule="auto"/>
              <w:jc w:val="center"/>
              <w:rPr>
                <w:rFonts w:hint="eastAsia"/>
                <w:sz w:val="21"/>
                <w:szCs w:val="21"/>
              </w:rPr>
            </w:pPr>
          </w:p>
        </w:tc>
        <w:tc>
          <w:tcPr>
            <w:tcW w:w="1928" w:type="dxa"/>
            <w:gridSpan w:val="3"/>
            <w:vAlign w:val="center"/>
          </w:tcPr>
          <w:p w14:paraId="4E2A1CB3">
            <w:pPr>
              <w:snapToGrid w:val="0"/>
              <w:spacing w:line="240" w:lineRule="auto"/>
              <w:jc w:val="center"/>
              <w:rPr>
                <w:rFonts w:hint="eastAsia"/>
                <w:sz w:val="21"/>
                <w:szCs w:val="21"/>
              </w:rPr>
            </w:pPr>
            <w:r>
              <w:rPr>
                <w:rFonts w:hint="eastAsia"/>
                <w:sz w:val="21"/>
                <w:szCs w:val="21"/>
              </w:rPr>
              <w:t>县发展和改革局</w:t>
            </w:r>
          </w:p>
        </w:tc>
        <w:tc>
          <w:tcPr>
            <w:tcW w:w="1928" w:type="dxa"/>
            <w:vAlign w:val="center"/>
          </w:tcPr>
          <w:p w14:paraId="34C012FB">
            <w:pPr>
              <w:snapToGrid w:val="0"/>
              <w:spacing w:line="240" w:lineRule="auto"/>
              <w:jc w:val="center"/>
              <w:rPr>
                <w:rFonts w:hint="eastAsia"/>
                <w:sz w:val="21"/>
                <w:szCs w:val="21"/>
              </w:rPr>
            </w:pPr>
            <w:r>
              <w:rPr>
                <w:rFonts w:hint="eastAsia"/>
                <w:sz w:val="21"/>
                <w:szCs w:val="21"/>
              </w:rPr>
              <w:t>陶继田</w:t>
            </w:r>
          </w:p>
        </w:tc>
        <w:tc>
          <w:tcPr>
            <w:tcW w:w="2539" w:type="dxa"/>
            <w:vAlign w:val="center"/>
          </w:tcPr>
          <w:p w14:paraId="6EE9B505">
            <w:pPr>
              <w:snapToGrid w:val="0"/>
              <w:spacing w:line="240" w:lineRule="auto"/>
              <w:jc w:val="center"/>
              <w:rPr>
                <w:sz w:val="21"/>
                <w:szCs w:val="21"/>
              </w:rPr>
            </w:pPr>
            <w:r>
              <w:rPr>
                <w:sz w:val="21"/>
                <w:szCs w:val="21"/>
              </w:rPr>
              <w:t>唐中魁</w:t>
            </w:r>
          </w:p>
        </w:tc>
        <w:tc>
          <w:tcPr>
            <w:tcW w:w="1177" w:type="dxa"/>
            <w:vAlign w:val="center"/>
          </w:tcPr>
          <w:p w14:paraId="6C63A538">
            <w:pPr>
              <w:snapToGrid w:val="0"/>
              <w:spacing w:line="240" w:lineRule="auto"/>
              <w:jc w:val="center"/>
              <w:rPr>
                <w:rFonts w:hint="eastAsia"/>
                <w:sz w:val="21"/>
                <w:szCs w:val="21"/>
              </w:rPr>
            </w:pPr>
            <w:r>
              <w:rPr>
                <w:rFonts w:hint="eastAsia"/>
                <w:sz w:val="21"/>
                <w:szCs w:val="21"/>
              </w:rPr>
              <w:t>人员变动</w:t>
            </w:r>
          </w:p>
        </w:tc>
      </w:tr>
      <w:tr w14:paraId="50F31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52A4B855">
            <w:pPr>
              <w:snapToGrid w:val="0"/>
              <w:spacing w:line="240" w:lineRule="auto"/>
              <w:jc w:val="center"/>
              <w:rPr>
                <w:rFonts w:hint="eastAsia"/>
                <w:sz w:val="21"/>
                <w:szCs w:val="21"/>
              </w:rPr>
            </w:pPr>
          </w:p>
        </w:tc>
        <w:tc>
          <w:tcPr>
            <w:tcW w:w="1928" w:type="dxa"/>
            <w:gridSpan w:val="3"/>
            <w:vAlign w:val="center"/>
          </w:tcPr>
          <w:p w14:paraId="2C59DA6A">
            <w:pPr>
              <w:snapToGrid w:val="0"/>
              <w:spacing w:line="240" w:lineRule="auto"/>
              <w:jc w:val="center"/>
              <w:rPr>
                <w:rFonts w:hint="eastAsia"/>
                <w:sz w:val="21"/>
                <w:szCs w:val="21"/>
              </w:rPr>
            </w:pPr>
            <w:r>
              <w:rPr>
                <w:rFonts w:hint="eastAsia"/>
                <w:sz w:val="21"/>
                <w:szCs w:val="21"/>
              </w:rPr>
              <w:t>县商务局</w:t>
            </w:r>
          </w:p>
        </w:tc>
        <w:tc>
          <w:tcPr>
            <w:tcW w:w="1928" w:type="dxa"/>
            <w:vAlign w:val="center"/>
          </w:tcPr>
          <w:p w14:paraId="40F21C48">
            <w:pPr>
              <w:snapToGrid w:val="0"/>
              <w:spacing w:line="240" w:lineRule="auto"/>
              <w:jc w:val="center"/>
              <w:rPr>
                <w:rFonts w:hint="eastAsia"/>
                <w:sz w:val="21"/>
                <w:szCs w:val="21"/>
              </w:rPr>
            </w:pPr>
            <w:r>
              <w:rPr>
                <w:sz w:val="21"/>
                <w:szCs w:val="21"/>
              </w:rPr>
              <w:t>向利军</w:t>
            </w:r>
          </w:p>
        </w:tc>
        <w:tc>
          <w:tcPr>
            <w:tcW w:w="2539" w:type="dxa"/>
            <w:vAlign w:val="center"/>
          </w:tcPr>
          <w:p w14:paraId="158936D0">
            <w:pPr>
              <w:snapToGrid w:val="0"/>
              <w:spacing w:line="240" w:lineRule="auto"/>
              <w:jc w:val="center"/>
              <w:rPr>
                <w:sz w:val="21"/>
                <w:szCs w:val="21"/>
              </w:rPr>
            </w:pPr>
            <w:r>
              <w:rPr>
                <w:sz w:val="21"/>
                <w:szCs w:val="21"/>
              </w:rPr>
              <w:t>匡能胜</w:t>
            </w:r>
          </w:p>
        </w:tc>
        <w:tc>
          <w:tcPr>
            <w:tcW w:w="1177" w:type="dxa"/>
            <w:vAlign w:val="center"/>
          </w:tcPr>
          <w:p w14:paraId="3589E986">
            <w:pPr>
              <w:snapToGrid w:val="0"/>
              <w:spacing w:line="240" w:lineRule="auto"/>
              <w:jc w:val="center"/>
              <w:rPr>
                <w:rFonts w:hint="eastAsia"/>
                <w:sz w:val="21"/>
                <w:szCs w:val="21"/>
              </w:rPr>
            </w:pPr>
            <w:r>
              <w:rPr>
                <w:rFonts w:hint="eastAsia"/>
                <w:sz w:val="21"/>
                <w:szCs w:val="21"/>
              </w:rPr>
              <w:t>人员变动</w:t>
            </w:r>
          </w:p>
        </w:tc>
      </w:tr>
      <w:tr w14:paraId="101C8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24BCE840">
            <w:pPr>
              <w:snapToGrid w:val="0"/>
              <w:spacing w:line="240" w:lineRule="auto"/>
              <w:jc w:val="center"/>
              <w:rPr>
                <w:rFonts w:hint="eastAsia"/>
                <w:sz w:val="21"/>
                <w:szCs w:val="21"/>
              </w:rPr>
            </w:pPr>
          </w:p>
        </w:tc>
        <w:tc>
          <w:tcPr>
            <w:tcW w:w="1928" w:type="dxa"/>
            <w:gridSpan w:val="3"/>
            <w:vAlign w:val="center"/>
          </w:tcPr>
          <w:p w14:paraId="7C048EB1">
            <w:pPr>
              <w:snapToGrid w:val="0"/>
              <w:spacing w:line="240" w:lineRule="auto"/>
              <w:jc w:val="center"/>
              <w:rPr>
                <w:rFonts w:hint="eastAsia"/>
                <w:sz w:val="21"/>
                <w:szCs w:val="21"/>
              </w:rPr>
            </w:pPr>
            <w:r>
              <w:rPr>
                <w:rFonts w:hint="eastAsia"/>
                <w:sz w:val="21"/>
                <w:szCs w:val="21"/>
              </w:rPr>
              <w:t>县公安局</w:t>
            </w:r>
          </w:p>
        </w:tc>
        <w:tc>
          <w:tcPr>
            <w:tcW w:w="1928" w:type="dxa"/>
            <w:vAlign w:val="center"/>
          </w:tcPr>
          <w:p w14:paraId="2F47F4B7">
            <w:pPr>
              <w:snapToGrid w:val="0"/>
              <w:spacing w:line="240" w:lineRule="auto"/>
              <w:jc w:val="center"/>
              <w:rPr>
                <w:rFonts w:hint="eastAsia"/>
                <w:sz w:val="21"/>
                <w:szCs w:val="21"/>
              </w:rPr>
            </w:pPr>
            <w:r>
              <w:rPr>
                <w:rFonts w:hint="eastAsia"/>
                <w:sz w:val="21"/>
                <w:szCs w:val="21"/>
              </w:rPr>
              <w:t>付秀生</w:t>
            </w:r>
          </w:p>
        </w:tc>
        <w:tc>
          <w:tcPr>
            <w:tcW w:w="2539" w:type="dxa"/>
            <w:vAlign w:val="center"/>
          </w:tcPr>
          <w:p w14:paraId="16881D7A">
            <w:pPr>
              <w:snapToGrid w:val="0"/>
              <w:spacing w:line="240" w:lineRule="auto"/>
              <w:jc w:val="center"/>
              <w:rPr>
                <w:sz w:val="21"/>
                <w:szCs w:val="21"/>
              </w:rPr>
            </w:pPr>
            <w:r>
              <w:rPr>
                <w:sz w:val="21"/>
                <w:szCs w:val="21"/>
              </w:rPr>
              <w:t>蒲  军</w:t>
            </w:r>
          </w:p>
        </w:tc>
        <w:tc>
          <w:tcPr>
            <w:tcW w:w="1177" w:type="dxa"/>
            <w:vAlign w:val="center"/>
          </w:tcPr>
          <w:p w14:paraId="7BA96791">
            <w:pPr>
              <w:snapToGrid w:val="0"/>
              <w:spacing w:line="240" w:lineRule="auto"/>
              <w:jc w:val="center"/>
              <w:rPr>
                <w:rFonts w:hint="eastAsia"/>
                <w:sz w:val="21"/>
                <w:szCs w:val="21"/>
              </w:rPr>
            </w:pPr>
            <w:r>
              <w:rPr>
                <w:rFonts w:hint="eastAsia"/>
                <w:sz w:val="21"/>
                <w:szCs w:val="21"/>
              </w:rPr>
              <w:t>人员变动</w:t>
            </w:r>
          </w:p>
        </w:tc>
      </w:tr>
      <w:tr w14:paraId="50395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41FA5A77">
            <w:pPr>
              <w:snapToGrid w:val="0"/>
              <w:spacing w:line="240" w:lineRule="auto"/>
              <w:jc w:val="center"/>
              <w:rPr>
                <w:rFonts w:hint="eastAsia"/>
                <w:sz w:val="21"/>
                <w:szCs w:val="21"/>
              </w:rPr>
            </w:pPr>
          </w:p>
        </w:tc>
        <w:tc>
          <w:tcPr>
            <w:tcW w:w="1928" w:type="dxa"/>
            <w:gridSpan w:val="3"/>
            <w:vAlign w:val="center"/>
          </w:tcPr>
          <w:p w14:paraId="5F11FEE2">
            <w:pPr>
              <w:snapToGrid w:val="0"/>
              <w:spacing w:line="240" w:lineRule="auto"/>
              <w:jc w:val="center"/>
              <w:rPr>
                <w:rFonts w:hint="eastAsia"/>
                <w:sz w:val="21"/>
                <w:szCs w:val="21"/>
              </w:rPr>
            </w:pPr>
            <w:r>
              <w:rPr>
                <w:rFonts w:hint="eastAsia"/>
                <w:sz w:val="21"/>
                <w:szCs w:val="21"/>
              </w:rPr>
              <w:t>县民政局</w:t>
            </w:r>
          </w:p>
        </w:tc>
        <w:tc>
          <w:tcPr>
            <w:tcW w:w="1928" w:type="dxa"/>
            <w:vAlign w:val="center"/>
          </w:tcPr>
          <w:p w14:paraId="10D94E64">
            <w:pPr>
              <w:snapToGrid w:val="0"/>
              <w:spacing w:line="240" w:lineRule="auto"/>
              <w:jc w:val="center"/>
              <w:rPr>
                <w:rFonts w:hint="eastAsia"/>
                <w:sz w:val="21"/>
                <w:szCs w:val="21"/>
              </w:rPr>
            </w:pPr>
            <w:r>
              <w:rPr>
                <w:rFonts w:hint="eastAsia"/>
                <w:sz w:val="21"/>
                <w:szCs w:val="21"/>
              </w:rPr>
              <w:t>聂秋元</w:t>
            </w:r>
          </w:p>
        </w:tc>
        <w:tc>
          <w:tcPr>
            <w:tcW w:w="2539" w:type="dxa"/>
            <w:vAlign w:val="center"/>
          </w:tcPr>
          <w:p w14:paraId="09E0FAEB">
            <w:pPr>
              <w:snapToGrid w:val="0"/>
              <w:spacing w:line="240" w:lineRule="auto"/>
              <w:jc w:val="center"/>
              <w:rPr>
                <w:sz w:val="21"/>
                <w:szCs w:val="21"/>
              </w:rPr>
            </w:pPr>
            <w:r>
              <w:rPr>
                <w:sz w:val="21"/>
                <w:szCs w:val="21"/>
              </w:rPr>
              <w:t>林章昱</w:t>
            </w:r>
          </w:p>
        </w:tc>
        <w:tc>
          <w:tcPr>
            <w:tcW w:w="1177" w:type="dxa"/>
            <w:vAlign w:val="center"/>
          </w:tcPr>
          <w:p w14:paraId="57FA31E1">
            <w:pPr>
              <w:snapToGrid w:val="0"/>
              <w:spacing w:line="240" w:lineRule="auto"/>
              <w:jc w:val="center"/>
              <w:rPr>
                <w:rFonts w:hint="eastAsia"/>
                <w:sz w:val="21"/>
                <w:szCs w:val="21"/>
              </w:rPr>
            </w:pPr>
            <w:r>
              <w:rPr>
                <w:rFonts w:hint="eastAsia"/>
                <w:sz w:val="21"/>
                <w:szCs w:val="21"/>
              </w:rPr>
              <w:t>人员变动</w:t>
            </w:r>
          </w:p>
        </w:tc>
      </w:tr>
      <w:tr w14:paraId="3E834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1E59AFFE">
            <w:pPr>
              <w:snapToGrid w:val="0"/>
              <w:spacing w:line="240" w:lineRule="auto"/>
              <w:jc w:val="center"/>
              <w:rPr>
                <w:rFonts w:hint="eastAsia"/>
                <w:sz w:val="21"/>
                <w:szCs w:val="21"/>
              </w:rPr>
            </w:pPr>
          </w:p>
        </w:tc>
        <w:tc>
          <w:tcPr>
            <w:tcW w:w="1928" w:type="dxa"/>
            <w:gridSpan w:val="3"/>
            <w:vAlign w:val="center"/>
          </w:tcPr>
          <w:p w14:paraId="59985703">
            <w:pPr>
              <w:snapToGrid w:val="0"/>
              <w:spacing w:line="240" w:lineRule="auto"/>
              <w:jc w:val="center"/>
              <w:rPr>
                <w:rFonts w:hint="eastAsia"/>
                <w:sz w:val="21"/>
                <w:szCs w:val="21"/>
              </w:rPr>
            </w:pPr>
            <w:r>
              <w:rPr>
                <w:rFonts w:hint="eastAsia"/>
                <w:sz w:val="21"/>
                <w:szCs w:val="21"/>
              </w:rPr>
              <w:t>县财政局</w:t>
            </w:r>
          </w:p>
        </w:tc>
        <w:tc>
          <w:tcPr>
            <w:tcW w:w="1928" w:type="dxa"/>
            <w:vAlign w:val="center"/>
          </w:tcPr>
          <w:p w14:paraId="104438D1">
            <w:pPr>
              <w:snapToGrid w:val="0"/>
              <w:spacing w:line="240" w:lineRule="auto"/>
              <w:jc w:val="center"/>
              <w:rPr>
                <w:rFonts w:hint="eastAsia"/>
                <w:sz w:val="21"/>
                <w:szCs w:val="21"/>
              </w:rPr>
            </w:pPr>
            <w:r>
              <w:rPr>
                <w:rFonts w:hint="eastAsia"/>
                <w:sz w:val="21"/>
                <w:szCs w:val="21"/>
              </w:rPr>
              <w:t>罗  兴</w:t>
            </w:r>
          </w:p>
        </w:tc>
        <w:tc>
          <w:tcPr>
            <w:tcW w:w="2539" w:type="dxa"/>
            <w:vAlign w:val="center"/>
          </w:tcPr>
          <w:p w14:paraId="45363E9D">
            <w:pPr>
              <w:snapToGrid w:val="0"/>
              <w:spacing w:line="240" w:lineRule="auto"/>
              <w:jc w:val="center"/>
              <w:rPr>
                <w:sz w:val="21"/>
                <w:szCs w:val="21"/>
              </w:rPr>
            </w:pPr>
            <w:r>
              <w:rPr>
                <w:sz w:val="21"/>
                <w:szCs w:val="21"/>
              </w:rPr>
              <w:t>沈忠华</w:t>
            </w:r>
          </w:p>
        </w:tc>
        <w:tc>
          <w:tcPr>
            <w:tcW w:w="1177" w:type="dxa"/>
            <w:vAlign w:val="center"/>
          </w:tcPr>
          <w:p w14:paraId="6AD8FC3A">
            <w:pPr>
              <w:snapToGrid w:val="0"/>
              <w:spacing w:line="240" w:lineRule="auto"/>
              <w:jc w:val="center"/>
              <w:rPr>
                <w:rFonts w:hint="eastAsia"/>
                <w:sz w:val="21"/>
                <w:szCs w:val="21"/>
              </w:rPr>
            </w:pPr>
            <w:r>
              <w:rPr>
                <w:rFonts w:hint="eastAsia"/>
                <w:sz w:val="21"/>
                <w:szCs w:val="21"/>
              </w:rPr>
              <w:t>人员变动</w:t>
            </w:r>
          </w:p>
        </w:tc>
      </w:tr>
      <w:tr w14:paraId="46FB3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276F5279">
            <w:pPr>
              <w:snapToGrid w:val="0"/>
              <w:spacing w:line="240" w:lineRule="auto"/>
              <w:jc w:val="center"/>
              <w:rPr>
                <w:rFonts w:hint="eastAsia"/>
                <w:sz w:val="21"/>
                <w:szCs w:val="21"/>
              </w:rPr>
            </w:pPr>
          </w:p>
        </w:tc>
        <w:tc>
          <w:tcPr>
            <w:tcW w:w="1928" w:type="dxa"/>
            <w:gridSpan w:val="3"/>
            <w:vAlign w:val="center"/>
          </w:tcPr>
          <w:p w14:paraId="35AE3195">
            <w:pPr>
              <w:snapToGrid w:val="0"/>
              <w:spacing w:line="240" w:lineRule="auto"/>
              <w:jc w:val="center"/>
              <w:rPr>
                <w:rFonts w:hint="eastAsia"/>
                <w:sz w:val="21"/>
                <w:szCs w:val="21"/>
              </w:rPr>
            </w:pPr>
            <w:r>
              <w:rPr>
                <w:rFonts w:hint="eastAsia"/>
                <w:sz w:val="21"/>
                <w:szCs w:val="21"/>
              </w:rPr>
              <w:t>县自然资源局</w:t>
            </w:r>
          </w:p>
        </w:tc>
        <w:tc>
          <w:tcPr>
            <w:tcW w:w="1928" w:type="dxa"/>
            <w:vAlign w:val="center"/>
          </w:tcPr>
          <w:p w14:paraId="0D101D97">
            <w:pPr>
              <w:snapToGrid w:val="0"/>
              <w:spacing w:line="240" w:lineRule="auto"/>
              <w:jc w:val="center"/>
              <w:rPr>
                <w:rFonts w:hint="eastAsia"/>
                <w:sz w:val="21"/>
                <w:szCs w:val="21"/>
              </w:rPr>
            </w:pPr>
            <w:r>
              <w:rPr>
                <w:sz w:val="21"/>
                <w:szCs w:val="21"/>
              </w:rPr>
              <w:t>唐  衡</w:t>
            </w:r>
          </w:p>
        </w:tc>
        <w:tc>
          <w:tcPr>
            <w:tcW w:w="2539" w:type="dxa"/>
            <w:vAlign w:val="center"/>
          </w:tcPr>
          <w:p w14:paraId="44B1D5ED">
            <w:pPr>
              <w:snapToGrid w:val="0"/>
              <w:spacing w:line="240" w:lineRule="auto"/>
              <w:jc w:val="center"/>
              <w:rPr>
                <w:sz w:val="21"/>
                <w:szCs w:val="21"/>
              </w:rPr>
            </w:pPr>
            <w:r>
              <w:rPr>
                <w:sz w:val="21"/>
                <w:szCs w:val="21"/>
              </w:rPr>
              <w:t>尹燕斌</w:t>
            </w:r>
          </w:p>
        </w:tc>
        <w:tc>
          <w:tcPr>
            <w:tcW w:w="1177" w:type="dxa"/>
            <w:vAlign w:val="center"/>
          </w:tcPr>
          <w:p w14:paraId="033EB3DA">
            <w:pPr>
              <w:snapToGrid w:val="0"/>
              <w:spacing w:line="240" w:lineRule="auto"/>
              <w:jc w:val="center"/>
              <w:rPr>
                <w:rFonts w:hint="eastAsia"/>
                <w:sz w:val="21"/>
                <w:szCs w:val="21"/>
              </w:rPr>
            </w:pPr>
            <w:r>
              <w:rPr>
                <w:rFonts w:hint="eastAsia"/>
                <w:sz w:val="21"/>
                <w:szCs w:val="21"/>
              </w:rPr>
              <w:t>人员变动</w:t>
            </w:r>
          </w:p>
        </w:tc>
      </w:tr>
      <w:tr w14:paraId="50868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390F9E20">
            <w:pPr>
              <w:snapToGrid w:val="0"/>
              <w:spacing w:line="240" w:lineRule="auto"/>
              <w:jc w:val="center"/>
              <w:rPr>
                <w:rFonts w:hint="eastAsia"/>
                <w:sz w:val="21"/>
                <w:szCs w:val="21"/>
              </w:rPr>
            </w:pPr>
          </w:p>
        </w:tc>
        <w:tc>
          <w:tcPr>
            <w:tcW w:w="1928" w:type="dxa"/>
            <w:gridSpan w:val="3"/>
            <w:vAlign w:val="center"/>
          </w:tcPr>
          <w:p w14:paraId="6D81ED72">
            <w:pPr>
              <w:snapToGrid w:val="0"/>
              <w:spacing w:line="240" w:lineRule="auto"/>
              <w:jc w:val="center"/>
              <w:rPr>
                <w:rFonts w:hint="eastAsia"/>
                <w:sz w:val="21"/>
                <w:szCs w:val="21"/>
              </w:rPr>
            </w:pPr>
            <w:r>
              <w:rPr>
                <w:rFonts w:hint="eastAsia"/>
                <w:sz w:val="21"/>
                <w:szCs w:val="21"/>
              </w:rPr>
              <w:t>县住建局</w:t>
            </w:r>
          </w:p>
        </w:tc>
        <w:tc>
          <w:tcPr>
            <w:tcW w:w="1928" w:type="dxa"/>
            <w:vAlign w:val="center"/>
          </w:tcPr>
          <w:p w14:paraId="5E57AD0F">
            <w:pPr>
              <w:snapToGrid w:val="0"/>
              <w:spacing w:line="240" w:lineRule="auto"/>
              <w:jc w:val="center"/>
              <w:rPr>
                <w:rFonts w:hint="eastAsia"/>
                <w:sz w:val="21"/>
                <w:szCs w:val="21"/>
              </w:rPr>
            </w:pPr>
            <w:r>
              <w:rPr>
                <w:rFonts w:hint="eastAsia"/>
                <w:sz w:val="21"/>
                <w:szCs w:val="21"/>
              </w:rPr>
              <w:t>钟晓星</w:t>
            </w:r>
          </w:p>
        </w:tc>
        <w:tc>
          <w:tcPr>
            <w:tcW w:w="2539" w:type="dxa"/>
            <w:vAlign w:val="center"/>
          </w:tcPr>
          <w:p w14:paraId="19E617C3">
            <w:pPr>
              <w:snapToGrid w:val="0"/>
              <w:spacing w:line="240" w:lineRule="auto"/>
              <w:jc w:val="center"/>
              <w:rPr>
                <w:sz w:val="21"/>
                <w:szCs w:val="21"/>
              </w:rPr>
            </w:pPr>
            <w:r>
              <w:rPr>
                <w:sz w:val="21"/>
                <w:szCs w:val="21"/>
              </w:rPr>
              <w:t>袁永新</w:t>
            </w:r>
          </w:p>
        </w:tc>
        <w:tc>
          <w:tcPr>
            <w:tcW w:w="1177" w:type="dxa"/>
            <w:vAlign w:val="center"/>
          </w:tcPr>
          <w:p w14:paraId="70670066">
            <w:pPr>
              <w:snapToGrid w:val="0"/>
              <w:spacing w:line="240" w:lineRule="auto"/>
              <w:jc w:val="center"/>
              <w:rPr>
                <w:rFonts w:hint="eastAsia"/>
                <w:sz w:val="21"/>
                <w:szCs w:val="21"/>
              </w:rPr>
            </w:pPr>
            <w:r>
              <w:rPr>
                <w:rFonts w:hint="eastAsia"/>
                <w:sz w:val="21"/>
                <w:szCs w:val="21"/>
              </w:rPr>
              <w:t>人员变动</w:t>
            </w:r>
          </w:p>
        </w:tc>
      </w:tr>
      <w:tr w14:paraId="4208E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5F3E3AD7">
            <w:pPr>
              <w:snapToGrid w:val="0"/>
              <w:spacing w:line="240" w:lineRule="auto"/>
              <w:jc w:val="center"/>
              <w:rPr>
                <w:rFonts w:hint="eastAsia"/>
                <w:sz w:val="21"/>
                <w:szCs w:val="21"/>
              </w:rPr>
            </w:pPr>
          </w:p>
        </w:tc>
        <w:tc>
          <w:tcPr>
            <w:tcW w:w="1928" w:type="dxa"/>
            <w:gridSpan w:val="3"/>
            <w:vAlign w:val="center"/>
          </w:tcPr>
          <w:p w14:paraId="66BC11D5">
            <w:pPr>
              <w:snapToGrid w:val="0"/>
              <w:spacing w:line="240" w:lineRule="auto"/>
              <w:jc w:val="center"/>
              <w:rPr>
                <w:rFonts w:hint="eastAsia"/>
                <w:sz w:val="21"/>
                <w:szCs w:val="21"/>
              </w:rPr>
            </w:pPr>
            <w:r>
              <w:rPr>
                <w:rFonts w:hint="eastAsia"/>
                <w:sz w:val="21"/>
                <w:szCs w:val="21"/>
              </w:rPr>
              <w:t>县交通运输局</w:t>
            </w:r>
          </w:p>
        </w:tc>
        <w:tc>
          <w:tcPr>
            <w:tcW w:w="1928" w:type="dxa"/>
            <w:vAlign w:val="center"/>
          </w:tcPr>
          <w:p w14:paraId="585A7276">
            <w:pPr>
              <w:snapToGrid w:val="0"/>
              <w:spacing w:line="240" w:lineRule="auto"/>
              <w:jc w:val="center"/>
              <w:rPr>
                <w:rFonts w:hint="eastAsia"/>
                <w:sz w:val="21"/>
                <w:szCs w:val="21"/>
              </w:rPr>
            </w:pPr>
            <w:r>
              <w:rPr>
                <w:rFonts w:hint="eastAsia"/>
                <w:sz w:val="21"/>
                <w:szCs w:val="21"/>
              </w:rPr>
              <w:t>刘裕海</w:t>
            </w:r>
          </w:p>
        </w:tc>
        <w:tc>
          <w:tcPr>
            <w:tcW w:w="2539" w:type="dxa"/>
            <w:vAlign w:val="center"/>
          </w:tcPr>
          <w:p w14:paraId="3D42C350">
            <w:pPr>
              <w:snapToGrid w:val="0"/>
              <w:spacing w:line="240" w:lineRule="auto"/>
              <w:jc w:val="center"/>
              <w:rPr>
                <w:sz w:val="21"/>
                <w:szCs w:val="21"/>
              </w:rPr>
            </w:pPr>
            <w:r>
              <w:rPr>
                <w:sz w:val="21"/>
                <w:szCs w:val="21"/>
              </w:rPr>
              <w:t>苏文亮</w:t>
            </w:r>
          </w:p>
        </w:tc>
        <w:tc>
          <w:tcPr>
            <w:tcW w:w="1177" w:type="dxa"/>
            <w:vAlign w:val="center"/>
          </w:tcPr>
          <w:p w14:paraId="4F2F7583">
            <w:pPr>
              <w:snapToGrid w:val="0"/>
              <w:spacing w:line="240" w:lineRule="auto"/>
              <w:jc w:val="center"/>
              <w:rPr>
                <w:rFonts w:hint="eastAsia"/>
                <w:sz w:val="21"/>
                <w:szCs w:val="21"/>
              </w:rPr>
            </w:pPr>
            <w:r>
              <w:rPr>
                <w:rFonts w:hint="eastAsia"/>
                <w:sz w:val="21"/>
                <w:szCs w:val="21"/>
              </w:rPr>
              <w:t>人员变动</w:t>
            </w:r>
          </w:p>
        </w:tc>
      </w:tr>
      <w:tr w14:paraId="1817D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0536A3A5">
            <w:pPr>
              <w:snapToGrid w:val="0"/>
              <w:spacing w:line="240" w:lineRule="auto"/>
              <w:jc w:val="center"/>
              <w:rPr>
                <w:rFonts w:hint="eastAsia"/>
                <w:sz w:val="21"/>
                <w:szCs w:val="21"/>
              </w:rPr>
            </w:pPr>
          </w:p>
        </w:tc>
        <w:tc>
          <w:tcPr>
            <w:tcW w:w="1928" w:type="dxa"/>
            <w:gridSpan w:val="3"/>
            <w:vAlign w:val="center"/>
          </w:tcPr>
          <w:p w14:paraId="459CC57B">
            <w:pPr>
              <w:snapToGrid w:val="0"/>
              <w:spacing w:line="240" w:lineRule="auto"/>
              <w:jc w:val="center"/>
              <w:rPr>
                <w:rFonts w:hint="eastAsia"/>
                <w:sz w:val="21"/>
                <w:szCs w:val="21"/>
              </w:rPr>
            </w:pPr>
            <w:r>
              <w:rPr>
                <w:rFonts w:hint="eastAsia"/>
                <w:sz w:val="21"/>
                <w:szCs w:val="21"/>
              </w:rPr>
              <w:t>县农业农村水利局</w:t>
            </w:r>
          </w:p>
        </w:tc>
        <w:tc>
          <w:tcPr>
            <w:tcW w:w="1928" w:type="dxa"/>
            <w:vAlign w:val="center"/>
          </w:tcPr>
          <w:p w14:paraId="21F6B85D">
            <w:pPr>
              <w:snapToGrid w:val="0"/>
              <w:spacing w:line="240" w:lineRule="auto"/>
              <w:jc w:val="center"/>
              <w:rPr>
                <w:rFonts w:hint="eastAsia"/>
                <w:sz w:val="21"/>
                <w:szCs w:val="21"/>
              </w:rPr>
            </w:pPr>
            <w:r>
              <w:rPr>
                <w:rFonts w:hint="eastAsia"/>
                <w:sz w:val="21"/>
                <w:szCs w:val="21"/>
              </w:rPr>
              <w:t>曾建成</w:t>
            </w:r>
          </w:p>
        </w:tc>
        <w:tc>
          <w:tcPr>
            <w:tcW w:w="2539" w:type="dxa"/>
            <w:vAlign w:val="center"/>
          </w:tcPr>
          <w:p w14:paraId="6FBCEA4E">
            <w:pPr>
              <w:snapToGrid w:val="0"/>
              <w:spacing w:line="240" w:lineRule="auto"/>
              <w:jc w:val="center"/>
              <w:rPr>
                <w:sz w:val="21"/>
                <w:szCs w:val="21"/>
              </w:rPr>
            </w:pPr>
            <w:r>
              <w:fldChar w:fldCharType="begin"/>
            </w:r>
            <w:r>
              <w:instrText xml:space="preserve"> HYPERLINK "javascript:;" </w:instrText>
            </w:r>
            <w:r>
              <w:fldChar w:fldCharType="separate"/>
            </w:r>
            <w:r>
              <w:rPr>
                <w:sz w:val="21"/>
                <w:szCs w:val="21"/>
              </w:rPr>
              <w:t>向先泽</w:t>
            </w:r>
            <w:r>
              <w:rPr>
                <w:sz w:val="21"/>
                <w:szCs w:val="21"/>
              </w:rPr>
              <w:fldChar w:fldCharType="end"/>
            </w:r>
          </w:p>
        </w:tc>
        <w:tc>
          <w:tcPr>
            <w:tcW w:w="1177" w:type="dxa"/>
            <w:vAlign w:val="center"/>
          </w:tcPr>
          <w:p w14:paraId="2CF98E32">
            <w:pPr>
              <w:snapToGrid w:val="0"/>
              <w:spacing w:line="240" w:lineRule="auto"/>
              <w:jc w:val="center"/>
              <w:rPr>
                <w:rFonts w:hint="eastAsia"/>
                <w:sz w:val="21"/>
                <w:szCs w:val="21"/>
              </w:rPr>
            </w:pPr>
            <w:r>
              <w:rPr>
                <w:rFonts w:hint="eastAsia"/>
                <w:sz w:val="21"/>
                <w:szCs w:val="21"/>
              </w:rPr>
              <w:t>人员变动</w:t>
            </w:r>
          </w:p>
        </w:tc>
      </w:tr>
      <w:tr w14:paraId="201BD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236A65D0">
            <w:pPr>
              <w:snapToGrid w:val="0"/>
              <w:spacing w:line="240" w:lineRule="auto"/>
              <w:jc w:val="center"/>
              <w:rPr>
                <w:rFonts w:hint="eastAsia"/>
                <w:sz w:val="21"/>
                <w:szCs w:val="21"/>
              </w:rPr>
            </w:pPr>
          </w:p>
        </w:tc>
        <w:tc>
          <w:tcPr>
            <w:tcW w:w="1928" w:type="dxa"/>
            <w:gridSpan w:val="3"/>
            <w:vAlign w:val="center"/>
          </w:tcPr>
          <w:p w14:paraId="73159642">
            <w:pPr>
              <w:snapToGrid w:val="0"/>
              <w:spacing w:line="240" w:lineRule="auto"/>
              <w:jc w:val="center"/>
              <w:rPr>
                <w:rFonts w:hint="eastAsia"/>
                <w:sz w:val="21"/>
                <w:szCs w:val="21"/>
              </w:rPr>
            </w:pPr>
            <w:r>
              <w:rPr>
                <w:rFonts w:hint="eastAsia"/>
                <w:sz w:val="21"/>
                <w:szCs w:val="21"/>
              </w:rPr>
              <w:t>县卫健局</w:t>
            </w:r>
          </w:p>
        </w:tc>
        <w:tc>
          <w:tcPr>
            <w:tcW w:w="1928" w:type="dxa"/>
            <w:vAlign w:val="center"/>
          </w:tcPr>
          <w:p w14:paraId="4FF23B1D">
            <w:pPr>
              <w:snapToGrid w:val="0"/>
              <w:spacing w:line="240" w:lineRule="auto"/>
              <w:jc w:val="center"/>
              <w:rPr>
                <w:rFonts w:hint="eastAsia"/>
                <w:sz w:val="21"/>
                <w:szCs w:val="21"/>
              </w:rPr>
            </w:pPr>
            <w:r>
              <w:rPr>
                <w:rFonts w:hint="eastAsia"/>
                <w:sz w:val="21"/>
                <w:szCs w:val="21"/>
              </w:rPr>
              <w:t>易子德</w:t>
            </w:r>
          </w:p>
        </w:tc>
        <w:tc>
          <w:tcPr>
            <w:tcW w:w="2539" w:type="dxa"/>
            <w:vAlign w:val="center"/>
          </w:tcPr>
          <w:p w14:paraId="699B14B1">
            <w:pPr>
              <w:snapToGrid w:val="0"/>
              <w:spacing w:line="240" w:lineRule="auto"/>
              <w:jc w:val="center"/>
              <w:rPr>
                <w:sz w:val="21"/>
                <w:szCs w:val="21"/>
              </w:rPr>
            </w:pPr>
            <w:r>
              <w:rPr>
                <w:sz w:val="21"/>
                <w:szCs w:val="21"/>
              </w:rPr>
              <w:t>杨清莲</w:t>
            </w:r>
          </w:p>
        </w:tc>
        <w:tc>
          <w:tcPr>
            <w:tcW w:w="1177" w:type="dxa"/>
            <w:vAlign w:val="center"/>
          </w:tcPr>
          <w:p w14:paraId="029766F0">
            <w:pPr>
              <w:snapToGrid w:val="0"/>
              <w:spacing w:line="240" w:lineRule="auto"/>
              <w:jc w:val="center"/>
              <w:rPr>
                <w:rFonts w:hint="eastAsia"/>
                <w:sz w:val="21"/>
                <w:szCs w:val="21"/>
              </w:rPr>
            </w:pPr>
            <w:r>
              <w:rPr>
                <w:rFonts w:hint="eastAsia"/>
                <w:sz w:val="21"/>
                <w:szCs w:val="21"/>
              </w:rPr>
              <w:t>人员变动</w:t>
            </w:r>
          </w:p>
        </w:tc>
      </w:tr>
      <w:tr w14:paraId="01A35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286DC28F">
            <w:pPr>
              <w:snapToGrid w:val="0"/>
              <w:spacing w:line="240" w:lineRule="auto"/>
              <w:jc w:val="center"/>
              <w:rPr>
                <w:rFonts w:hint="eastAsia"/>
                <w:sz w:val="21"/>
                <w:szCs w:val="21"/>
              </w:rPr>
            </w:pPr>
          </w:p>
        </w:tc>
        <w:tc>
          <w:tcPr>
            <w:tcW w:w="1928" w:type="dxa"/>
            <w:gridSpan w:val="3"/>
            <w:vAlign w:val="center"/>
          </w:tcPr>
          <w:p w14:paraId="6C03A6EB">
            <w:pPr>
              <w:snapToGrid w:val="0"/>
              <w:spacing w:line="240" w:lineRule="auto"/>
              <w:jc w:val="center"/>
              <w:rPr>
                <w:rFonts w:hint="eastAsia"/>
                <w:sz w:val="21"/>
                <w:szCs w:val="21"/>
              </w:rPr>
            </w:pPr>
            <w:r>
              <w:rPr>
                <w:rFonts w:hint="eastAsia"/>
                <w:sz w:val="21"/>
                <w:szCs w:val="21"/>
              </w:rPr>
              <w:t>县气象局</w:t>
            </w:r>
          </w:p>
        </w:tc>
        <w:tc>
          <w:tcPr>
            <w:tcW w:w="1928" w:type="dxa"/>
            <w:vAlign w:val="center"/>
          </w:tcPr>
          <w:p w14:paraId="218F0614">
            <w:pPr>
              <w:snapToGrid w:val="0"/>
              <w:spacing w:line="240" w:lineRule="auto"/>
              <w:jc w:val="center"/>
              <w:rPr>
                <w:rFonts w:hint="eastAsia"/>
                <w:sz w:val="21"/>
                <w:szCs w:val="21"/>
              </w:rPr>
            </w:pPr>
            <w:r>
              <w:rPr>
                <w:rFonts w:hint="eastAsia"/>
                <w:sz w:val="21"/>
                <w:szCs w:val="21"/>
              </w:rPr>
              <w:t>何红卫</w:t>
            </w:r>
          </w:p>
        </w:tc>
        <w:tc>
          <w:tcPr>
            <w:tcW w:w="2539" w:type="dxa"/>
            <w:vAlign w:val="center"/>
          </w:tcPr>
          <w:p w14:paraId="499C69E8">
            <w:pPr>
              <w:snapToGrid w:val="0"/>
              <w:spacing w:line="240" w:lineRule="auto"/>
              <w:jc w:val="center"/>
              <w:rPr>
                <w:rFonts w:hint="default" w:eastAsia="宋体"/>
                <w:sz w:val="21"/>
                <w:szCs w:val="21"/>
                <w:lang w:val="en-US" w:eastAsia="zh-CN"/>
              </w:rPr>
            </w:pPr>
            <w:r>
              <w:rPr>
                <w:rFonts w:hint="eastAsia"/>
                <w:sz w:val="21"/>
                <w:szCs w:val="21"/>
                <w:lang w:val="en-US" w:eastAsia="zh-CN"/>
              </w:rPr>
              <w:t>刘冬梅</w:t>
            </w:r>
          </w:p>
        </w:tc>
        <w:tc>
          <w:tcPr>
            <w:tcW w:w="1177" w:type="dxa"/>
            <w:vAlign w:val="center"/>
          </w:tcPr>
          <w:p w14:paraId="688865CD">
            <w:pPr>
              <w:snapToGrid w:val="0"/>
              <w:spacing w:line="240" w:lineRule="auto"/>
              <w:jc w:val="center"/>
              <w:rPr>
                <w:rFonts w:hint="eastAsia"/>
                <w:sz w:val="21"/>
                <w:szCs w:val="21"/>
              </w:rPr>
            </w:pPr>
            <w:r>
              <w:rPr>
                <w:rFonts w:hint="eastAsia"/>
                <w:sz w:val="21"/>
                <w:szCs w:val="21"/>
              </w:rPr>
              <w:t>人员变动</w:t>
            </w:r>
          </w:p>
        </w:tc>
      </w:tr>
      <w:tr w14:paraId="0A63D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35" w:type="dxa"/>
            <w:vMerge w:val="continue"/>
            <w:vAlign w:val="center"/>
          </w:tcPr>
          <w:p w14:paraId="33107166">
            <w:pPr>
              <w:snapToGrid w:val="0"/>
              <w:spacing w:line="240" w:lineRule="auto"/>
              <w:jc w:val="center"/>
              <w:rPr>
                <w:rFonts w:hint="eastAsia"/>
                <w:sz w:val="21"/>
                <w:szCs w:val="21"/>
              </w:rPr>
            </w:pPr>
          </w:p>
        </w:tc>
        <w:tc>
          <w:tcPr>
            <w:tcW w:w="1928" w:type="dxa"/>
            <w:gridSpan w:val="3"/>
            <w:vAlign w:val="center"/>
          </w:tcPr>
          <w:p w14:paraId="003540EF">
            <w:pPr>
              <w:snapToGrid w:val="0"/>
              <w:spacing w:line="240" w:lineRule="auto"/>
              <w:jc w:val="center"/>
              <w:rPr>
                <w:rFonts w:hint="eastAsia"/>
                <w:sz w:val="21"/>
                <w:szCs w:val="21"/>
              </w:rPr>
            </w:pPr>
            <w:r>
              <w:rPr>
                <w:rFonts w:hint="eastAsia"/>
                <w:sz w:val="21"/>
                <w:szCs w:val="21"/>
              </w:rPr>
              <w:t>关峡苗族乡</w:t>
            </w:r>
          </w:p>
        </w:tc>
        <w:tc>
          <w:tcPr>
            <w:tcW w:w="1928" w:type="dxa"/>
            <w:vAlign w:val="center"/>
          </w:tcPr>
          <w:p w14:paraId="49ADE3F0">
            <w:pPr>
              <w:snapToGrid w:val="0"/>
              <w:spacing w:line="240" w:lineRule="auto"/>
              <w:jc w:val="center"/>
              <w:rPr>
                <w:rFonts w:hint="eastAsia"/>
                <w:sz w:val="21"/>
                <w:szCs w:val="21"/>
              </w:rPr>
            </w:pPr>
            <w:r>
              <w:rPr>
                <w:rFonts w:hint="eastAsia"/>
                <w:sz w:val="21"/>
                <w:szCs w:val="21"/>
              </w:rPr>
              <w:t>张志雄</w:t>
            </w:r>
          </w:p>
        </w:tc>
        <w:tc>
          <w:tcPr>
            <w:tcW w:w="2539" w:type="dxa"/>
            <w:vAlign w:val="center"/>
          </w:tcPr>
          <w:p w14:paraId="4CBC6079">
            <w:pPr>
              <w:snapToGrid w:val="0"/>
              <w:spacing w:line="240" w:lineRule="auto"/>
              <w:jc w:val="center"/>
              <w:rPr>
                <w:sz w:val="21"/>
                <w:szCs w:val="21"/>
              </w:rPr>
            </w:pPr>
            <w:r>
              <w:rPr>
                <w:sz w:val="21"/>
                <w:szCs w:val="21"/>
              </w:rPr>
              <w:t>万年宏</w:t>
            </w:r>
          </w:p>
        </w:tc>
        <w:tc>
          <w:tcPr>
            <w:tcW w:w="1177" w:type="dxa"/>
            <w:vAlign w:val="center"/>
          </w:tcPr>
          <w:p w14:paraId="55BA5081">
            <w:pPr>
              <w:snapToGrid w:val="0"/>
              <w:spacing w:line="240" w:lineRule="auto"/>
              <w:jc w:val="center"/>
              <w:rPr>
                <w:rFonts w:hint="eastAsia"/>
                <w:sz w:val="21"/>
                <w:szCs w:val="21"/>
              </w:rPr>
            </w:pPr>
            <w:r>
              <w:rPr>
                <w:rFonts w:hint="eastAsia"/>
                <w:sz w:val="21"/>
                <w:szCs w:val="21"/>
              </w:rPr>
              <w:t>人员变动</w:t>
            </w:r>
          </w:p>
        </w:tc>
      </w:tr>
      <w:tr w14:paraId="3F2DDE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135" w:type="dxa"/>
            <w:vMerge w:val="restart"/>
            <w:vAlign w:val="center"/>
          </w:tcPr>
          <w:p w14:paraId="123A94BC">
            <w:pPr>
              <w:snapToGrid w:val="0"/>
              <w:spacing w:line="240" w:lineRule="auto"/>
              <w:jc w:val="center"/>
              <w:rPr>
                <w:rFonts w:hint="eastAsia"/>
                <w:sz w:val="21"/>
                <w:szCs w:val="21"/>
              </w:rPr>
            </w:pPr>
            <w:r>
              <w:rPr>
                <w:rFonts w:hint="eastAsia"/>
                <w:sz w:val="21"/>
                <w:szCs w:val="21"/>
              </w:rPr>
              <w:t>环境风险源</w:t>
            </w:r>
          </w:p>
        </w:tc>
        <w:tc>
          <w:tcPr>
            <w:tcW w:w="1307" w:type="dxa"/>
            <w:vAlign w:val="center"/>
          </w:tcPr>
          <w:p w14:paraId="0BBD4597">
            <w:pPr>
              <w:autoSpaceDE w:val="0"/>
              <w:autoSpaceDN w:val="0"/>
              <w:adjustRightInd w:val="0"/>
              <w:spacing w:line="240" w:lineRule="auto"/>
              <w:jc w:val="center"/>
              <w:rPr>
                <w:b/>
                <w:sz w:val="21"/>
                <w:szCs w:val="21"/>
              </w:rPr>
            </w:pPr>
            <w:r>
              <w:rPr>
                <w:b/>
                <w:sz w:val="21"/>
                <w:szCs w:val="21"/>
              </w:rPr>
              <w:t>环境风险源</w:t>
            </w:r>
          </w:p>
        </w:tc>
        <w:tc>
          <w:tcPr>
            <w:tcW w:w="2549" w:type="dxa"/>
            <w:gridSpan w:val="3"/>
            <w:vAlign w:val="center"/>
          </w:tcPr>
          <w:p w14:paraId="19C74A81">
            <w:pPr>
              <w:autoSpaceDE w:val="0"/>
              <w:autoSpaceDN w:val="0"/>
              <w:adjustRightInd w:val="0"/>
              <w:spacing w:line="240" w:lineRule="auto"/>
              <w:jc w:val="center"/>
              <w:rPr>
                <w:b/>
                <w:sz w:val="21"/>
                <w:szCs w:val="21"/>
              </w:rPr>
            </w:pPr>
            <w:r>
              <w:rPr>
                <w:rFonts w:hint="eastAsia"/>
                <w:b/>
                <w:sz w:val="21"/>
                <w:szCs w:val="21"/>
              </w:rPr>
              <w:t>原应急预案</w:t>
            </w:r>
          </w:p>
        </w:tc>
        <w:tc>
          <w:tcPr>
            <w:tcW w:w="2539" w:type="dxa"/>
            <w:tcBorders>
              <w:bottom w:val="single" w:color="auto" w:sz="2" w:space="0"/>
            </w:tcBorders>
            <w:vAlign w:val="center"/>
          </w:tcPr>
          <w:p w14:paraId="1A760C2F">
            <w:pPr>
              <w:snapToGrid w:val="0"/>
              <w:spacing w:line="240" w:lineRule="auto"/>
              <w:jc w:val="center"/>
              <w:rPr>
                <w:rFonts w:hint="eastAsia"/>
                <w:b/>
                <w:sz w:val="21"/>
                <w:szCs w:val="21"/>
              </w:rPr>
            </w:pPr>
            <w:r>
              <w:rPr>
                <w:rFonts w:hint="eastAsia"/>
                <w:b/>
                <w:sz w:val="21"/>
                <w:szCs w:val="21"/>
              </w:rPr>
              <w:t>本应急预案</w:t>
            </w:r>
          </w:p>
        </w:tc>
        <w:tc>
          <w:tcPr>
            <w:tcW w:w="1177" w:type="dxa"/>
            <w:tcBorders>
              <w:bottom w:val="single" w:color="auto" w:sz="2" w:space="0"/>
            </w:tcBorders>
            <w:vAlign w:val="center"/>
          </w:tcPr>
          <w:p w14:paraId="122D1809">
            <w:pPr>
              <w:snapToGrid w:val="0"/>
              <w:spacing w:line="240" w:lineRule="auto"/>
              <w:jc w:val="center"/>
              <w:rPr>
                <w:rFonts w:hint="eastAsia"/>
                <w:b/>
                <w:sz w:val="21"/>
                <w:szCs w:val="21"/>
              </w:rPr>
            </w:pPr>
            <w:r>
              <w:rPr>
                <w:rFonts w:hint="eastAsia"/>
                <w:b/>
                <w:sz w:val="21"/>
                <w:szCs w:val="21"/>
              </w:rPr>
              <w:t>变化情况</w:t>
            </w:r>
          </w:p>
        </w:tc>
      </w:tr>
      <w:tr w14:paraId="3E19A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135" w:type="dxa"/>
            <w:vMerge w:val="continue"/>
            <w:vAlign w:val="center"/>
          </w:tcPr>
          <w:p w14:paraId="751F9619">
            <w:pPr>
              <w:snapToGrid w:val="0"/>
              <w:spacing w:line="240" w:lineRule="auto"/>
              <w:jc w:val="center"/>
              <w:rPr>
                <w:rFonts w:hint="eastAsia"/>
                <w:sz w:val="21"/>
                <w:szCs w:val="21"/>
              </w:rPr>
            </w:pPr>
          </w:p>
        </w:tc>
        <w:tc>
          <w:tcPr>
            <w:tcW w:w="1307" w:type="dxa"/>
            <w:vAlign w:val="center"/>
          </w:tcPr>
          <w:p w14:paraId="167D123D">
            <w:pPr>
              <w:spacing w:line="240" w:lineRule="auto"/>
              <w:jc w:val="center"/>
              <w:rPr>
                <w:sz w:val="21"/>
                <w:szCs w:val="21"/>
              </w:rPr>
            </w:pPr>
            <w:r>
              <w:rPr>
                <w:rFonts w:hint="eastAsia"/>
                <w:sz w:val="21"/>
                <w:szCs w:val="21"/>
              </w:rPr>
              <w:t>识别范围</w:t>
            </w:r>
          </w:p>
        </w:tc>
        <w:tc>
          <w:tcPr>
            <w:tcW w:w="2549" w:type="dxa"/>
            <w:gridSpan w:val="3"/>
            <w:vAlign w:val="center"/>
          </w:tcPr>
          <w:p w14:paraId="29088A12">
            <w:pPr>
              <w:spacing w:line="240" w:lineRule="auto"/>
              <w:rPr>
                <w:sz w:val="21"/>
                <w:szCs w:val="21"/>
              </w:rPr>
            </w:pPr>
            <w:r>
              <w:rPr>
                <w:rFonts w:hint="eastAsia"/>
                <w:sz w:val="21"/>
                <w:szCs w:val="21"/>
              </w:rPr>
              <w:t>关峡苗族乡兰溪水</w:t>
            </w:r>
            <w:r>
              <w:rPr>
                <w:sz w:val="21"/>
                <w:szCs w:val="21"/>
              </w:rPr>
              <w:t>水源地保护区</w:t>
            </w:r>
            <w:r>
              <w:rPr>
                <w:rFonts w:hint="eastAsia"/>
                <w:sz w:val="21"/>
                <w:szCs w:val="21"/>
              </w:rPr>
              <w:t>取水口至上游发源地（约27Km）</w:t>
            </w:r>
            <w:r>
              <w:rPr>
                <w:sz w:val="21"/>
                <w:szCs w:val="21"/>
              </w:rPr>
              <w:t>内的水域和分水岭内的陆域</w:t>
            </w:r>
          </w:p>
        </w:tc>
        <w:tc>
          <w:tcPr>
            <w:tcW w:w="2539" w:type="dxa"/>
            <w:vAlign w:val="center"/>
          </w:tcPr>
          <w:p w14:paraId="3590C287">
            <w:pPr>
              <w:spacing w:line="240" w:lineRule="auto"/>
              <w:rPr>
                <w:sz w:val="21"/>
                <w:szCs w:val="21"/>
              </w:rPr>
            </w:pPr>
            <w:r>
              <w:rPr>
                <w:rFonts w:hint="eastAsia"/>
                <w:sz w:val="21"/>
                <w:szCs w:val="21"/>
              </w:rPr>
              <w:t>关峡苗族乡兰溪水</w:t>
            </w:r>
            <w:r>
              <w:rPr>
                <w:sz w:val="21"/>
                <w:szCs w:val="21"/>
              </w:rPr>
              <w:t>水源地保护区</w:t>
            </w:r>
            <w:r>
              <w:rPr>
                <w:rFonts w:hint="eastAsia"/>
                <w:sz w:val="21"/>
                <w:szCs w:val="21"/>
              </w:rPr>
              <w:t>取水口至上游发源地（约27Km）</w:t>
            </w:r>
            <w:r>
              <w:rPr>
                <w:sz w:val="21"/>
                <w:szCs w:val="21"/>
              </w:rPr>
              <w:t>内的水域和分水岭内的陆域</w:t>
            </w:r>
          </w:p>
        </w:tc>
        <w:tc>
          <w:tcPr>
            <w:tcW w:w="1177" w:type="dxa"/>
            <w:vAlign w:val="center"/>
          </w:tcPr>
          <w:p w14:paraId="5034A5CA">
            <w:pPr>
              <w:snapToGrid w:val="0"/>
              <w:spacing w:line="240" w:lineRule="auto"/>
              <w:jc w:val="center"/>
              <w:rPr>
                <w:sz w:val="21"/>
                <w:szCs w:val="21"/>
              </w:rPr>
            </w:pPr>
            <w:r>
              <w:rPr>
                <w:rFonts w:hint="eastAsia"/>
                <w:sz w:val="21"/>
                <w:szCs w:val="21"/>
              </w:rPr>
              <w:t>无变化</w:t>
            </w:r>
          </w:p>
        </w:tc>
      </w:tr>
      <w:tr w14:paraId="1D541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135" w:type="dxa"/>
            <w:vMerge w:val="continue"/>
            <w:vAlign w:val="center"/>
          </w:tcPr>
          <w:p w14:paraId="279FED2A">
            <w:pPr>
              <w:snapToGrid w:val="0"/>
              <w:spacing w:line="240" w:lineRule="auto"/>
              <w:jc w:val="center"/>
              <w:rPr>
                <w:rFonts w:hint="eastAsia"/>
                <w:sz w:val="21"/>
                <w:szCs w:val="21"/>
              </w:rPr>
            </w:pPr>
          </w:p>
        </w:tc>
        <w:tc>
          <w:tcPr>
            <w:tcW w:w="1307" w:type="dxa"/>
            <w:vMerge w:val="restart"/>
            <w:vAlign w:val="center"/>
          </w:tcPr>
          <w:p w14:paraId="3D4031C2">
            <w:pPr>
              <w:spacing w:line="240" w:lineRule="auto"/>
              <w:jc w:val="center"/>
              <w:rPr>
                <w:sz w:val="21"/>
                <w:szCs w:val="21"/>
              </w:rPr>
            </w:pPr>
            <w:r>
              <w:rPr>
                <w:sz w:val="21"/>
                <w:szCs w:val="21"/>
              </w:rPr>
              <w:t>固定风险源</w:t>
            </w:r>
          </w:p>
        </w:tc>
        <w:tc>
          <w:tcPr>
            <w:tcW w:w="2549" w:type="dxa"/>
            <w:gridSpan w:val="3"/>
            <w:vAlign w:val="center"/>
          </w:tcPr>
          <w:p w14:paraId="50AD8F02">
            <w:pPr>
              <w:spacing w:line="240" w:lineRule="auto"/>
              <w:jc w:val="center"/>
              <w:rPr>
                <w:sz w:val="21"/>
                <w:szCs w:val="21"/>
              </w:rPr>
            </w:pPr>
            <w:r>
              <w:rPr>
                <w:sz w:val="21"/>
                <w:szCs w:val="21"/>
              </w:rPr>
              <w:t>绥宁云峰新能源有限公司</w:t>
            </w:r>
          </w:p>
        </w:tc>
        <w:tc>
          <w:tcPr>
            <w:tcW w:w="2539" w:type="dxa"/>
            <w:vAlign w:val="center"/>
          </w:tcPr>
          <w:p w14:paraId="3B05426A">
            <w:pPr>
              <w:spacing w:line="240" w:lineRule="auto"/>
              <w:jc w:val="center"/>
              <w:rPr>
                <w:rFonts w:hint="eastAsia"/>
                <w:sz w:val="21"/>
                <w:szCs w:val="21"/>
              </w:rPr>
            </w:pPr>
            <w:r>
              <w:rPr>
                <w:rFonts w:hint="eastAsia"/>
                <w:sz w:val="21"/>
                <w:szCs w:val="21"/>
              </w:rPr>
              <w:t>绥宁云峰新能源有限公司</w:t>
            </w:r>
          </w:p>
        </w:tc>
        <w:tc>
          <w:tcPr>
            <w:tcW w:w="1177" w:type="dxa"/>
            <w:vAlign w:val="center"/>
          </w:tcPr>
          <w:p w14:paraId="7C33EECA">
            <w:pPr>
              <w:spacing w:line="240" w:lineRule="auto"/>
              <w:jc w:val="center"/>
              <w:rPr>
                <w:rFonts w:hint="default" w:eastAsia="宋体"/>
                <w:sz w:val="21"/>
                <w:szCs w:val="21"/>
                <w:lang w:val="en-US" w:eastAsia="zh-CN"/>
              </w:rPr>
            </w:pPr>
            <w:r>
              <w:rPr>
                <w:rFonts w:hint="eastAsia"/>
                <w:sz w:val="21"/>
                <w:szCs w:val="21"/>
                <w:lang w:val="en-US" w:eastAsia="zh-CN"/>
              </w:rPr>
              <w:t>已关闭，设备未拆除</w:t>
            </w:r>
          </w:p>
        </w:tc>
      </w:tr>
      <w:tr w14:paraId="6666E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35" w:type="dxa"/>
            <w:vMerge w:val="continue"/>
            <w:vAlign w:val="center"/>
          </w:tcPr>
          <w:p w14:paraId="06B15963">
            <w:pPr>
              <w:snapToGrid w:val="0"/>
              <w:spacing w:line="240" w:lineRule="auto"/>
              <w:jc w:val="center"/>
              <w:rPr>
                <w:rFonts w:hint="eastAsia"/>
                <w:sz w:val="21"/>
                <w:szCs w:val="21"/>
              </w:rPr>
            </w:pPr>
          </w:p>
        </w:tc>
        <w:tc>
          <w:tcPr>
            <w:tcW w:w="1307" w:type="dxa"/>
            <w:vMerge w:val="continue"/>
            <w:vAlign w:val="center"/>
          </w:tcPr>
          <w:p w14:paraId="725CDCC4">
            <w:pPr>
              <w:spacing w:line="240" w:lineRule="auto"/>
              <w:jc w:val="center"/>
              <w:rPr>
                <w:sz w:val="21"/>
                <w:szCs w:val="21"/>
              </w:rPr>
            </w:pPr>
          </w:p>
        </w:tc>
        <w:tc>
          <w:tcPr>
            <w:tcW w:w="2549" w:type="dxa"/>
            <w:gridSpan w:val="3"/>
            <w:vAlign w:val="center"/>
          </w:tcPr>
          <w:p w14:paraId="775D6CBE">
            <w:pPr>
              <w:spacing w:line="240" w:lineRule="auto"/>
              <w:jc w:val="center"/>
              <w:rPr>
                <w:rFonts w:hint="eastAsia"/>
                <w:sz w:val="21"/>
                <w:szCs w:val="21"/>
              </w:rPr>
            </w:pPr>
            <w:r>
              <w:rPr>
                <w:rFonts w:hint="eastAsia"/>
                <w:sz w:val="21"/>
                <w:szCs w:val="21"/>
              </w:rPr>
              <w:t>绥宁县关峡鑫峰木制品厂</w:t>
            </w:r>
          </w:p>
        </w:tc>
        <w:tc>
          <w:tcPr>
            <w:tcW w:w="2539" w:type="dxa"/>
            <w:vAlign w:val="center"/>
          </w:tcPr>
          <w:p w14:paraId="65C06CB8">
            <w:pPr>
              <w:spacing w:line="240" w:lineRule="auto"/>
              <w:jc w:val="center"/>
              <w:rPr>
                <w:rFonts w:hint="eastAsia"/>
                <w:sz w:val="21"/>
                <w:szCs w:val="21"/>
              </w:rPr>
            </w:pPr>
            <w:r>
              <w:rPr>
                <w:rFonts w:hint="eastAsia"/>
                <w:sz w:val="21"/>
                <w:szCs w:val="21"/>
              </w:rPr>
              <w:t>绥宁县关峡鑫峰木制品厂</w:t>
            </w:r>
          </w:p>
        </w:tc>
        <w:tc>
          <w:tcPr>
            <w:tcW w:w="1177" w:type="dxa"/>
            <w:vAlign w:val="center"/>
          </w:tcPr>
          <w:p w14:paraId="5233A2A4">
            <w:pPr>
              <w:snapToGrid w:val="0"/>
              <w:spacing w:line="240" w:lineRule="auto"/>
              <w:jc w:val="center"/>
              <w:rPr>
                <w:rFonts w:hint="eastAsia"/>
                <w:sz w:val="21"/>
                <w:szCs w:val="21"/>
              </w:rPr>
            </w:pPr>
            <w:r>
              <w:rPr>
                <w:rFonts w:hint="eastAsia"/>
                <w:sz w:val="21"/>
                <w:szCs w:val="21"/>
              </w:rPr>
              <w:t>无变化</w:t>
            </w:r>
          </w:p>
        </w:tc>
      </w:tr>
      <w:tr w14:paraId="281D5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35" w:type="dxa"/>
            <w:vMerge w:val="continue"/>
            <w:vAlign w:val="center"/>
          </w:tcPr>
          <w:p w14:paraId="0A33D2F9">
            <w:pPr>
              <w:snapToGrid w:val="0"/>
              <w:spacing w:line="240" w:lineRule="auto"/>
              <w:jc w:val="center"/>
              <w:rPr>
                <w:rFonts w:hint="eastAsia"/>
                <w:sz w:val="21"/>
                <w:szCs w:val="21"/>
              </w:rPr>
            </w:pPr>
          </w:p>
        </w:tc>
        <w:tc>
          <w:tcPr>
            <w:tcW w:w="1307" w:type="dxa"/>
            <w:vMerge w:val="continue"/>
            <w:vAlign w:val="center"/>
          </w:tcPr>
          <w:p w14:paraId="3BDA3F9A">
            <w:pPr>
              <w:spacing w:line="240" w:lineRule="auto"/>
              <w:jc w:val="center"/>
              <w:rPr>
                <w:sz w:val="21"/>
                <w:szCs w:val="21"/>
              </w:rPr>
            </w:pPr>
          </w:p>
        </w:tc>
        <w:tc>
          <w:tcPr>
            <w:tcW w:w="2549" w:type="dxa"/>
            <w:gridSpan w:val="3"/>
            <w:vAlign w:val="center"/>
          </w:tcPr>
          <w:p w14:paraId="044E4583">
            <w:pPr>
              <w:spacing w:line="240" w:lineRule="auto"/>
              <w:jc w:val="center"/>
              <w:rPr>
                <w:rFonts w:hint="eastAsia"/>
                <w:sz w:val="21"/>
                <w:szCs w:val="21"/>
              </w:rPr>
            </w:pPr>
            <w:r>
              <w:rPr>
                <w:rFonts w:hint="eastAsia"/>
                <w:sz w:val="21"/>
                <w:szCs w:val="21"/>
              </w:rPr>
              <w:t>绥宁县友娣竹木制品厂</w:t>
            </w:r>
          </w:p>
        </w:tc>
        <w:tc>
          <w:tcPr>
            <w:tcW w:w="2539" w:type="dxa"/>
            <w:vAlign w:val="center"/>
          </w:tcPr>
          <w:p w14:paraId="0C0A8D48">
            <w:pPr>
              <w:spacing w:line="240" w:lineRule="auto"/>
              <w:jc w:val="center"/>
              <w:rPr>
                <w:rFonts w:hint="eastAsia"/>
                <w:sz w:val="21"/>
                <w:szCs w:val="21"/>
              </w:rPr>
            </w:pPr>
            <w:r>
              <w:rPr>
                <w:rFonts w:hint="eastAsia"/>
                <w:sz w:val="21"/>
                <w:szCs w:val="21"/>
              </w:rPr>
              <w:t>绥宁县友娣竹木制品厂</w:t>
            </w:r>
          </w:p>
        </w:tc>
        <w:tc>
          <w:tcPr>
            <w:tcW w:w="1177" w:type="dxa"/>
            <w:vAlign w:val="center"/>
          </w:tcPr>
          <w:p w14:paraId="63ED49D9">
            <w:pPr>
              <w:spacing w:line="240" w:lineRule="auto"/>
              <w:jc w:val="center"/>
              <w:rPr>
                <w:rFonts w:hint="eastAsia"/>
                <w:sz w:val="21"/>
                <w:szCs w:val="21"/>
              </w:rPr>
            </w:pPr>
            <w:r>
              <w:rPr>
                <w:rFonts w:hint="eastAsia"/>
                <w:sz w:val="21"/>
                <w:szCs w:val="21"/>
              </w:rPr>
              <w:t>无变化</w:t>
            </w:r>
          </w:p>
        </w:tc>
      </w:tr>
      <w:tr w14:paraId="62184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35" w:type="dxa"/>
            <w:vMerge w:val="continue"/>
            <w:vAlign w:val="center"/>
          </w:tcPr>
          <w:p w14:paraId="2623C0B1">
            <w:pPr>
              <w:snapToGrid w:val="0"/>
              <w:spacing w:line="240" w:lineRule="auto"/>
              <w:jc w:val="center"/>
              <w:rPr>
                <w:rFonts w:hint="eastAsia"/>
                <w:sz w:val="21"/>
                <w:szCs w:val="21"/>
              </w:rPr>
            </w:pPr>
          </w:p>
        </w:tc>
        <w:tc>
          <w:tcPr>
            <w:tcW w:w="1307" w:type="dxa"/>
            <w:vMerge w:val="continue"/>
            <w:vAlign w:val="center"/>
          </w:tcPr>
          <w:p w14:paraId="1CADC6FD">
            <w:pPr>
              <w:spacing w:line="240" w:lineRule="auto"/>
              <w:jc w:val="center"/>
              <w:rPr>
                <w:sz w:val="21"/>
                <w:szCs w:val="21"/>
              </w:rPr>
            </w:pPr>
          </w:p>
        </w:tc>
        <w:tc>
          <w:tcPr>
            <w:tcW w:w="2549" w:type="dxa"/>
            <w:gridSpan w:val="3"/>
            <w:vAlign w:val="center"/>
          </w:tcPr>
          <w:p w14:paraId="4370F011">
            <w:pPr>
              <w:spacing w:line="240" w:lineRule="auto"/>
              <w:jc w:val="center"/>
              <w:rPr>
                <w:rFonts w:hint="eastAsia"/>
                <w:sz w:val="21"/>
                <w:szCs w:val="21"/>
              </w:rPr>
            </w:pPr>
            <w:r>
              <w:rPr>
                <w:rFonts w:hint="eastAsia"/>
                <w:sz w:val="21"/>
                <w:szCs w:val="21"/>
              </w:rPr>
              <w:t>绥宁县关峡乡自来水厂</w:t>
            </w:r>
          </w:p>
        </w:tc>
        <w:tc>
          <w:tcPr>
            <w:tcW w:w="2539" w:type="dxa"/>
            <w:vAlign w:val="center"/>
          </w:tcPr>
          <w:p w14:paraId="136C2D70">
            <w:pPr>
              <w:spacing w:line="240" w:lineRule="auto"/>
              <w:jc w:val="center"/>
              <w:rPr>
                <w:rFonts w:hint="eastAsia"/>
                <w:sz w:val="21"/>
                <w:szCs w:val="21"/>
              </w:rPr>
            </w:pPr>
            <w:r>
              <w:rPr>
                <w:rFonts w:hint="eastAsia"/>
                <w:sz w:val="21"/>
                <w:szCs w:val="21"/>
              </w:rPr>
              <w:t>绥宁县关峡乡自来水厂</w:t>
            </w:r>
          </w:p>
        </w:tc>
        <w:tc>
          <w:tcPr>
            <w:tcW w:w="1177" w:type="dxa"/>
            <w:vAlign w:val="center"/>
          </w:tcPr>
          <w:p w14:paraId="5F4E3F01">
            <w:pPr>
              <w:snapToGrid w:val="0"/>
              <w:spacing w:line="240" w:lineRule="auto"/>
              <w:jc w:val="center"/>
              <w:rPr>
                <w:rFonts w:hint="eastAsia"/>
                <w:sz w:val="21"/>
                <w:szCs w:val="21"/>
              </w:rPr>
            </w:pPr>
            <w:r>
              <w:rPr>
                <w:rFonts w:hint="eastAsia"/>
                <w:sz w:val="21"/>
                <w:szCs w:val="21"/>
              </w:rPr>
              <w:t>无变化</w:t>
            </w:r>
          </w:p>
        </w:tc>
      </w:tr>
      <w:tr w14:paraId="3AB01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35" w:type="dxa"/>
            <w:vMerge w:val="continue"/>
            <w:vAlign w:val="center"/>
          </w:tcPr>
          <w:p w14:paraId="32F02E48">
            <w:pPr>
              <w:snapToGrid w:val="0"/>
              <w:spacing w:line="240" w:lineRule="auto"/>
              <w:jc w:val="center"/>
              <w:rPr>
                <w:rFonts w:hint="eastAsia"/>
                <w:sz w:val="21"/>
                <w:szCs w:val="21"/>
              </w:rPr>
            </w:pPr>
          </w:p>
        </w:tc>
        <w:tc>
          <w:tcPr>
            <w:tcW w:w="1307" w:type="dxa"/>
            <w:vMerge w:val="continue"/>
            <w:vAlign w:val="center"/>
          </w:tcPr>
          <w:p w14:paraId="2681B3EF">
            <w:pPr>
              <w:spacing w:line="240" w:lineRule="auto"/>
              <w:jc w:val="center"/>
              <w:rPr>
                <w:sz w:val="21"/>
                <w:szCs w:val="21"/>
              </w:rPr>
            </w:pPr>
          </w:p>
        </w:tc>
        <w:tc>
          <w:tcPr>
            <w:tcW w:w="2549" w:type="dxa"/>
            <w:gridSpan w:val="3"/>
            <w:vAlign w:val="center"/>
          </w:tcPr>
          <w:p w14:paraId="48013FFD">
            <w:pPr>
              <w:spacing w:line="240" w:lineRule="auto"/>
              <w:jc w:val="center"/>
              <w:rPr>
                <w:rFonts w:hint="eastAsia" w:eastAsia="宋体"/>
                <w:sz w:val="21"/>
                <w:szCs w:val="21"/>
                <w:lang w:val="en-US" w:eastAsia="zh-CN"/>
              </w:rPr>
            </w:pPr>
            <w:r>
              <w:rPr>
                <w:rFonts w:hint="eastAsia"/>
                <w:sz w:val="21"/>
                <w:szCs w:val="21"/>
                <w:lang w:val="en-US" w:eastAsia="zh-CN"/>
              </w:rPr>
              <w:t>/</w:t>
            </w:r>
          </w:p>
        </w:tc>
        <w:tc>
          <w:tcPr>
            <w:tcW w:w="2539" w:type="dxa"/>
            <w:vAlign w:val="center"/>
          </w:tcPr>
          <w:p w14:paraId="6F44617C">
            <w:pPr>
              <w:spacing w:line="240" w:lineRule="auto"/>
              <w:jc w:val="center"/>
              <w:rPr>
                <w:rFonts w:hint="eastAsia"/>
                <w:sz w:val="21"/>
                <w:szCs w:val="21"/>
              </w:rPr>
            </w:pPr>
            <w:r>
              <w:rPr>
                <w:rFonts w:hint="eastAsia"/>
                <w:sz w:val="21"/>
                <w:szCs w:val="21"/>
                <w:lang w:eastAsia="zh-CN"/>
              </w:rPr>
              <w:t>绥宁县骏峰建设工程有限公司</w:t>
            </w:r>
          </w:p>
        </w:tc>
        <w:tc>
          <w:tcPr>
            <w:tcW w:w="1177" w:type="dxa"/>
            <w:vAlign w:val="center"/>
          </w:tcPr>
          <w:p w14:paraId="1DEB6059">
            <w:pPr>
              <w:snapToGrid w:val="0"/>
              <w:spacing w:line="240" w:lineRule="auto"/>
              <w:jc w:val="center"/>
              <w:rPr>
                <w:rFonts w:hint="eastAsia" w:eastAsia="宋体"/>
                <w:sz w:val="21"/>
                <w:szCs w:val="21"/>
                <w:lang w:val="en-US" w:eastAsia="zh-CN"/>
              </w:rPr>
            </w:pPr>
            <w:r>
              <w:rPr>
                <w:rFonts w:hint="eastAsia"/>
                <w:sz w:val="21"/>
                <w:szCs w:val="21"/>
                <w:lang w:val="en-US" w:eastAsia="zh-CN"/>
              </w:rPr>
              <w:t>新增</w:t>
            </w:r>
          </w:p>
        </w:tc>
      </w:tr>
      <w:tr w14:paraId="55C61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35" w:type="dxa"/>
            <w:vMerge w:val="continue"/>
            <w:vAlign w:val="center"/>
          </w:tcPr>
          <w:p w14:paraId="46B7A4A7">
            <w:pPr>
              <w:snapToGrid w:val="0"/>
              <w:spacing w:line="240" w:lineRule="auto"/>
              <w:jc w:val="center"/>
              <w:rPr>
                <w:rFonts w:hint="eastAsia"/>
                <w:sz w:val="21"/>
                <w:szCs w:val="21"/>
              </w:rPr>
            </w:pPr>
          </w:p>
        </w:tc>
        <w:tc>
          <w:tcPr>
            <w:tcW w:w="1307" w:type="dxa"/>
            <w:vMerge w:val="restart"/>
            <w:vAlign w:val="center"/>
          </w:tcPr>
          <w:p w14:paraId="62183CC2">
            <w:pPr>
              <w:spacing w:line="240" w:lineRule="auto"/>
              <w:jc w:val="center"/>
              <w:rPr>
                <w:sz w:val="21"/>
                <w:szCs w:val="21"/>
              </w:rPr>
            </w:pPr>
            <w:r>
              <w:rPr>
                <w:sz w:val="21"/>
                <w:szCs w:val="21"/>
              </w:rPr>
              <w:t>流动风险源</w:t>
            </w:r>
          </w:p>
        </w:tc>
        <w:tc>
          <w:tcPr>
            <w:tcW w:w="2549" w:type="dxa"/>
            <w:gridSpan w:val="3"/>
            <w:vAlign w:val="center"/>
          </w:tcPr>
          <w:p w14:paraId="04A4F87D">
            <w:pPr>
              <w:spacing w:line="240" w:lineRule="auto"/>
              <w:jc w:val="center"/>
              <w:rPr>
                <w:sz w:val="21"/>
                <w:szCs w:val="21"/>
              </w:rPr>
            </w:pPr>
            <w:r>
              <w:rPr>
                <w:sz w:val="21"/>
                <w:szCs w:val="21"/>
              </w:rPr>
              <w:t>保护区</w:t>
            </w:r>
            <w:r>
              <w:rPr>
                <w:rFonts w:hint="eastAsia"/>
                <w:sz w:val="21"/>
                <w:szCs w:val="21"/>
              </w:rPr>
              <w:t>东南部</w:t>
            </w:r>
            <w:r>
              <w:rPr>
                <w:sz w:val="21"/>
                <w:szCs w:val="21"/>
              </w:rPr>
              <w:t>省道</w:t>
            </w:r>
            <w:r>
              <w:rPr>
                <w:rFonts w:hint="eastAsia"/>
                <w:sz w:val="21"/>
                <w:szCs w:val="21"/>
              </w:rPr>
              <w:t>S</w:t>
            </w:r>
            <w:r>
              <w:rPr>
                <w:sz w:val="21"/>
                <w:szCs w:val="21"/>
              </w:rPr>
              <w:t>2</w:t>
            </w:r>
            <w:r>
              <w:rPr>
                <w:rFonts w:hint="eastAsia"/>
                <w:sz w:val="21"/>
                <w:szCs w:val="21"/>
              </w:rPr>
              <w:t>48</w:t>
            </w:r>
          </w:p>
        </w:tc>
        <w:tc>
          <w:tcPr>
            <w:tcW w:w="2539" w:type="dxa"/>
            <w:vAlign w:val="center"/>
          </w:tcPr>
          <w:p w14:paraId="287A3CE9">
            <w:pPr>
              <w:snapToGrid w:val="0"/>
              <w:spacing w:line="240" w:lineRule="auto"/>
              <w:jc w:val="center"/>
              <w:rPr>
                <w:rFonts w:hint="eastAsia" w:cs="宋体"/>
                <w:sz w:val="21"/>
                <w:szCs w:val="21"/>
              </w:rPr>
            </w:pPr>
            <w:r>
              <w:rPr>
                <w:rFonts w:hint="eastAsia" w:cs="宋体"/>
                <w:sz w:val="21"/>
                <w:szCs w:val="21"/>
              </w:rPr>
              <w:t>保护区东南部省道S248</w:t>
            </w:r>
          </w:p>
        </w:tc>
        <w:tc>
          <w:tcPr>
            <w:tcW w:w="1177" w:type="dxa"/>
            <w:vAlign w:val="center"/>
          </w:tcPr>
          <w:p w14:paraId="20CA465A">
            <w:pPr>
              <w:snapToGrid w:val="0"/>
              <w:spacing w:line="240" w:lineRule="auto"/>
              <w:jc w:val="center"/>
              <w:rPr>
                <w:rFonts w:hint="eastAsia" w:cs="宋体"/>
                <w:sz w:val="21"/>
                <w:szCs w:val="21"/>
              </w:rPr>
            </w:pPr>
            <w:r>
              <w:rPr>
                <w:rFonts w:hint="eastAsia"/>
                <w:sz w:val="21"/>
                <w:szCs w:val="21"/>
              </w:rPr>
              <w:t>无变化</w:t>
            </w:r>
          </w:p>
        </w:tc>
      </w:tr>
      <w:tr w14:paraId="632EE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35" w:type="dxa"/>
            <w:vMerge w:val="continue"/>
            <w:vAlign w:val="center"/>
          </w:tcPr>
          <w:p w14:paraId="1388795E">
            <w:pPr>
              <w:snapToGrid w:val="0"/>
              <w:spacing w:line="240" w:lineRule="auto"/>
              <w:jc w:val="center"/>
              <w:rPr>
                <w:rFonts w:hint="eastAsia"/>
                <w:sz w:val="21"/>
                <w:szCs w:val="21"/>
              </w:rPr>
            </w:pPr>
          </w:p>
        </w:tc>
        <w:tc>
          <w:tcPr>
            <w:tcW w:w="1307" w:type="dxa"/>
            <w:vMerge w:val="continue"/>
            <w:vAlign w:val="center"/>
          </w:tcPr>
          <w:p w14:paraId="2719A150">
            <w:pPr>
              <w:spacing w:line="240" w:lineRule="auto"/>
              <w:jc w:val="center"/>
              <w:rPr>
                <w:sz w:val="21"/>
                <w:szCs w:val="21"/>
              </w:rPr>
            </w:pPr>
          </w:p>
        </w:tc>
        <w:tc>
          <w:tcPr>
            <w:tcW w:w="2549" w:type="dxa"/>
            <w:gridSpan w:val="3"/>
            <w:vAlign w:val="center"/>
          </w:tcPr>
          <w:p w14:paraId="6E4A758A">
            <w:pPr>
              <w:spacing w:line="240" w:lineRule="auto"/>
              <w:jc w:val="center"/>
              <w:rPr>
                <w:sz w:val="21"/>
                <w:szCs w:val="21"/>
              </w:rPr>
            </w:pPr>
            <w:r>
              <w:rPr>
                <w:rFonts w:hint="eastAsia"/>
                <w:sz w:val="21"/>
                <w:szCs w:val="21"/>
              </w:rPr>
              <w:t>大树至插柳村再至太安乡间便道</w:t>
            </w:r>
          </w:p>
        </w:tc>
        <w:tc>
          <w:tcPr>
            <w:tcW w:w="2539" w:type="dxa"/>
            <w:vAlign w:val="center"/>
          </w:tcPr>
          <w:p w14:paraId="536AD201">
            <w:pPr>
              <w:snapToGrid w:val="0"/>
              <w:spacing w:line="240" w:lineRule="auto"/>
              <w:jc w:val="center"/>
              <w:rPr>
                <w:rFonts w:hint="eastAsia" w:cs="宋体"/>
                <w:sz w:val="21"/>
                <w:szCs w:val="21"/>
              </w:rPr>
            </w:pPr>
            <w:r>
              <w:rPr>
                <w:rFonts w:hint="eastAsia"/>
                <w:sz w:val="21"/>
                <w:szCs w:val="21"/>
              </w:rPr>
              <w:t>大树至插柳村再至太安乡间便道</w:t>
            </w:r>
          </w:p>
        </w:tc>
        <w:tc>
          <w:tcPr>
            <w:tcW w:w="1177" w:type="dxa"/>
            <w:vAlign w:val="center"/>
          </w:tcPr>
          <w:p w14:paraId="414B0682">
            <w:pPr>
              <w:snapToGrid w:val="0"/>
              <w:spacing w:line="240" w:lineRule="auto"/>
              <w:jc w:val="center"/>
              <w:rPr>
                <w:rFonts w:hint="eastAsia"/>
                <w:sz w:val="21"/>
                <w:szCs w:val="21"/>
              </w:rPr>
            </w:pPr>
            <w:r>
              <w:rPr>
                <w:rFonts w:hint="eastAsia"/>
                <w:sz w:val="21"/>
                <w:szCs w:val="21"/>
              </w:rPr>
              <w:t>无变化</w:t>
            </w:r>
          </w:p>
        </w:tc>
      </w:tr>
      <w:tr w14:paraId="65023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35" w:type="dxa"/>
            <w:vMerge w:val="continue"/>
            <w:vAlign w:val="center"/>
          </w:tcPr>
          <w:p w14:paraId="7F8BADC7">
            <w:pPr>
              <w:snapToGrid w:val="0"/>
              <w:spacing w:line="240" w:lineRule="auto"/>
              <w:jc w:val="center"/>
              <w:rPr>
                <w:rFonts w:hint="eastAsia"/>
                <w:sz w:val="21"/>
                <w:szCs w:val="21"/>
              </w:rPr>
            </w:pPr>
          </w:p>
        </w:tc>
        <w:tc>
          <w:tcPr>
            <w:tcW w:w="1307" w:type="dxa"/>
            <w:vMerge w:val="continue"/>
            <w:vAlign w:val="center"/>
          </w:tcPr>
          <w:p w14:paraId="1A1BA661">
            <w:pPr>
              <w:spacing w:line="240" w:lineRule="auto"/>
              <w:jc w:val="center"/>
              <w:rPr>
                <w:sz w:val="21"/>
                <w:szCs w:val="21"/>
              </w:rPr>
            </w:pPr>
          </w:p>
        </w:tc>
        <w:tc>
          <w:tcPr>
            <w:tcW w:w="2549" w:type="dxa"/>
            <w:gridSpan w:val="3"/>
            <w:vAlign w:val="center"/>
          </w:tcPr>
          <w:p w14:paraId="3AF3E75A">
            <w:pPr>
              <w:spacing w:line="240" w:lineRule="auto"/>
              <w:jc w:val="center"/>
              <w:rPr>
                <w:rFonts w:hint="eastAsia"/>
                <w:sz w:val="21"/>
                <w:szCs w:val="21"/>
              </w:rPr>
            </w:pPr>
            <w:r>
              <w:rPr>
                <w:rFonts w:hint="eastAsia"/>
                <w:sz w:val="21"/>
                <w:szCs w:val="21"/>
              </w:rPr>
              <w:t>龚家坪至插柳村乡间便桥</w:t>
            </w:r>
          </w:p>
        </w:tc>
        <w:tc>
          <w:tcPr>
            <w:tcW w:w="2539" w:type="dxa"/>
            <w:vAlign w:val="center"/>
          </w:tcPr>
          <w:p w14:paraId="291B8D80">
            <w:pPr>
              <w:snapToGrid w:val="0"/>
              <w:spacing w:line="240" w:lineRule="auto"/>
              <w:jc w:val="center"/>
              <w:rPr>
                <w:rFonts w:hint="eastAsia" w:cs="宋体"/>
                <w:sz w:val="21"/>
                <w:szCs w:val="21"/>
              </w:rPr>
            </w:pPr>
            <w:r>
              <w:rPr>
                <w:rFonts w:hint="eastAsia" w:cs="宋体"/>
                <w:sz w:val="21"/>
                <w:szCs w:val="21"/>
              </w:rPr>
              <w:t>龚家坪至插柳村乡间便桥</w:t>
            </w:r>
          </w:p>
        </w:tc>
        <w:tc>
          <w:tcPr>
            <w:tcW w:w="1177" w:type="dxa"/>
            <w:vAlign w:val="center"/>
          </w:tcPr>
          <w:p w14:paraId="1F4E8AB7">
            <w:pPr>
              <w:snapToGrid w:val="0"/>
              <w:spacing w:line="240" w:lineRule="auto"/>
              <w:jc w:val="center"/>
              <w:rPr>
                <w:rFonts w:hint="eastAsia" w:cs="宋体"/>
                <w:sz w:val="21"/>
                <w:szCs w:val="21"/>
              </w:rPr>
            </w:pPr>
            <w:r>
              <w:rPr>
                <w:rFonts w:hint="eastAsia"/>
                <w:sz w:val="21"/>
                <w:szCs w:val="21"/>
              </w:rPr>
              <w:t>无变化</w:t>
            </w:r>
          </w:p>
        </w:tc>
      </w:tr>
      <w:tr w14:paraId="04379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35" w:type="dxa"/>
            <w:vMerge w:val="continue"/>
            <w:vAlign w:val="center"/>
          </w:tcPr>
          <w:p w14:paraId="21EDF456">
            <w:pPr>
              <w:snapToGrid w:val="0"/>
              <w:spacing w:line="240" w:lineRule="auto"/>
              <w:jc w:val="center"/>
              <w:rPr>
                <w:rFonts w:hint="eastAsia"/>
                <w:sz w:val="21"/>
                <w:szCs w:val="21"/>
              </w:rPr>
            </w:pPr>
          </w:p>
        </w:tc>
        <w:tc>
          <w:tcPr>
            <w:tcW w:w="1307" w:type="dxa"/>
            <w:vMerge w:val="continue"/>
            <w:vAlign w:val="center"/>
          </w:tcPr>
          <w:p w14:paraId="4C4FB6BA">
            <w:pPr>
              <w:spacing w:line="240" w:lineRule="auto"/>
              <w:jc w:val="center"/>
              <w:rPr>
                <w:sz w:val="21"/>
                <w:szCs w:val="21"/>
              </w:rPr>
            </w:pPr>
          </w:p>
        </w:tc>
        <w:tc>
          <w:tcPr>
            <w:tcW w:w="2549" w:type="dxa"/>
            <w:gridSpan w:val="3"/>
            <w:vAlign w:val="center"/>
          </w:tcPr>
          <w:p w14:paraId="58295A8E">
            <w:pPr>
              <w:spacing w:line="240" w:lineRule="auto"/>
              <w:jc w:val="center"/>
              <w:rPr>
                <w:sz w:val="21"/>
                <w:szCs w:val="21"/>
              </w:rPr>
            </w:pPr>
            <w:r>
              <w:rPr>
                <w:sz w:val="21"/>
                <w:szCs w:val="21"/>
              </w:rPr>
              <w:t>太安至文家村乡间便桥</w:t>
            </w:r>
          </w:p>
        </w:tc>
        <w:tc>
          <w:tcPr>
            <w:tcW w:w="2539" w:type="dxa"/>
            <w:vAlign w:val="center"/>
          </w:tcPr>
          <w:p w14:paraId="30916DF9">
            <w:pPr>
              <w:snapToGrid w:val="0"/>
              <w:spacing w:line="240" w:lineRule="auto"/>
              <w:jc w:val="center"/>
              <w:rPr>
                <w:rFonts w:hint="eastAsia" w:cs="宋体"/>
                <w:sz w:val="21"/>
                <w:szCs w:val="21"/>
              </w:rPr>
            </w:pPr>
            <w:r>
              <w:rPr>
                <w:sz w:val="21"/>
                <w:szCs w:val="21"/>
              </w:rPr>
              <w:t>太安至文家村乡间便桥</w:t>
            </w:r>
          </w:p>
        </w:tc>
        <w:tc>
          <w:tcPr>
            <w:tcW w:w="1177" w:type="dxa"/>
            <w:vAlign w:val="center"/>
          </w:tcPr>
          <w:p w14:paraId="50C87F7B">
            <w:pPr>
              <w:spacing w:line="240" w:lineRule="auto"/>
              <w:jc w:val="center"/>
              <w:rPr>
                <w:rFonts w:hint="eastAsia"/>
                <w:sz w:val="21"/>
                <w:szCs w:val="21"/>
              </w:rPr>
            </w:pPr>
            <w:r>
              <w:rPr>
                <w:rFonts w:hint="eastAsia"/>
                <w:sz w:val="21"/>
                <w:szCs w:val="21"/>
              </w:rPr>
              <w:t>无变化</w:t>
            </w:r>
          </w:p>
        </w:tc>
      </w:tr>
      <w:tr w14:paraId="77B60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35" w:type="dxa"/>
            <w:vMerge w:val="continue"/>
            <w:vAlign w:val="center"/>
          </w:tcPr>
          <w:p w14:paraId="14B4DEDF">
            <w:pPr>
              <w:snapToGrid w:val="0"/>
              <w:spacing w:line="240" w:lineRule="auto"/>
              <w:jc w:val="center"/>
              <w:rPr>
                <w:rFonts w:hint="eastAsia"/>
                <w:sz w:val="21"/>
                <w:szCs w:val="21"/>
              </w:rPr>
            </w:pPr>
          </w:p>
        </w:tc>
        <w:tc>
          <w:tcPr>
            <w:tcW w:w="1307" w:type="dxa"/>
            <w:vMerge w:val="continue"/>
            <w:vAlign w:val="center"/>
          </w:tcPr>
          <w:p w14:paraId="69FF5604">
            <w:pPr>
              <w:spacing w:line="240" w:lineRule="auto"/>
              <w:jc w:val="center"/>
              <w:rPr>
                <w:sz w:val="21"/>
                <w:szCs w:val="21"/>
              </w:rPr>
            </w:pPr>
          </w:p>
        </w:tc>
        <w:tc>
          <w:tcPr>
            <w:tcW w:w="2549" w:type="dxa"/>
            <w:gridSpan w:val="3"/>
            <w:vAlign w:val="center"/>
          </w:tcPr>
          <w:p w14:paraId="576DD3F9">
            <w:pPr>
              <w:spacing w:line="240" w:lineRule="auto"/>
              <w:jc w:val="center"/>
              <w:rPr>
                <w:sz w:val="21"/>
                <w:szCs w:val="21"/>
              </w:rPr>
            </w:pPr>
            <w:r>
              <w:rPr>
                <w:rFonts w:hint="eastAsia"/>
                <w:sz w:val="21"/>
                <w:szCs w:val="21"/>
              </w:rPr>
              <w:t>取水口上游15.22Km处S248跨越兰溪桥梁</w:t>
            </w:r>
          </w:p>
        </w:tc>
        <w:tc>
          <w:tcPr>
            <w:tcW w:w="2539" w:type="dxa"/>
            <w:vAlign w:val="center"/>
          </w:tcPr>
          <w:p w14:paraId="4F0BACED">
            <w:pPr>
              <w:snapToGrid w:val="0"/>
              <w:spacing w:line="240" w:lineRule="auto"/>
              <w:jc w:val="center"/>
              <w:rPr>
                <w:sz w:val="21"/>
                <w:szCs w:val="21"/>
              </w:rPr>
            </w:pPr>
            <w:r>
              <w:rPr>
                <w:rFonts w:hint="eastAsia"/>
                <w:sz w:val="21"/>
                <w:szCs w:val="21"/>
              </w:rPr>
              <w:t>取水口上游15.22Km处S248跨越兰溪桥梁</w:t>
            </w:r>
          </w:p>
        </w:tc>
        <w:tc>
          <w:tcPr>
            <w:tcW w:w="1177" w:type="dxa"/>
            <w:vAlign w:val="center"/>
          </w:tcPr>
          <w:p w14:paraId="5B9738DA">
            <w:pPr>
              <w:snapToGrid w:val="0"/>
              <w:spacing w:line="240" w:lineRule="auto"/>
              <w:jc w:val="center"/>
              <w:rPr>
                <w:rFonts w:hint="eastAsia" w:cs="宋体"/>
                <w:sz w:val="21"/>
                <w:szCs w:val="21"/>
              </w:rPr>
            </w:pPr>
            <w:r>
              <w:rPr>
                <w:rFonts w:hint="eastAsia"/>
                <w:sz w:val="21"/>
                <w:szCs w:val="21"/>
              </w:rPr>
              <w:t>无变化</w:t>
            </w:r>
          </w:p>
        </w:tc>
      </w:tr>
      <w:tr w14:paraId="05F1F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35" w:type="dxa"/>
            <w:vMerge w:val="continue"/>
            <w:vAlign w:val="center"/>
          </w:tcPr>
          <w:p w14:paraId="3CF9F0E4">
            <w:pPr>
              <w:snapToGrid w:val="0"/>
              <w:spacing w:line="240" w:lineRule="auto"/>
              <w:jc w:val="center"/>
              <w:rPr>
                <w:rFonts w:hint="eastAsia"/>
                <w:sz w:val="21"/>
                <w:szCs w:val="21"/>
              </w:rPr>
            </w:pPr>
          </w:p>
        </w:tc>
        <w:tc>
          <w:tcPr>
            <w:tcW w:w="1307" w:type="dxa"/>
            <w:vMerge w:val="restart"/>
            <w:vAlign w:val="center"/>
          </w:tcPr>
          <w:p w14:paraId="17E99E26">
            <w:pPr>
              <w:spacing w:line="240" w:lineRule="auto"/>
              <w:jc w:val="center"/>
              <w:rPr>
                <w:rFonts w:hint="eastAsia" w:cs="宋体"/>
                <w:sz w:val="21"/>
                <w:szCs w:val="21"/>
              </w:rPr>
            </w:pPr>
            <w:r>
              <w:rPr>
                <w:rFonts w:hint="eastAsia" w:cs="宋体"/>
                <w:sz w:val="21"/>
                <w:szCs w:val="21"/>
              </w:rPr>
              <w:t>非点源风险源</w:t>
            </w:r>
          </w:p>
        </w:tc>
        <w:tc>
          <w:tcPr>
            <w:tcW w:w="2549" w:type="dxa"/>
            <w:gridSpan w:val="3"/>
            <w:vAlign w:val="center"/>
          </w:tcPr>
          <w:p w14:paraId="2BC60FBF">
            <w:pPr>
              <w:spacing w:line="240" w:lineRule="auto"/>
              <w:rPr>
                <w:rFonts w:cs="宋体"/>
                <w:sz w:val="21"/>
                <w:szCs w:val="21"/>
              </w:rPr>
            </w:pPr>
            <w:r>
              <w:rPr>
                <w:rFonts w:cs="宋体"/>
                <w:sz w:val="21"/>
                <w:szCs w:val="21"/>
              </w:rPr>
              <w:t>生活污水</w:t>
            </w:r>
            <w:r>
              <w:rPr>
                <w:rFonts w:hint="eastAsia" w:cs="宋体"/>
                <w:sz w:val="21"/>
                <w:szCs w:val="21"/>
              </w:rPr>
              <w:t>（一级保护区无、二级保护区5户14人）：采取三格化粪池、小湿地等措施对生活污水进行消纳，确保无生活污水外排</w:t>
            </w:r>
          </w:p>
        </w:tc>
        <w:tc>
          <w:tcPr>
            <w:tcW w:w="2539" w:type="dxa"/>
            <w:vAlign w:val="center"/>
          </w:tcPr>
          <w:p w14:paraId="1C39D2FB">
            <w:pPr>
              <w:spacing w:line="240" w:lineRule="auto"/>
              <w:rPr>
                <w:rFonts w:cs="宋体"/>
                <w:sz w:val="21"/>
                <w:szCs w:val="21"/>
              </w:rPr>
            </w:pPr>
            <w:r>
              <w:rPr>
                <w:rFonts w:cs="宋体"/>
                <w:sz w:val="21"/>
                <w:szCs w:val="21"/>
              </w:rPr>
              <w:t>生活污水</w:t>
            </w:r>
            <w:r>
              <w:rPr>
                <w:rFonts w:hint="eastAsia" w:cs="宋体"/>
                <w:sz w:val="21"/>
                <w:szCs w:val="21"/>
              </w:rPr>
              <w:t>（一级保护区无、二级保护区5户14人）：采取三格化粪池、小湿地等措施对生活污水进行消纳，确保无生活污水外排</w:t>
            </w:r>
          </w:p>
        </w:tc>
        <w:tc>
          <w:tcPr>
            <w:tcW w:w="1177" w:type="dxa"/>
            <w:vAlign w:val="center"/>
          </w:tcPr>
          <w:p w14:paraId="49C6146F">
            <w:pPr>
              <w:spacing w:line="240" w:lineRule="auto"/>
              <w:jc w:val="center"/>
              <w:rPr>
                <w:sz w:val="21"/>
                <w:szCs w:val="21"/>
              </w:rPr>
            </w:pPr>
            <w:r>
              <w:rPr>
                <w:rFonts w:hint="eastAsia"/>
                <w:sz w:val="21"/>
                <w:szCs w:val="21"/>
              </w:rPr>
              <w:t>无变化</w:t>
            </w:r>
          </w:p>
        </w:tc>
      </w:tr>
      <w:tr w14:paraId="39BCE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135" w:type="dxa"/>
            <w:vMerge w:val="continue"/>
            <w:vAlign w:val="center"/>
          </w:tcPr>
          <w:p w14:paraId="2B498439">
            <w:pPr>
              <w:snapToGrid w:val="0"/>
              <w:spacing w:line="240" w:lineRule="auto"/>
              <w:jc w:val="center"/>
              <w:rPr>
                <w:rFonts w:hint="eastAsia"/>
                <w:sz w:val="21"/>
                <w:szCs w:val="21"/>
              </w:rPr>
            </w:pPr>
          </w:p>
        </w:tc>
        <w:tc>
          <w:tcPr>
            <w:tcW w:w="1307" w:type="dxa"/>
            <w:vMerge w:val="continue"/>
            <w:vAlign w:val="center"/>
          </w:tcPr>
          <w:p w14:paraId="6567F12A">
            <w:pPr>
              <w:spacing w:line="240" w:lineRule="auto"/>
              <w:jc w:val="center"/>
              <w:rPr>
                <w:rFonts w:hint="eastAsia"/>
                <w:sz w:val="21"/>
                <w:szCs w:val="21"/>
              </w:rPr>
            </w:pPr>
          </w:p>
        </w:tc>
        <w:tc>
          <w:tcPr>
            <w:tcW w:w="2549" w:type="dxa"/>
            <w:gridSpan w:val="3"/>
            <w:vAlign w:val="center"/>
          </w:tcPr>
          <w:p w14:paraId="3EA785BF">
            <w:pPr>
              <w:spacing w:line="240" w:lineRule="auto"/>
              <w:rPr>
                <w:sz w:val="21"/>
                <w:szCs w:val="21"/>
              </w:rPr>
            </w:pPr>
            <w:r>
              <w:rPr>
                <w:sz w:val="21"/>
                <w:szCs w:val="21"/>
              </w:rPr>
              <w:t>农业种植污染</w:t>
            </w:r>
            <w:r>
              <w:rPr>
                <w:rFonts w:hint="eastAsia"/>
                <w:sz w:val="21"/>
                <w:szCs w:val="21"/>
              </w:rPr>
              <w:t>（</w:t>
            </w:r>
            <w:r>
              <w:rPr>
                <w:sz w:val="21"/>
                <w:szCs w:val="21"/>
              </w:rPr>
              <w:t>一级保护区</w:t>
            </w:r>
            <w:r>
              <w:rPr>
                <w:rFonts w:hint="eastAsia"/>
                <w:sz w:val="21"/>
                <w:szCs w:val="21"/>
              </w:rPr>
              <w:t>10、二级保护区40亩）</w:t>
            </w:r>
          </w:p>
        </w:tc>
        <w:tc>
          <w:tcPr>
            <w:tcW w:w="2539" w:type="dxa"/>
            <w:vAlign w:val="center"/>
          </w:tcPr>
          <w:p w14:paraId="324A2973">
            <w:pPr>
              <w:spacing w:line="240" w:lineRule="auto"/>
              <w:rPr>
                <w:rFonts w:hint="eastAsia"/>
                <w:sz w:val="21"/>
                <w:szCs w:val="21"/>
              </w:rPr>
            </w:pPr>
            <w:r>
              <w:rPr>
                <w:sz w:val="21"/>
                <w:szCs w:val="21"/>
              </w:rPr>
              <w:t>农业种植污染</w:t>
            </w:r>
            <w:r>
              <w:rPr>
                <w:rFonts w:hint="eastAsia"/>
                <w:sz w:val="21"/>
                <w:szCs w:val="21"/>
              </w:rPr>
              <w:t>（</w:t>
            </w:r>
            <w:r>
              <w:rPr>
                <w:sz w:val="21"/>
                <w:szCs w:val="21"/>
              </w:rPr>
              <w:t>一级保护区</w:t>
            </w:r>
            <w:r>
              <w:rPr>
                <w:rFonts w:hint="eastAsia"/>
                <w:sz w:val="21"/>
                <w:szCs w:val="21"/>
              </w:rPr>
              <w:t>30、二级保护区90亩）</w:t>
            </w:r>
          </w:p>
        </w:tc>
        <w:tc>
          <w:tcPr>
            <w:tcW w:w="1177" w:type="dxa"/>
            <w:vAlign w:val="center"/>
          </w:tcPr>
          <w:p w14:paraId="75850B95">
            <w:pPr>
              <w:spacing w:line="240" w:lineRule="auto"/>
              <w:jc w:val="center"/>
              <w:rPr>
                <w:sz w:val="21"/>
                <w:szCs w:val="21"/>
              </w:rPr>
            </w:pPr>
            <w:r>
              <w:rPr>
                <w:rFonts w:hint="eastAsia"/>
                <w:sz w:val="21"/>
                <w:szCs w:val="21"/>
              </w:rPr>
              <w:t>无变化</w:t>
            </w:r>
          </w:p>
        </w:tc>
      </w:tr>
      <w:tr w14:paraId="08278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35" w:type="dxa"/>
            <w:vMerge w:val="continue"/>
            <w:vAlign w:val="center"/>
          </w:tcPr>
          <w:p w14:paraId="3C49E3A2">
            <w:pPr>
              <w:snapToGrid w:val="0"/>
              <w:spacing w:line="240" w:lineRule="auto"/>
              <w:jc w:val="center"/>
              <w:rPr>
                <w:rFonts w:hint="eastAsia"/>
                <w:sz w:val="21"/>
                <w:szCs w:val="21"/>
              </w:rPr>
            </w:pPr>
          </w:p>
        </w:tc>
        <w:tc>
          <w:tcPr>
            <w:tcW w:w="1307" w:type="dxa"/>
            <w:vMerge w:val="continue"/>
            <w:vAlign w:val="center"/>
          </w:tcPr>
          <w:p w14:paraId="06598DB2">
            <w:pPr>
              <w:spacing w:line="240" w:lineRule="auto"/>
              <w:jc w:val="center"/>
              <w:rPr>
                <w:rFonts w:hint="eastAsia"/>
                <w:sz w:val="21"/>
                <w:szCs w:val="21"/>
              </w:rPr>
            </w:pPr>
          </w:p>
        </w:tc>
        <w:tc>
          <w:tcPr>
            <w:tcW w:w="2549" w:type="dxa"/>
            <w:gridSpan w:val="3"/>
            <w:vAlign w:val="center"/>
          </w:tcPr>
          <w:p w14:paraId="71EEA7CB">
            <w:pPr>
              <w:spacing w:line="240" w:lineRule="auto"/>
              <w:rPr>
                <w:rFonts w:hint="eastAsia"/>
                <w:sz w:val="21"/>
                <w:szCs w:val="21"/>
              </w:rPr>
            </w:pPr>
            <w:r>
              <w:rPr>
                <w:rFonts w:hint="eastAsia"/>
                <w:sz w:val="21"/>
                <w:szCs w:val="21"/>
              </w:rPr>
              <w:t>畜禽养殖污染：保护区内无规模化养殖场，区域内的养殖类型以饲养生猪为主且以基本上为散养户，共5户（一级保护区内无养殖情况）</w:t>
            </w:r>
          </w:p>
        </w:tc>
        <w:tc>
          <w:tcPr>
            <w:tcW w:w="2539" w:type="dxa"/>
            <w:vAlign w:val="center"/>
          </w:tcPr>
          <w:p w14:paraId="36B15769">
            <w:pPr>
              <w:spacing w:line="240" w:lineRule="auto"/>
              <w:rPr>
                <w:rFonts w:hint="eastAsia" w:cs="宋体"/>
                <w:sz w:val="21"/>
                <w:szCs w:val="21"/>
              </w:rPr>
            </w:pPr>
            <w:r>
              <w:rPr>
                <w:rFonts w:hint="eastAsia"/>
                <w:sz w:val="21"/>
                <w:szCs w:val="21"/>
              </w:rPr>
              <w:t>畜禽养殖污染：保护区内无规模化养殖场，区域内的养殖类型以饲养生猪为主且以基本上为散养户，共5户（一级保护区内无养殖情况）</w:t>
            </w:r>
          </w:p>
        </w:tc>
        <w:tc>
          <w:tcPr>
            <w:tcW w:w="1177" w:type="dxa"/>
            <w:vAlign w:val="center"/>
          </w:tcPr>
          <w:p w14:paraId="25C3C6F7">
            <w:pPr>
              <w:snapToGrid w:val="0"/>
              <w:spacing w:line="240" w:lineRule="auto"/>
              <w:jc w:val="center"/>
              <w:rPr>
                <w:rFonts w:cs="宋体"/>
                <w:sz w:val="21"/>
                <w:szCs w:val="21"/>
              </w:rPr>
            </w:pPr>
            <w:r>
              <w:rPr>
                <w:rFonts w:hint="eastAsia"/>
                <w:sz w:val="21"/>
                <w:szCs w:val="21"/>
              </w:rPr>
              <w:t>无变化</w:t>
            </w:r>
          </w:p>
        </w:tc>
      </w:tr>
      <w:tr w14:paraId="73464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35" w:type="dxa"/>
            <w:vMerge w:val="continue"/>
            <w:vAlign w:val="center"/>
          </w:tcPr>
          <w:p w14:paraId="38FD7041">
            <w:pPr>
              <w:snapToGrid w:val="0"/>
              <w:spacing w:line="240" w:lineRule="auto"/>
              <w:jc w:val="center"/>
              <w:rPr>
                <w:rFonts w:hint="eastAsia"/>
                <w:sz w:val="21"/>
                <w:szCs w:val="21"/>
              </w:rPr>
            </w:pPr>
          </w:p>
        </w:tc>
        <w:tc>
          <w:tcPr>
            <w:tcW w:w="1307" w:type="dxa"/>
            <w:vMerge w:val="continue"/>
            <w:vAlign w:val="center"/>
          </w:tcPr>
          <w:p w14:paraId="211DD181">
            <w:pPr>
              <w:spacing w:line="240" w:lineRule="auto"/>
              <w:jc w:val="center"/>
              <w:rPr>
                <w:rFonts w:hint="eastAsia"/>
                <w:sz w:val="21"/>
                <w:szCs w:val="21"/>
              </w:rPr>
            </w:pPr>
          </w:p>
        </w:tc>
        <w:tc>
          <w:tcPr>
            <w:tcW w:w="2549" w:type="dxa"/>
            <w:gridSpan w:val="3"/>
            <w:vAlign w:val="center"/>
          </w:tcPr>
          <w:p w14:paraId="4E797ACB">
            <w:pPr>
              <w:spacing w:line="240" w:lineRule="auto"/>
              <w:rPr>
                <w:rFonts w:hint="eastAsia"/>
                <w:sz w:val="21"/>
                <w:szCs w:val="21"/>
              </w:rPr>
            </w:pPr>
            <w:r>
              <w:rPr>
                <w:rFonts w:hint="eastAsia"/>
                <w:sz w:val="21"/>
                <w:szCs w:val="21"/>
              </w:rPr>
              <w:t>农村固体废弃物污染：水源地保护区内厕所达到国家卫生厕所标准，与饮用水水源保持必要的安全卫生距离</w:t>
            </w:r>
          </w:p>
        </w:tc>
        <w:tc>
          <w:tcPr>
            <w:tcW w:w="2539" w:type="dxa"/>
            <w:vAlign w:val="center"/>
          </w:tcPr>
          <w:p w14:paraId="7037D072">
            <w:pPr>
              <w:spacing w:line="240" w:lineRule="auto"/>
              <w:rPr>
                <w:rFonts w:hint="eastAsia"/>
                <w:sz w:val="21"/>
                <w:szCs w:val="21"/>
              </w:rPr>
            </w:pPr>
            <w:r>
              <w:rPr>
                <w:rFonts w:hint="eastAsia"/>
                <w:sz w:val="21"/>
                <w:szCs w:val="21"/>
              </w:rPr>
              <w:t>农村固体废弃物污染：水源地保护区内厕所达到国家卫生厕所标准，与饮用水水源保持必要的安全卫生距离</w:t>
            </w:r>
          </w:p>
        </w:tc>
        <w:tc>
          <w:tcPr>
            <w:tcW w:w="1177" w:type="dxa"/>
            <w:vAlign w:val="center"/>
          </w:tcPr>
          <w:p w14:paraId="165D71E2">
            <w:pPr>
              <w:snapToGrid w:val="0"/>
              <w:spacing w:line="240" w:lineRule="auto"/>
              <w:jc w:val="center"/>
              <w:rPr>
                <w:rFonts w:hint="eastAsia"/>
                <w:sz w:val="21"/>
                <w:szCs w:val="21"/>
              </w:rPr>
            </w:pPr>
            <w:r>
              <w:rPr>
                <w:rFonts w:hint="eastAsia"/>
                <w:sz w:val="21"/>
                <w:szCs w:val="21"/>
              </w:rPr>
              <w:t>无变化</w:t>
            </w:r>
          </w:p>
        </w:tc>
      </w:tr>
      <w:tr w14:paraId="11BBA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707" w:type="dxa"/>
            <w:gridSpan w:val="7"/>
            <w:vAlign w:val="center"/>
          </w:tcPr>
          <w:p w14:paraId="6F0C22C1">
            <w:pPr>
              <w:snapToGrid w:val="0"/>
              <w:spacing w:line="240" w:lineRule="auto"/>
              <w:jc w:val="center"/>
              <w:rPr>
                <w:rFonts w:hint="eastAsia"/>
                <w:sz w:val="21"/>
                <w:szCs w:val="21"/>
              </w:rPr>
            </w:pPr>
            <w:bookmarkStart w:id="33" w:name="_Toc530141282"/>
            <w:bookmarkStart w:id="34" w:name="_Toc32519"/>
            <w:bookmarkStart w:id="35" w:name="_Toc485037834"/>
            <w:bookmarkStart w:id="36" w:name="_Toc8507"/>
            <w:bookmarkStart w:id="37" w:name="_Toc485049345"/>
            <w:bookmarkStart w:id="38" w:name="_Toc18095"/>
            <w:bookmarkStart w:id="39" w:name="_Toc27774_WPSOffice_Level2"/>
            <w:bookmarkStart w:id="40" w:name="_Toc247"/>
            <w:bookmarkStart w:id="41" w:name="_Toc26221"/>
            <w:bookmarkStart w:id="42" w:name="_Toc11740"/>
            <w:bookmarkStart w:id="43" w:name="_Toc12006"/>
            <w:bookmarkStart w:id="44" w:name="_Toc11809"/>
            <w:bookmarkStart w:id="45" w:name="_Toc485049269"/>
            <w:bookmarkStart w:id="46" w:name="_Toc492841608"/>
            <w:r>
              <w:rPr>
                <w:rFonts w:hint="eastAsia"/>
                <w:b/>
                <w:bCs/>
                <w:sz w:val="32"/>
                <w:szCs w:val="32"/>
              </w:rPr>
              <w:t>修订说明表</w:t>
            </w:r>
          </w:p>
        </w:tc>
      </w:tr>
      <w:tr w14:paraId="61722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5" w:type="dxa"/>
            <w:vAlign w:val="center"/>
          </w:tcPr>
          <w:p w14:paraId="74279CE7">
            <w:pPr>
              <w:snapToGrid w:val="0"/>
              <w:spacing w:line="240" w:lineRule="auto"/>
              <w:jc w:val="center"/>
              <w:rPr>
                <w:rFonts w:hint="eastAsia"/>
                <w:b/>
                <w:sz w:val="21"/>
                <w:szCs w:val="21"/>
              </w:rPr>
            </w:pPr>
            <w:r>
              <w:rPr>
                <w:rFonts w:hint="eastAsia"/>
                <w:b/>
                <w:sz w:val="21"/>
                <w:szCs w:val="21"/>
              </w:rPr>
              <w:t>序号</w:t>
            </w:r>
          </w:p>
        </w:tc>
        <w:tc>
          <w:tcPr>
            <w:tcW w:w="1725" w:type="dxa"/>
            <w:gridSpan w:val="2"/>
            <w:vAlign w:val="center"/>
          </w:tcPr>
          <w:p w14:paraId="4369428C">
            <w:pPr>
              <w:snapToGrid w:val="0"/>
              <w:spacing w:line="240" w:lineRule="auto"/>
              <w:jc w:val="center"/>
              <w:rPr>
                <w:rFonts w:hint="eastAsia"/>
                <w:b/>
                <w:sz w:val="21"/>
                <w:szCs w:val="21"/>
              </w:rPr>
            </w:pPr>
            <w:r>
              <w:rPr>
                <w:rFonts w:hint="eastAsia"/>
                <w:b/>
                <w:sz w:val="21"/>
                <w:szCs w:val="21"/>
              </w:rPr>
              <w:t>原应急预案章节</w:t>
            </w:r>
          </w:p>
        </w:tc>
        <w:tc>
          <w:tcPr>
            <w:tcW w:w="2131" w:type="dxa"/>
            <w:gridSpan w:val="2"/>
            <w:vAlign w:val="center"/>
          </w:tcPr>
          <w:p w14:paraId="013293C1">
            <w:pPr>
              <w:snapToGrid w:val="0"/>
              <w:spacing w:line="240" w:lineRule="auto"/>
              <w:jc w:val="center"/>
              <w:rPr>
                <w:rFonts w:hint="eastAsia"/>
                <w:b/>
                <w:sz w:val="21"/>
                <w:szCs w:val="21"/>
              </w:rPr>
            </w:pPr>
            <w:r>
              <w:rPr>
                <w:rFonts w:hint="eastAsia"/>
                <w:b/>
                <w:sz w:val="21"/>
                <w:szCs w:val="21"/>
              </w:rPr>
              <w:t>本应急预案章节</w:t>
            </w:r>
          </w:p>
        </w:tc>
        <w:tc>
          <w:tcPr>
            <w:tcW w:w="3716" w:type="dxa"/>
            <w:gridSpan w:val="2"/>
            <w:vAlign w:val="center"/>
          </w:tcPr>
          <w:p w14:paraId="0BA7D88C">
            <w:pPr>
              <w:snapToGrid w:val="0"/>
              <w:spacing w:line="240" w:lineRule="auto"/>
              <w:jc w:val="center"/>
              <w:rPr>
                <w:sz w:val="21"/>
                <w:szCs w:val="21"/>
              </w:rPr>
            </w:pPr>
            <w:r>
              <w:rPr>
                <w:rFonts w:hint="eastAsia"/>
                <w:b/>
                <w:sz w:val="21"/>
                <w:szCs w:val="21"/>
              </w:rPr>
              <w:t>修订说明</w:t>
            </w:r>
          </w:p>
        </w:tc>
      </w:tr>
      <w:tr w14:paraId="57838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35" w:type="dxa"/>
            <w:vAlign w:val="center"/>
          </w:tcPr>
          <w:p w14:paraId="6BFE3987">
            <w:pPr>
              <w:snapToGrid w:val="0"/>
              <w:spacing w:line="240" w:lineRule="auto"/>
              <w:jc w:val="center"/>
              <w:rPr>
                <w:rFonts w:hint="eastAsia"/>
                <w:sz w:val="21"/>
                <w:szCs w:val="21"/>
              </w:rPr>
            </w:pPr>
            <w:r>
              <w:rPr>
                <w:rFonts w:hint="eastAsia"/>
                <w:sz w:val="21"/>
                <w:szCs w:val="21"/>
              </w:rPr>
              <w:t>1</w:t>
            </w:r>
          </w:p>
        </w:tc>
        <w:tc>
          <w:tcPr>
            <w:tcW w:w="1725" w:type="dxa"/>
            <w:gridSpan w:val="2"/>
            <w:vAlign w:val="center"/>
          </w:tcPr>
          <w:p w14:paraId="45F81553">
            <w:pPr>
              <w:spacing w:line="240" w:lineRule="auto"/>
              <w:jc w:val="center"/>
              <w:rPr>
                <w:sz w:val="21"/>
                <w:szCs w:val="21"/>
              </w:rPr>
            </w:pPr>
            <w:r>
              <w:rPr>
                <w:rFonts w:hint="eastAsia"/>
                <w:sz w:val="21"/>
                <w:szCs w:val="21"/>
              </w:rPr>
              <w:t>总则</w:t>
            </w:r>
          </w:p>
        </w:tc>
        <w:tc>
          <w:tcPr>
            <w:tcW w:w="2131" w:type="dxa"/>
            <w:gridSpan w:val="2"/>
            <w:vAlign w:val="center"/>
          </w:tcPr>
          <w:p w14:paraId="3FCE7A23">
            <w:pPr>
              <w:spacing w:line="240" w:lineRule="auto"/>
              <w:jc w:val="center"/>
              <w:rPr>
                <w:rFonts w:hint="eastAsia"/>
                <w:sz w:val="21"/>
                <w:szCs w:val="21"/>
              </w:rPr>
            </w:pPr>
            <w:r>
              <w:rPr>
                <w:rFonts w:hint="eastAsia"/>
                <w:sz w:val="21"/>
                <w:szCs w:val="21"/>
              </w:rPr>
              <w:t>总则</w:t>
            </w:r>
          </w:p>
        </w:tc>
        <w:tc>
          <w:tcPr>
            <w:tcW w:w="3716" w:type="dxa"/>
            <w:gridSpan w:val="2"/>
            <w:vAlign w:val="center"/>
          </w:tcPr>
          <w:p w14:paraId="6BA18872">
            <w:pPr>
              <w:snapToGrid w:val="0"/>
              <w:spacing w:line="240" w:lineRule="auto"/>
              <w:rPr>
                <w:rFonts w:hint="eastAsia"/>
                <w:sz w:val="21"/>
                <w:szCs w:val="21"/>
              </w:rPr>
            </w:pPr>
            <w:r>
              <w:rPr>
                <w:rFonts w:hint="eastAsia"/>
                <w:sz w:val="21"/>
                <w:szCs w:val="21"/>
              </w:rPr>
              <w:t xml:space="preserve">（1）完善了编制目的； </w:t>
            </w:r>
          </w:p>
          <w:p w14:paraId="05AD4377">
            <w:pPr>
              <w:snapToGrid w:val="0"/>
              <w:spacing w:line="240" w:lineRule="auto"/>
              <w:rPr>
                <w:rFonts w:hint="eastAsia"/>
                <w:sz w:val="21"/>
                <w:szCs w:val="21"/>
              </w:rPr>
            </w:pPr>
            <w:r>
              <w:rPr>
                <w:rFonts w:hint="eastAsia"/>
                <w:sz w:val="21"/>
                <w:szCs w:val="21"/>
              </w:rPr>
              <w:t xml:space="preserve">（2）更新且完善了相关编制依据； </w:t>
            </w:r>
          </w:p>
          <w:p w14:paraId="538933ED">
            <w:pPr>
              <w:snapToGrid w:val="0"/>
              <w:spacing w:line="240" w:lineRule="auto"/>
              <w:rPr>
                <w:rFonts w:hint="eastAsia"/>
                <w:sz w:val="21"/>
                <w:szCs w:val="21"/>
              </w:rPr>
            </w:pPr>
            <w:r>
              <w:rPr>
                <w:rFonts w:hint="eastAsia"/>
                <w:sz w:val="21"/>
                <w:szCs w:val="21"/>
              </w:rPr>
              <w:t>（3）细化了工作原则；</w:t>
            </w:r>
          </w:p>
          <w:p w14:paraId="377B7287">
            <w:pPr>
              <w:snapToGrid w:val="0"/>
              <w:spacing w:line="240" w:lineRule="auto"/>
              <w:rPr>
                <w:rFonts w:hint="eastAsia"/>
                <w:sz w:val="21"/>
                <w:szCs w:val="21"/>
              </w:rPr>
            </w:pPr>
            <w:r>
              <w:rPr>
                <w:rFonts w:hint="eastAsia"/>
                <w:sz w:val="21"/>
                <w:szCs w:val="21"/>
              </w:rPr>
              <w:t>（4）完善了预案衔接和事件分级。</w:t>
            </w:r>
          </w:p>
        </w:tc>
      </w:tr>
      <w:tr w14:paraId="3777A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35" w:type="dxa"/>
            <w:vAlign w:val="center"/>
          </w:tcPr>
          <w:p w14:paraId="3B08D803">
            <w:pPr>
              <w:snapToGrid w:val="0"/>
              <w:spacing w:line="240" w:lineRule="auto"/>
              <w:jc w:val="center"/>
              <w:rPr>
                <w:sz w:val="21"/>
                <w:szCs w:val="21"/>
              </w:rPr>
            </w:pPr>
            <w:r>
              <w:rPr>
                <w:rFonts w:hint="eastAsia"/>
                <w:sz w:val="21"/>
                <w:szCs w:val="21"/>
              </w:rPr>
              <w:t>2</w:t>
            </w:r>
          </w:p>
        </w:tc>
        <w:tc>
          <w:tcPr>
            <w:tcW w:w="1725" w:type="dxa"/>
            <w:gridSpan w:val="2"/>
            <w:vAlign w:val="center"/>
          </w:tcPr>
          <w:p w14:paraId="51E3502D">
            <w:pPr>
              <w:spacing w:line="240" w:lineRule="auto"/>
              <w:jc w:val="center"/>
              <w:rPr>
                <w:rFonts w:hint="eastAsia"/>
                <w:sz w:val="21"/>
                <w:szCs w:val="21"/>
              </w:rPr>
            </w:pPr>
            <w:r>
              <w:rPr>
                <w:rFonts w:hint="eastAsia"/>
                <w:sz w:val="21"/>
                <w:szCs w:val="21"/>
              </w:rPr>
              <w:t>应急组织指挥体系构成及职责</w:t>
            </w:r>
          </w:p>
        </w:tc>
        <w:tc>
          <w:tcPr>
            <w:tcW w:w="2131" w:type="dxa"/>
            <w:gridSpan w:val="2"/>
            <w:vAlign w:val="center"/>
          </w:tcPr>
          <w:p w14:paraId="76D32F13">
            <w:pPr>
              <w:spacing w:line="240" w:lineRule="auto"/>
              <w:jc w:val="center"/>
              <w:rPr>
                <w:rFonts w:hint="eastAsia"/>
                <w:sz w:val="21"/>
                <w:szCs w:val="21"/>
              </w:rPr>
            </w:pPr>
            <w:r>
              <w:rPr>
                <w:rFonts w:hint="eastAsia"/>
                <w:sz w:val="21"/>
                <w:szCs w:val="21"/>
              </w:rPr>
              <w:t>应急组织指挥体系构成及职责</w:t>
            </w:r>
          </w:p>
        </w:tc>
        <w:tc>
          <w:tcPr>
            <w:tcW w:w="3716" w:type="dxa"/>
            <w:gridSpan w:val="2"/>
            <w:vAlign w:val="center"/>
          </w:tcPr>
          <w:p w14:paraId="247A2893">
            <w:pPr>
              <w:snapToGrid w:val="0"/>
              <w:spacing w:line="240" w:lineRule="auto"/>
              <w:rPr>
                <w:rFonts w:hint="eastAsia"/>
                <w:sz w:val="21"/>
                <w:szCs w:val="21"/>
              </w:rPr>
            </w:pPr>
            <w:r>
              <w:rPr>
                <w:rFonts w:hint="eastAsia"/>
                <w:sz w:val="21"/>
                <w:szCs w:val="21"/>
              </w:rPr>
              <w:t xml:space="preserve">（1）修订完善各指挥机构及其职责； </w:t>
            </w:r>
          </w:p>
          <w:p w14:paraId="2D420330">
            <w:pPr>
              <w:snapToGrid w:val="0"/>
              <w:spacing w:line="240" w:lineRule="auto"/>
              <w:rPr>
                <w:rFonts w:hint="eastAsia"/>
                <w:sz w:val="21"/>
                <w:szCs w:val="21"/>
              </w:rPr>
            </w:pPr>
            <w:r>
              <w:rPr>
                <w:rFonts w:hint="eastAsia"/>
                <w:sz w:val="21"/>
                <w:szCs w:val="21"/>
              </w:rPr>
              <w:t>（2）因机构改革修改了部门名字和职责。</w:t>
            </w:r>
          </w:p>
        </w:tc>
      </w:tr>
      <w:tr w14:paraId="13200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135" w:type="dxa"/>
            <w:vAlign w:val="center"/>
          </w:tcPr>
          <w:p w14:paraId="697BEA5C">
            <w:pPr>
              <w:snapToGrid w:val="0"/>
              <w:spacing w:line="240" w:lineRule="auto"/>
              <w:jc w:val="center"/>
              <w:rPr>
                <w:sz w:val="21"/>
                <w:szCs w:val="21"/>
              </w:rPr>
            </w:pPr>
            <w:r>
              <w:rPr>
                <w:rFonts w:hint="eastAsia"/>
                <w:sz w:val="21"/>
                <w:szCs w:val="21"/>
              </w:rPr>
              <w:t>3</w:t>
            </w:r>
          </w:p>
        </w:tc>
        <w:tc>
          <w:tcPr>
            <w:tcW w:w="1725" w:type="dxa"/>
            <w:gridSpan w:val="2"/>
            <w:vAlign w:val="center"/>
          </w:tcPr>
          <w:p w14:paraId="19245C31">
            <w:pPr>
              <w:spacing w:line="240" w:lineRule="auto"/>
              <w:jc w:val="center"/>
              <w:rPr>
                <w:rFonts w:hint="eastAsia"/>
                <w:sz w:val="21"/>
                <w:szCs w:val="21"/>
              </w:rPr>
            </w:pPr>
            <w:r>
              <w:rPr>
                <w:rFonts w:hint="eastAsia"/>
                <w:sz w:val="21"/>
                <w:szCs w:val="21"/>
              </w:rPr>
              <w:t>应急响应</w:t>
            </w:r>
          </w:p>
        </w:tc>
        <w:tc>
          <w:tcPr>
            <w:tcW w:w="2131" w:type="dxa"/>
            <w:gridSpan w:val="2"/>
            <w:vAlign w:val="center"/>
          </w:tcPr>
          <w:p w14:paraId="57F9E134">
            <w:pPr>
              <w:spacing w:line="240" w:lineRule="auto"/>
              <w:jc w:val="center"/>
              <w:rPr>
                <w:rFonts w:hint="eastAsia"/>
                <w:sz w:val="21"/>
                <w:szCs w:val="21"/>
              </w:rPr>
            </w:pPr>
            <w:r>
              <w:rPr>
                <w:rFonts w:hint="eastAsia"/>
                <w:sz w:val="21"/>
                <w:szCs w:val="21"/>
              </w:rPr>
              <w:t>应急响应</w:t>
            </w:r>
          </w:p>
        </w:tc>
        <w:tc>
          <w:tcPr>
            <w:tcW w:w="3716" w:type="dxa"/>
            <w:gridSpan w:val="2"/>
            <w:vAlign w:val="center"/>
          </w:tcPr>
          <w:p w14:paraId="7D90E586">
            <w:pPr>
              <w:snapToGrid w:val="0"/>
              <w:spacing w:line="240" w:lineRule="auto"/>
              <w:rPr>
                <w:rFonts w:hint="eastAsia"/>
                <w:sz w:val="21"/>
                <w:szCs w:val="21"/>
              </w:rPr>
            </w:pPr>
            <w:r>
              <w:rPr>
                <w:rFonts w:hint="eastAsia"/>
                <w:sz w:val="21"/>
                <w:szCs w:val="21"/>
              </w:rPr>
              <w:t>按照编制指南，修订、细化、完善了各部分内容。</w:t>
            </w:r>
          </w:p>
        </w:tc>
      </w:tr>
      <w:tr w14:paraId="420363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35" w:type="dxa"/>
            <w:vAlign w:val="center"/>
          </w:tcPr>
          <w:p w14:paraId="23E5A52E">
            <w:pPr>
              <w:snapToGrid w:val="0"/>
              <w:spacing w:line="240" w:lineRule="auto"/>
              <w:jc w:val="center"/>
              <w:rPr>
                <w:sz w:val="21"/>
                <w:szCs w:val="21"/>
              </w:rPr>
            </w:pPr>
            <w:r>
              <w:rPr>
                <w:rFonts w:hint="eastAsia"/>
                <w:sz w:val="21"/>
                <w:szCs w:val="21"/>
              </w:rPr>
              <w:t>4</w:t>
            </w:r>
          </w:p>
        </w:tc>
        <w:tc>
          <w:tcPr>
            <w:tcW w:w="1725" w:type="dxa"/>
            <w:gridSpan w:val="2"/>
            <w:vAlign w:val="center"/>
          </w:tcPr>
          <w:p w14:paraId="1836B0AB">
            <w:pPr>
              <w:spacing w:line="240" w:lineRule="auto"/>
              <w:jc w:val="center"/>
              <w:rPr>
                <w:rFonts w:hint="eastAsia"/>
                <w:sz w:val="21"/>
                <w:szCs w:val="21"/>
              </w:rPr>
            </w:pPr>
            <w:r>
              <w:rPr>
                <w:sz w:val="21"/>
                <w:szCs w:val="21"/>
              </w:rPr>
              <w:t>后期工作</w:t>
            </w:r>
          </w:p>
        </w:tc>
        <w:tc>
          <w:tcPr>
            <w:tcW w:w="2131" w:type="dxa"/>
            <w:gridSpan w:val="2"/>
            <w:vAlign w:val="center"/>
          </w:tcPr>
          <w:p w14:paraId="16AFE661">
            <w:pPr>
              <w:spacing w:line="240" w:lineRule="auto"/>
              <w:jc w:val="center"/>
              <w:rPr>
                <w:rFonts w:hint="eastAsia"/>
                <w:sz w:val="21"/>
                <w:szCs w:val="21"/>
              </w:rPr>
            </w:pPr>
            <w:r>
              <w:rPr>
                <w:sz w:val="21"/>
                <w:szCs w:val="21"/>
              </w:rPr>
              <w:t>后期工作</w:t>
            </w:r>
          </w:p>
        </w:tc>
        <w:tc>
          <w:tcPr>
            <w:tcW w:w="3716" w:type="dxa"/>
            <w:gridSpan w:val="2"/>
            <w:vAlign w:val="center"/>
          </w:tcPr>
          <w:p w14:paraId="34608CB1">
            <w:pPr>
              <w:spacing w:line="240" w:lineRule="auto"/>
              <w:jc w:val="left"/>
              <w:rPr>
                <w:rFonts w:hint="eastAsia"/>
                <w:sz w:val="21"/>
                <w:szCs w:val="21"/>
              </w:rPr>
            </w:pPr>
            <w:r>
              <w:rPr>
                <w:rFonts w:hint="eastAsia"/>
                <w:sz w:val="21"/>
                <w:szCs w:val="21"/>
              </w:rPr>
              <w:t>完善了损害评估、善后处置的内容。</w:t>
            </w:r>
          </w:p>
        </w:tc>
      </w:tr>
      <w:tr w14:paraId="351F33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35" w:type="dxa"/>
            <w:vAlign w:val="center"/>
          </w:tcPr>
          <w:p w14:paraId="6154E0B9">
            <w:pPr>
              <w:snapToGrid w:val="0"/>
              <w:spacing w:line="240" w:lineRule="auto"/>
              <w:jc w:val="center"/>
              <w:rPr>
                <w:sz w:val="21"/>
                <w:szCs w:val="21"/>
              </w:rPr>
            </w:pPr>
            <w:r>
              <w:rPr>
                <w:rFonts w:hint="eastAsia"/>
                <w:sz w:val="21"/>
                <w:szCs w:val="21"/>
              </w:rPr>
              <w:t>5</w:t>
            </w:r>
          </w:p>
        </w:tc>
        <w:tc>
          <w:tcPr>
            <w:tcW w:w="1725" w:type="dxa"/>
            <w:gridSpan w:val="2"/>
            <w:vAlign w:val="center"/>
          </w:tcPr>
          <w:p w14:paraId="2A65BE56">
            <w:pPr>
              <w:spacing w:line="240" w:lineRule="auto"/>
              <w:jc w:val="center"/>
              <w:rPr>
                <w:sz w:val="21"/>
                <w:szCs w:val="21"/>
              </w:rPr>
            </w:pPr>
            <w:r>
              <w:rPr>
                <w:sz w:val="21"/>
                <w:szCs w:val="21"/>
              </w:rPr>
              <w:t>全文</w:t>
            </w:r>
          </w:p>
        </w:tc>
        <w:tc>
          <w:tcPr>
            <w:tcW w:w="2131" w:type="dxa"/>
            <w:gridSpan w:val="2"/>
            <w:vAlign w:val="center"/>
          </w:tcPr>
          <w:p w14:paraId="7CED1F95">
            <w:pPr>
              <w:spacing w:line="240" w:lineRule="auto"/>
              <w:jc w:val="center"/>
              <w:rPr>
                <w:sz w:val="21"/>
                <w:szCs w:val="21"/>
              </w:rPr>
            </w:pPr>
            <w:r>
              <w:rPr>
                <w:sz w:val="21"/>
                <w:szCs w:val="21"/>
              </w:rPr>
              <w:t>全文</w:t>
            </w:r>
          </w:p>
        </w:tc>
        <w:tc>
          <w:tcPr>
            <w:tcW w:w="3716" w:type="dxa"/>
            <w:gridSpan w:val="2"/>
            <w:vAlign w:val="center"/>
          </w:tcPr>
          <w:p w14:paraId="682F6D65">
            <w:pPr>
              <w:spacing w:line="240" w:lineRule="auto"/>
              <w:rPr>
                <w:rFonts w:hint="eastAsia"/>
                <w:sz w:val="21"/>
                <w:szCs w:val="21"/>
              </w:rPr>
            </w:pPr>
            <w:r>
              <w:rPr>
                <w:rFonts w:hint="eastAsia"/>
                <w:sz w:val="21"/>
                <w:szCs w:val="21"/>
              </w:rPr>
              <w:t>因机构改革修改了部门名称及其职责。</w:t>
            </w:r>
          </w:p>
        </w:tc>
      </w:tr>
    </w:tbl>
    <w:p w14:paraId="540CCE48">
      <w:pPr>
        <w:pStyle w:val="4"/>
        <w:rPr>
          <w:rFonts w:hint="eastAsia"/>
        </w:rPr>
      </w:pPr>
      <w:bookmarkStart w:id="47" w:name="_Toc32190"/>
      <w:bookmarkStart w:id="48" w:name="_Toc5037"/>
      <w:r>
        <w:rPr>
          <w:rFonts w:hint="eastAsia"/>
        </w:rPr>
        <w:t>1.4原应急预案风险预防</w:t>
      </w:r>
      <w:r>
        <w:t>措施落实</w:t>
      </w:r>
      <w:r>
        <w:rPr>
          <w:rFonts w:hint="eastAsia"/>
        </w:rPr>
        <w:t>和执行</w:t>
      </w:r>
      <w:r>
        <w:t>情况</w:t>
      </w:r>
      <w:bookmarkEnd w:id="33"/>
      <w:r>
        <w:rPr>
          <w:rFonts w:hint="eastAsia"/>
        </w:rPr>
        <w:t>说明</w:t>
      </w:r>
      <w:bookmarkEnd w:id="34"/>
      <w:bookmarkEnd w:id="47"/>
      <w:bookmarkEnd w:id="48"/>
    </w:p>
    <w:p w14:paraId="2CC473CD">
      <w:pPr>
        <w:ind w:firstLine="480" w:firstLineChars="200"/>
        <w:rPr>
          <w:rFonts w:hint="eastAsia"/>
        </w:rPr>
      </w:pPr>
      <w:r>
        <w:t>原预案提出</w:t>
      </w:r>
      <w:r>
        <w:rPr>
          <w:rFonts w:hint="eastAsia"/>
        </w:rPr>
        <w:t>环境</w:t>
      </w:r>
      <w:r>
        <w:t>风险</w:t>
      </w:r>
      <w:r>
        <w:rPr>
          <w:rFonts w:hint="eastAsia"/>
        </w:rPr>
        <w:t>预防</w:t>
      </w:r>
      <w:r>
        <w:t>措施</w:t>
      </w:r>
      <w:r>
        <w:rPr>
          <w:rFonts w:hint="eastAsia"/>
        </w:rPr>
        <w:t>持续改进建议，</w:t>
      </w:r>
      <w:r>
        <w:t>其整改完成情况如下</w:t>
      </w:r>
      <w:r>
        <w:rPr>
          <w:rFonts w:hint="eastAsia"/>
        </w:rPr>
        <w:t>表所示。</w:t>
      </w:r>
    </w:p>
    <w:p w14:paraId="58825043">
      <w:pPr>
        <w:jc w:val="center"/>
        <w:rPr>
          <w:b/>
          <w:bCs/>
          <w:sz w:val="21"/>
          <w:szCs w:val="21"/>
        </w:rPr>
      </w:pPr>
      <w:r>
        <w:rPr>
          <w:b/>
          <w:bCs/>
          <w:sz w:val="21"/>
          <w:szCs w:val="21"/>
        </w:rPr>
        <w:t>表</w:t>
      </w:r>
      <w:r>
        <w:rPr>
          <w:rFonts w:hint="eastAsia"/>
          <w:b/>
          <w:bCs/>
          <w:sz w:val="21"/>
          <w:szCs w:val="21"/>
        </w:rPr>
        <w:t>1</w:t>
      </w:r>
      <w:r>
        <w:rPr>
          <w:b/>
          <w:bCs/>
          <w:sz w:val="21"/>
          <w:szCs w:val="21"/>
        </w:rPr>
        <w:t>-</w:t>
      </w:r>
      <w:r>
        <w:rPr>
          <w:rFonts w:hint="eastAsia"/>
          <w:b/>
          <w:bCs/>
          <w:sz w:val="21"/>
          <w:szCs w:val="21"/>
        </w:rPr>
        <w:t>3  原应急预案环境风险防控与应急措施整改完成情况</w:t>
      </w:r>
    </w:p>
    <w:tbl>
      <w:tblPr>
        <w:tblStyle w:val="20"/>
        <w:tblW w:w="92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1"/>
        <w:gridCol w:w="4915"/>
        <w:gridCol w:w="3415"/>
      </w:tblGrid>
      <w:tr w14:paraId="22839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blHeader/>
          <w:jc w:val="center"/>
        </w:trPr>
        <w:tc>
          <w:tcPr>
            <w:tcW w:w="911" w:type="dxa"/>
            <w:vAlign w:val="center"/>
          </w:tcPr>
          <w:p w14:paraId="5A7E778B">
            <w:pPr>
              <w:widowControl/>
              <w:spacing w:line="240" w:lineRule="auto"/>
              <w:jc w:val="center"/>
              <w:rPr>
                <w:rFonts w:hint="eastAsia"/>
                <w:b/>
                <w:sz w:val="21"/>
                <w:szCs w:val="21"/>
              </w:rPr>
            </w:pPr>
            <w:r>
              <w:rPr>
                <w:rFonts w:hint="eastAsia"/>
                <w:b/>
                <w:sz w:val="21"/>
                <w:szCs w:val="21"/>
              </w:rPr>
              <w:t>类别</w:t>
            </w:r>
          </w:p>
        </w:tc>
        <w:tc>
          <w:tcPr>
            <w:tcW w:w="4915" w:type="dxa"/>
            <w:vAlign w:val="center"/>
          </w:tcPr>
          <w:p w14:paraId="007059E3">
            <w:pPr>
              <w:widowControl/>
              <w:spacing w:line="240" w:lineRule="auto"/>
              <w:jc w:val="center"/>
              <w:rPr>
                <w:b/>
                <w:sz w:val="21"/>
                <w:szCs w:val="21"/>
              </w:rPr>
            </w:pPr>
            <w:r>
              <w:rPr>
                <w:b/>
                <w:sz w:val="21"/>
                <w:szCs w:val="21"/>
              </w:rPr>
              <w:t>环境风险</w:t>
            </w:r>
            <w:r>
              <w:rPr>
                <w:rFonts w:hint="eastAsia"/>
                <w:b/>
                <w:sz w:val="21"/>
                <w:szCs w:val="21"/>
              </w:rPr>
              <w:t>隐患整改或</w:t>
            </w:r>
            <w:r>
              <w:rPr>
                <w:b/>
                <w:sz w:val="21"/>
                <w:szCs w:val="21"/>
              </w:rPr>
              <w:t>防控措施</w:t>
            </w:r>
            <w:r>
              <w:rPr>
                <w:rFonts w:hint="eastAsia"/>
                <w:b/>
                <w:sz w:val="21"/>
                <w:szCs w:val="21"/>
              </w:rPr>
              <w:t>待改进处及</w:t>
            </w:r>
            <w:r>
              <w:rPr>
                <w:b/>
                <w:sz w:val="21"/>
                <w:szCs w:val="21"/>
              </w:rPr>
              <w:t>完善建议</w:t>
            </w:r>
          </w:p>
        </w:tc>
        <w:tc>
          <w:tcPr>
            <w:tcW w:w="3415" w:type="dxa"/>
            <w:vAlign w:val="center"/>
          </w:tcPr>
          <w:p w14:paraId="3E6E4DFC">
            <w:pPr>
              <w:widowControl/>
              <w:spacing w:line="240" w:lineRule="auto"/>
              <w:jc w:val="center"/>
              <w:rPr>
                <w:b/>
                <w:sz w:val="21"/>
                <w:szCs w:val="21"/>
              </w:rPr>
            </w:pPr>
            <w:r>
              <w:rPr>
                <w:rFonts w:hint="eastAsia"/>
                <w:b/>
                <w:sz w:val="21"/>
                <w:szCs w:val="21"/>
              </w:rPr>
              <w:t>整改完成情况</w:t>
            </w:r>
          </w:p>
        </w:tc>
      </w:tr>
      <w:tr w14:paraId="5F354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911" w:type="dxa"/>
            <w:vAlign w:val="center"/>
          </w:tcPr>
          <w:p w14:paraId="3FC6AE75">
            <w:pPr>
              <w:spacing w:line="240" w:lineRule="auto"/>
              <w:jc w:val="center"/>
              <w:rPr>
                <w:sz w:val="21"/>
                <w:szCs w:val="21"/>
              </w:rPr>
            </w:pPr>
            <w:r>
              <w:rPr>
                <w:sz w:val="21"/>
                <w:szCs w:val="21"/>
              </w:rPr>
              <w:t>固定污染源</w:t>
            </w:r>
          </w:p>
        </w:tc>
        <w:tc>
          <w:tcPr>
            <w:tcW w:w="4915" w:type="dxa"/>
            <w:vAlign w:val="center"/>
          </w:tcPr>
          <w:p w14:paraId="06701548">
            <w:pPr>
              <w:widowControl/>
              <w:spacing w:line="240" w:lineRule="auto"/>
              <w:rPr>
                <w:bCs/>
                <w:sz w:val="21"/>
                <w:szCs w:val="21"/>
              </w:rPr>
            </w:pPr>
            <w:r>
              <w:rPr>
                <w:rFonts w:hint="eastAsia"/>
                <w:bCs/>
                <w:sz w:val="21"/>
                <w:szCs w:val="21"/>
              </w:rPr>
              <w:t>加强对固定风险源的管理，定期对其储存场所进行巡视，督促公司对原辅材料堆场、相关生产设备设施等进行定期维护，防止发生火灾</w:t>
            </w:r>
          </w:p>
        </w:tc>
        <w:tc>
          <w:tcPr>
            <w:tcW w:w="3415" w:type="dxa"/>
            <w:vAlign w:val="center"/>
          </w:tcPr>
          <w:p w14:paraId="446B4689">
            <w:pPr>
              <w:widowControl/>
              <w:spacing w:line="240" w:lineRule="auto"/>
              <w:jc w:val="center"/>
              <w:rPr>
                <w:bCs/>
                <w:sz w:val="21"/>
                <w:szCs w:val="21"/>
              </w:rPr>
            </w:pPr>
            <w:r>
              <w:rPr>
                <w:rFonts w:hint="eastAsia"/>
                <w:bCs/>
                <w:sz w:val="21"/>
                <w:szCs w:val="21"/>
              </w:rPr>
              <w:t>已落实。</w:t>
            </w:r>
            <w:r>
              <w:rPr>
                <w:rFonts w:hint="eastAsia"/>
                <w:bCs/>
                <w:sz w:val="21"/>
                <w:szCs w:val="21"/>
                <w:u w:val="wave"/>
                <w:lang w:val="en-US" w:eastAsia="zh-CN"/>
              </w:rPr>
              <w:t>市生态环境局绥宁分局</w:t>
            </w:r>
            <w:r>
              <w:rPr>
                <w:rFonts w:hint="eastAsia"/>
                <w:bCs/>
                <w:sz w:val="21"/>
                <w:szCs w:val="21"/>
                <w:u w:val="wave"/>
              </w:rPr>
              <w:t>已制定</w:t>
            </w:r>
            <w:r>
              <w:rPr>
                <w:bCs/>
                <w:sz w:val="21"/>
                <w:szCs w:val="21"/>
                <w:u w:val="wave"/>
              </w:rPr>
              <w:t>巡查制度</w:t>
            </w:r>
            <w:r>
              <w:rPr>
                <w:rFonts w:hint="eastAsia"/>
                <w:bCs/>
                <w:sz w:val="21"/>
                <w:szCs w:val="21"/>
              </w:rPr>
              <w:t>，固定源单位已</w:t>
            </w:r>
            <w:r>
              <w:rPr>
                <w:bCs/>
                <w:sz w:val="21"/>
                <w:szCs w:val="21"/>
              </w:rPr>
              <w:t>对</w:t>
            </w:r>
            <w:r>
              <w:rPr>
                <w:rFonts w:hint="eastAsia"/>
                <w:bCs/>
                <w:sz w:val="21"/>
                <w:szCs w:val="21"/>
              </w:rPr>
              <w:t>原辅材料堆场、相关生产设备设施等进行定期维护和巡视</w:t>
            </w:r>
          </w:p>
        </w:tc>
      </w:tr>
      <w:tr w14:paraId="57D31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911" w:type="dxa"/>
            <w:vAlign w:val="center"/>
          </w:tcPr>
          <w:p w14:paraId="0040FB31">
            <w:pPr>
              <w:spacing w:line="240" w:lineRule="auto"/>
              <w:jc w:val="center"/>
              <w:rPr>
                <w:sz w:val="21"/>
                <w:szCs w:val="21"/>
              </w:rPr>
            </w:pPr>
            <w:r>
              <w:rPr>
                <w:sz w:val="21"/>
                <w:szCs w:val="21"/>
              </w:rPr>
              <w:t>农业污染源</w:t>
            </w:r>
          </w:p>
        </w:tc>
        <w:tc>
          <w:tcPr>
            <w:tcW w:w="4915" w:type="dxa"/>
            <w:vAlign w:val="center"/>
          </w:tcPr>
          <w:p w14:paraId="608D6269">
            <w:pPr>
              <w:widowControl/>
              <w:spacing w:line="240" w:lineRule="auto"/>
              <w:rPr>
                <w:bCs/>
                <w:sz w:val="21"/>
                <w:szCs w:val="21"/>
              </w:rPr>
            </w:pPr>
            <w:r>
              <w:rPr>
                <w:bCs/>
                <w:sz w:val="21"/>
                <w:szCs w:val="21"/>
              </w:rPr>
              <w:fldChar w:fldCharType="begin"/>
            </w:r>
            <w:r>
              <w:rPr>
                <w:bCs/>
                <w:sz w:val="21"/>
                <w:szCs w:val="21"/>
              </w:rPr>
              <w:instrText xml:space="preserve"> </w:instrText>
            </w:r>
            <w:r>
              <w:rPr>
                <w:rFonts w:hint="eastAsia"/>
                <w:bCs/>
                <w:sz w:val="21"/>
                <w:szCs w:val="21"/>
              </w:rPr>
              <w:instrText xml:space="preserve">= 1 \* GB3</w:instrText>
            </w:r>
            <w:r>
              <w:rPr>
                <w:bCs/>
                <w:sz w:val="21"/>
                <w:szCs w:val="21"/>
              </w:rPr>
              <w:instrText xml:space="preserve"> </w:instrText>
            </w:r>
            <w:r>
              <w:rPr>
                <w:bCs/>
                <w:sz w:val="21"/>
                <w:szCs w:val="21"/>
              </w:rPr>
              <w:fldChar w:fldCharType="separate"/>
            </w:r>
            <w:r>
              <w:rPr>
                <w:rFonts w:hint="eastAsia"/>
                <w:bCs/>
                <w:sz w:val="21"/>
                <w:szCs w:val="21"/>
              </w:rPr>
              <w:t>①</w:t>
            </w:r>
            <w:r>
              <w:rPr>
                <w:bCs/>
                <w:sz w:val="21"/>
                <w:szCs w:val="21"/>
              </w:rPr>
              <w:fldChar w:fldCharType="end"/>
            </w:r>
            <w:r>
              <w:rPr>
                <w:rFonts w:hint="eastAsia"/>
                <w:bCs/>
                <w:sz w:val="21"/>
                <w:szCs w:val="21"/>
              </w:rPr>
              <w:t>控制集约化农作物种植，建议发展有机农业；</w:t>
            </w:r>
            <w:r>
              <w:rPr>
                <w:bCs/>
                <w:sz w:val="21"/>
                <w:szCs w:val="21"/>
              </w:rPr>
              <w:t>②</w:t>
            </w:r>
            <w:r>
              <w:rPr>
                <w:rFonts w:hint="eastAsia"/>
                <w:bCs/>
                <w:sz w:val="21"/>
                <w:szCs w:val="21"/>
              </w:rPr>
              <w:t>减少含磷废水外排，尽量少使用农药、化肥的使用</w:t>
            </w:r>
          </w:p>
        </w:tc>
        <w:tc>
          <w:tcPr>
            <w:tcW w:w="3415" w:type="dxa"/>
            <w:vAlign w:val="center"/>
          </w:tcPr>
          <w:p w14:paraId="33F9EB0C">
            <w:pPr>
              <w:widowControl/>
              <w:spacing w:line="240" w:lineRule="auto"/>
              <w:jc w:val="center"/>
              <w:rPr>
                <w:bCs/>
                <w:sz w:val="21"/>
                <w:szCs w:val="21"/>
              </w:rPr>
            </w:pPr>
            <w:r>
              <w:rPr>
                <w:rFonts w:hint="eastAsia"/>
                <w:bCs/>
                <w:sz w:val="21"/>
                <w:szCs w:val="21"/>
              </w:rPr>
              <w:t>已落实。</w:t>
            </w:r>
            <w:r>
              <w:rPr>
                <w:rFonts w:hint="eastAsia"/>
                <w:bCs/>
                <w:sz w:val="21"/>
                <w:szCs w:val="21"/>
                <w:u w:val="none"/>
                <w:lang w:val="en-US" w:eastAsia="zh-CN"/>
              </w:rPr>
              <w:t>县农业农村部门</w:t>
            </w:r>
            <w:r>
              <w:rPr>
                <w:rFonts w:hint="eastAsia"/>
                <w:bCs/>
                <w:sz w:val="21"/>
                <w:szCs w:val="21"/>
                <w:u w:val="none"/>
              </w:rPr>
              <w:t>已</w:t>
            </w:r>
            <w:r>
              <w:rPr>
                <w:rFonts w:hint="eastAsia"/>
                <w:bCs/>
                <w:sz w:val="21"/>
                <w:szCs w:val="21"/>
                <w:u w:val="none"/>
                <w:lang w:val="en-US" w:eastAsia="zh-CN"/>
              </w:rPr>
              <w:t>采取截流等措施</w:t>
            </w:r>
            <w:r>
              <w:rPr>
                <w:rFonts w:hint="eastAsia"/>
                <w:bCs/>
                <w:sz w:val="21"/>
                <w:szCs w:val="21"/>
                <w:u w:val="none"/>
              </w:rPr>
              <w:t>尽量</w:t>
            </w:r>
            <w:r>
              <w:rPr>
                <w:bCs/>
                <w:sz w:val="21"/>
                <w:szCs w:val="21"/>
                <w:u w:val="none"/>
              </w:rPr>
              <w:t>减少含磷废水外排，</w:t>
            </w:r>
            <w:r>
              <w:rPr>
                <w:rFonts w:hint="eastAsia"/>
                <w:bCs/>
                <w:sz w:val="21"/>
                <w:szCs w:val="21"/>
                <w:u w:val="none"/>
              </w:rPr>
              <w:t>已</w:t>
            </w:r>
            <w:r>
              <w:rPr>
                <w:bCs/>
                <w:sz w:val="21"/>
                <w:szCs w:val="21"/>
                <w:u w:val="none"/>
              </w:rPr>
              <w:t>尽量少使用农药、化肥的使用</w:t>
            </w:r>
          </w:p>
        </w:tc>
      </w:tr>
      <w:tr w14:paraId="778B6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911" w:type="dxa"/>
            <w:vAlign w:val="center"/>
          </w:tcPr>
          <w:p w14:paraId="22C7882D">
            <w:pPr>
              <w:spacing w:line="240" w:lineRule="auto"/>
              <w:jc w:val="center"/>
              <w:rPr>
                <w:sz w:val="21"/>
                <w:szCs w:val="21"/>
              </w:rPr>
            </w:pPr>
            <w:r>
              <w:rPr>
                <w:sz w:val="21"/>
                <w:szCs w:val="21"/>
              </w:rPr>
              <w:t>流动污染源</w:t>
            </w:r>
          </w:p>
        </w:tc>
        <w:tc>
          <w:tcPr>
            <w:tcW w:w="4915" w:type="dxa"/>
            <w:vAlign w:val="center"/>
          </w:tcPr>
          <w:p w14:paraId="2C9EA8DD">
            <w:pPr>
              <w:widowControl/>
              <w:spacing w:line="240" w:lineRule="auto"/>
              <w:rPr>
                <w:bCs/>
                <w:sz w:val="21"/>
                <w:szCs w:val="21"/>
              </w:rPr>
            </w:pPr>
            <w:r>
              <w:rPr>
                <w:rFonts w:hint="eastAsia"/>
                <w:bCs/>
                <w:sz w:val="21"/>
                <w:szCs w:val="21"/>
              </w:rPr>
              <w:t>绥宁县人民政府在S248与兰溪相近处建设防撞护栏、导流沟、应急池等应急设施</w:t>
            </w:r>
          </w:p>
        </w:tc>
        <w:tc>
          <w:tcPr>
            <w:tcW w:w="3415" w:type="dxa"/>
            <w:vAlign w:val="center"/>
          </w:tcPr>
          <w:p w14:paraId="3479B512">
            <w:pPr>
              <w:widowControl/>
              <w:spacing w:line="240" w:lineRule="auto"/>
              <w:jc w:val="center"/>
              <w:rPr>
                <w:bCs/>
                <w:sz w:val="21"/>
                <w:szCs w:val="21"/>
              </w:rPr>
            </w:pPr>
            <w:r>
              <w:rPr>
                <w:rFonts w:hint="eastAsia"/>
                <w:bCs/>
                <w:sz w:val="21"/>
                <w:szCs w:val="21"/>
              </w:rPr>
              <w:t>部分落实。</w:t>
            </w:r>
            <w:r>
              <w:rPr>
                <w:bCs/>
                <w:sz w:val="21"/>
                <w:szCs w:val="21"/>
              </w:rPr>
              <w:t>S</w:t>
            </w:r>
            <w:r>
              <w:rPr>
                <w:rFonts w:hint="eastAsia"/>
                <w:bCs/>
                <w:sz w:val="21"/>
                <w:szCs w:val="21"/>
              </w:rPr>
              <w:t>248部分已</w:t>
            </w:r>
            <w:r>
              <w:rPr>
                <w:bCs/>
                <w:sz w:val="21"/>
                <w:szCs w:val="21"/>
              </w:rPr>
              <w:t>建设防撞护栏</w:t>
            </w:r>
            <w:r>
              <w:rPr>
                <w:rFonts w:hint="eastAsia"/>
                <w:bCs/>
                <w:sz w:val="21"/>
                <w:szCs w:val="21"/>
              </w:rPr>
              <w:t>、已</w:t>
            </w:r>
            <w:r>
              <w:rPr>
                <w:bCs/>
                <w:sz w:val="21"/>
                <w:szCs w:val="21"/>
              </w:rPr>
              <w:t>设置摄像头等监控设施</w:t>
            </w:r>
            <w:r>
              <w:rPr>
                <w:rFonts w:hint="eastAsia"/>
                <w:bCs/>
                <w:sz w:val="21"/>
                <w:szCs w:val="21"/>
              </w:rPr>
              <w:t>，</w:t>
            </w:r>
            <w:r>
              <w:rPr>
                <w:rFonts w:hint="eastAsia"/>
                <w:bCs/>
                <w:sz w:val="21"/>
                <w:szCs w:val="21"/>
                <w:u w:val="wave"/>
              </w:rPr>
              <w:t>但</w:t>
            </w:r>
            <w:r>
              <w:rPr>
                <w:rFonts w:hint="eastAsia"/>
                <w:bCs/>
                <w:sz w:val="21"/>
                <w:szCs w:val="21"/>
                <w:u w:val="wave"/>
                <w:lang w:val="en-US" w:eastAsia="zh-CN"/>
              </w:rPr>
              <w:t>因资金原因</w:t>
            </w:r>
            <w:r>
              <w:rPr>
                <w:rFonts w:hint="eastAsia"/>
                <w:bCs/>
                <w:sz w:val="21"/>
                <w:szCs w:val="21"/>
                <w:u w:val="wave"/>
              </w:rPr>
              <w:t>还未建设</w:t>
            </w:r>
            <w:r>
              <w:rPr>
                <w:bCs/>
                <w:sz w:val="21"/>
                <w:szCs w:val="21"/>
                <w:u w:val="wave"/>
              </w:rPr>
              <w:t>导流沟、应急池等应急设施</w:t>
            </w:r>
          </w:p>
        </w:tc>
      </w:tr>
      <w:tr w14:paraId="2B137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911" w:type="dxa"/>
            <w:vAlign w:val="center"/>
          </w:tcPr>
          <w:p w14:paraId="49280610">
            <w:pPr>
              <w:spacing w:line="240" w:lineRule="auto"/>
              <w:jc w:val="center"/>
              <w:rPr>
                <w:sz w:val="21"/>
                <w:szCs w:val="21"/>
              </w:rPr>
            </w:pPr>
            <w:r>
              <w:rPr>
                <w:sz w:val="21"/>
                <w:szCs w:val="21"/>
              </w:rPr>
              <w:t>环境风险管理</w:t>
            </w:r>
          </w:p>
        </w:tc>
        <w:tc>
          <w:tcPr>
            <w:tcW w:w="4915" w:type="dxa"/>
            <w:vAlign w:val="center"/>
          </w:tcPr>
          <w:p w14:paraId="1A7FA98F">
            <w:pPr>
              <w:widowControl/>
              <w:spacing w:line="240" w:lineRule="auto"/>
              <w:rPr>
                <w:bCs/>
                <w:sz w:val="21"/>
                <w:szCs w:val="21"/>
              </w:rPr>
            </w:pPr>
            <w:r>
              <w:rPr>
                <w:bCs/>
                <w:sz w:val="21"/>
                <w:szCs w:val="21"/>
              </w:rPr>
              <w:t>建议完善汛期、旱期、冰冻等特殊时期污染风险防控制度，明确巡查人员和巡查频次及重点巡查对象等</w:t>
            </w:r>
          </w:p>
        </w:tc>
        <w:tc>
          <w:tcPr>
            <w:tcW w:w="3415" w:type="dxa"/>
            <w:vAlign w:val="center"/>
          </w:tcPr>
          <w:p w14:paraId="39B10701">
            <w:pPr>
              <w:widowControl/>
              <w:spacing w:line="240" w:lineRule="auto"/>
              <w:jc w:val="center"/>
              <w:rPr>
                <w:bCs/>
                <w:sz w:val="21"/>
                <w:szCs w:val="21"/>
              </w:rPr>
            </w:pPr>
            <w:r>
              <w:rPr>
                <w:rFonts w:hint="eastAsia"/>
                <w:bCs/>
                <w:sz w:val="21"/>
                <w:szCs w:val="21"/>
              </w:rPr>
              <w:t>已落实。</w:t>
            </w:r>
            <w:r>
              <w:rPr>
                <w:rFonts w:hint="eastAsia"/>
                <w:bCs/>
                <w:sz w:val="21"/>
                <w:szCs w:val="21"/>
                <w:lang w:val="en-US" w:eastAsia="zh-CN"/>
              </w:rPr>
              <w:t>各政府单位</w:t>
            </w:r>
            <w:r>
              <w:rPr>
                <w:rFonts w:hint="eastAsia"/>
                <w:bCs/>
                <w:sz w:val="21"/>
                <w:szCs w:val="21"/>
              </w:rPr>
              <w:t>已</w:t>
            </w:r>
            <w:r>
              <w:rPr>
                <w:bCs/>
                <w:sz w:val="21"/>
                <w:szCs w:val="21"/>
              </w:rPr>
              <w:t>明确巡查人员和巡查频次及重点巡查对象等</w:t>
            </w:r>
          </w:p>
        </w:tc>
      </w:tr>
      <w:tr w14:paraId="38215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911" w:type="dxa"/>
            <w:vMerge w:val="restart"/>
            <w:vAlign w:val="center"/>
          </w:tcPr>
          <w:p w14:paraId="00CC3C5B">
            <w:pPr>
              <w:spacing w:line="240" w:lineRule="auto"/>
              <w:jc w:val="center"/>
              <w:rPr>
                <w:sz w:val="21"/>
                <w:szCs w:val="21"/>
              </w:rPr>
            </w:pPr>
            <w:r>
              <w:rPr>
                <w:sz w:val="21"/>
                <w:szCs w:val="21"/>
              </w:rPr>
              <w:t>环境应急方面</w:t>
            </w:r>
          </w:p>
        </w:tc>
        <w:tc>
          <w:tcPr>
            <w:tcW w:w="4915" w:type="dxa"/>
            <w:vAlign w:val="center"/>
          </w:tcPr>
          <w:p w14:paraId="40050EB7">
            <w:pPr>
              <w:widowControl/>
              <w:spacing w:line="240" w:lineRule="auto"/>
              <w:rPr>
                <w:bCs/>
                <w:sz w:val="21"/>
                <w:szCs w:val="21"/>
              </w:rPr>
            </w:pPr>
            <w:r>
              <w:rPr>
                <w:bCs/>
                <w:sz w:val="21"/>
                <w:szCs w:val="21"/>
              </w:rPr>
              <w:t>根据水源</w:t>
            </w:r>
            <w:r>
              <w:rPr>
                <w:rFonts w:hint="eastAsia"/>
                <w:bCs/>
                <w:sz w:val="21"/>
                <w:szCs w:val="21"/>
              </w:rPr>
              <w:t>保护区</w:t>
            </w:r>
            <w:r>
              <w:rPr>
                <w:bCs/>
                <w:sz w:val="21"/>
                <w:szCs w:val="21"/>
              </w:rPr>
              <w:t>环境风险</w:t>
            </w:r>
            <w:r>
              <w:rPr>
                <w:rFonts w:hint="eastAsia"/>
                <w:bCs/>
                <w:sz w:val="21"/>
                <w:szCs w:val="21"/>
              </w:rPr>
              <w:t>源</w:t>
            </w:r>
            <w:r>
              <w:rPr>
                <w:bCs/>
                <w:sz w:val="21"/>
                <w:szCs w:val="21"/>
              </w:rPr>
              <w:t>情况储备相应的环境应急物资，并按规范存放，</w:t>
            </w:r>
            <w:r>
              <w:rPr>
                <w:rFonts w:hint="eastAsia"/>
                <w:bCs/>
                <w:sz w:val="21"/>
                <w:szCs w:val="21"/>
              </w:rPr>
              <w:t>关峡水厂</w:t>
            </w:r>
            <w:r>
              <w:rPr>
                <w:bCs/>
                <w:sz w:val="21"/>
                <w:szCs w:val="21"/>
              </w:rPr>
              <w:t>积极采取各项污染源风险防范措施</w:t>
            </w:r>
          </w:p>
        </w:tc>
        <w:tc>
          <w:tcPr>
            <w:tcW w:w="3415" w:type="dxa"/>
            <w:vAlign w:val="center"/>
          </w:tcPr>
          <w:p w14:paraId="189338A6">
            <w:pPr>
              <w:widowControl/>
              <w:spacing w:line="240" w:lineRule="auto"/>
              <w:rPr>
                <w:rFonts w:hint="eastAsia" w:eastAsia="宋体"/>
                <w:bCs/>
                <w:sz w:val="21"/>
                <w:szCs w:val="21"/>
                <w:lang w:eastAsia="zh-CN"/>
              </w:rPr>
            </w:pPr>
            <w:r>
              <w:rPr>
                <w:rFonts w:hint="eastAsia"/>
                <w:bCs/>
                <w:sz w:val="21"/>
                <w:szCs w:val="21"/>
              </w:rPr>
              <w:t>已落实。</w:t>
            </w:r>
            <w:r>
              <w:rPr>
                <w:rFonts w:hint="eastAsia"/>
                <w:bCs/>
                <w:sz w:val="21"/>
                <w:szCs w:val="21"/>
                <w:u w:val="wave"/>
              </w:rPr>
              <w:t>已</w:t>
            </w:r>
            <w:r>
              <w:rPr>
                <w:bCs/>
                <w:sz w:val="21"/>
                <w:szCs w:val="21"/>
                <w:u w:val="wave"/>
              </w:rPr>
              <w:t>储备相应的环境应急物资，并按规范存放</w:t>
            </w:r>
            <w:r>
              <w:rPr>
                <w:rFonts w:hint="eastAsia"/>
                <w:bCs/>
                <w:sz w:val="21"/>
                <w:szCs w:val="21"/>
                <w:u w:val="wave"/>
                <w:lang w:val="en-US" w:eastAsia="zh-CN"/>
              </w:rPr>
              <w:t>于关峡水厂和园区管委会</w:t>
            </w:r>
            <w:r>
              <w:rPr>
                <w:bCs/>
                <w:sz w:val="21"/>
                <w:szCs w:val="21"/>
                <w:u w:val="wave"/>
              </w:rPr>
              <w:t>，</w:t>
            </w:r>
            <w:r>
              <w:rPr>
                <w:rFonts w:hint="eastAsia"/>
                <w:bCs/>
                <w:sz w:val="21"/>
                <w:szCs w:val="21"/>
                <w:u w:val="wave"/>
              </w:rPr>
              <w:t>关峡水厂已</w:t>
            </w:r>
            <w:r>
              <w:rPr>
                <w:bCs/>
                <w:sz w:val="21"/>
                <w:szCs w:val="21"/>
                <w:u w:val="wave"/>
              </w:rPr>
              <w:t>积极采取各项污染源风险防范措施</w:t>
            </w:r>
            <w:r>
              <w:rPr>
                <w:rFonts w:hint="eastAsia"/>
                <w:bCs/>
                <w:sz w:val="21"/>
                <w:szCs w:val="21"/>
                <w:u w:val="wave"/>
                <w:lang w:eastAsia="zh-CN"/>
              </w:rPr>
              <w:t>。</w:t>
            </w:r>
          </w:p>
        </w:tc>
      </w:tr>
      <w:tr w14:paraId="6DE5B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911" w:type="dxa"/>
            <w:vMerge w:val="continue"/>
            <w:vAlign w:val="center"/>
          </w:tcPr>
          <w:p w14:paraId="21D90CF6">
            <w:pPr>
              <w:spacing w:line="240" w:lineRule="auto"/>
              <w:jc w:val="center"/>
              <w:rPr>
                <w:sz w:val="21"/>
                <w:szCs w:val="21"/>
              </w:rPr>
            </w:pPr>
          </w:p>
        </w:tc>
        <w:tc>
          <w:tcPr>
            <w:tcW w:w="4915" w:type="dxa"/>
            <w:vAlign w:val="center"/>
          </w:tcPr>
          <w:p w14:paraId="4777662A">
            <w:pPr>
              <w:widowControl/>
              <w:spacing w:line="240" w:lineRule="auto"/>
              <w:rPr>
                <w:bCs/>
                <w:sz w:val="21"/>
                <w:szCs w:val="21"/>
              </w:rPr>
            </w:pPr>
            <w:r>
              <w:rPr>
                <w:bCs/>
                <w:sz w:val="21"/>
                <w:szCs w:val="21"/>
              </w:rPr>
              <w:t>定期对应急人员进行应急培训，定期进行环境应急预案演练</w:t>
            </w:r>
          </w:p>
        </w:tc>
        <w:tc>
          <w:tcPr>
            <w:tcW w:w="3415" w:type="dxa"/>
            <w:vAlign w:val="center"/>
          </w:tcPr>
          <w:p w14:paraId="0FD60C4D">
            <w:pPr>
              <w:widowControl/>
              <w:spacing w:line="240" w:lineRule="auto"/>
              <w:rPr>
                <w:rFonts w:hint="eastAsia"/>
                <w:bCs/>
                <w:sz w:val="21"/>
                <w:szCs w:val="21"/>
              </w:rPr>
            </w:pPr>
            <w:r>
              <w:rPr>
                <w:rFonts w:hint="eastAsia"/>
                <w:bCs/>
                <w:sz w:val="21"/>
                <w:szCs w:val="21"/>
              </w:rPr>
              <w:t>已落实。</w:t>
            </w:r>
          </w:p>
        </w:tc>
      </w:tr>
    </w:tbl>
    <w:p w14:paraId="75BC64D1">
      <w:pPr>
        <w:ind w:firstLine="480" w:firstLineChars="200"/>
      </w:pPr>
      <w:r>
        <w:rPr>
          <w:rFonts w:hint="eastAsia"/>
        </w:rPr>
        <w:t>绥宁县人民政府及相关部门单位严格执行安全、环保管理方面的操作规程、规章制度和组织机构，明确了巡察单位、巡查人员和巡查频次等，严格按《事故应急预案》执行预案各项规章制度，按预案要求进行巡检等</w:t>
      </w:r>
      <w:r>
        <w:t>。</w:t>
      </w:r>
    </w:p>
    <w:p w14:paraId="7591F5F3">
      <w:pPr>
        <w:pStyle w:val="4"/>
      </w:pPr>
      <w:bookmarkStart w:id="49" w:name="_Toc10911"/>
      <w:bookmarkStart w:id="50" w:name="_Toc13706"/>
      <w:r>
        <w:t>1.</w:t>
      </w:r>
      <w:r>
        <w:rPr>
          <w:rFonts w:hint="eastAsia"/>
        </w:rPr>
        <w:t>5</w:t>
      </w:r>
      <w:r>
        <w:t>征求意见及采纳情况说明</w:t>
      </w:r>
      <w:bookmarkEnd w:id="35"/>
      <w:bookmarkEnd w:id="36"/>
      <w:bookmarkEnd w:id="37"/>
      <w:bookmarkEnd w:id="38"/>
      <w:bookmarkEnd w:id="39"/>
      <w:bookmarkEnd w:id="40"/>
      <w:bookmarkEnd w:id="41"/>
      <w:bookmarkEnd w:id="42"/>
      <w:bookmarkEnd w:id="43"/>
      <w:bookmarkEnd w:id="44"/>
      <w:bookmarkEnd w:id="45"/>
      <w:bookmarkEnd w:id="46"/>
      <w:bookmarkEnd w:id="49"/>
      <w:bookmarkEnd w:id="50"/>
    </w:p>
    <w:p w14:paraId="4B6796F7">
      <w:pPr>
        <w:pStyle w:val="81"/>
        <w:spacing w:line="360" w:lineRule="auto"/>
        <w:rPr>
          <w:rFonts w:hint="default" w:ascii="Times New Roman" w:hAnsi="Times New Roman" w:eastAsia="宋体" w:cs="Times New Roman"/>
          <w:u w:val="wave"/>
        </w:rPr>
      </w:pPr>
      <w:r>
        <w:rPr>
          <w:u w:val="wave"/>
        </w:rPr>
        <w:t>征求意见包括两个方面的意见征求，一是本预案内审意见，二是外部专家评审意见。20</w:t>
      </w:r>
      <w:r>
        <w:rPr>
          <w:rFonts w:hint="eastAsia"/>
          <w:u w:val="wave"/>
        </w:rPr>
        <w:t>23</w:t>
      </w:r>
      <w:r>
        <w:rPr>
          <w:u w:val="wave"/>
        </w:rPr>
        <w:t>年</w:t>
      </w:r>
      <w:r>
        <w:rPr>
          <w:rFonts w:hint="eastAsia"/>
          <w:u w:val="wave"/>
        </w:rPr>
        <w:t>12</w:t>
      </w:r>
      <w:r>
        <w:rPr>
          <w:u w:val="wave"/>
        </w:rPr>
        <w:t>月</w:t>
      </w:r>
      <w:r>
        <w:rPr>
          <w:rFonts w:hint="eastAsia"/>
          <w:u w:val="wave"/>
          <w:lang w:val="en-US" w:eastAsia="zh-CN"/>
        </w:rPr>
        <w:t>19</w:t>
      </w:r>
      <w:r>
        <w:rPr>
          <w:u w:val="wave"/>
        </w:rPr>
        <w:t>日，</w:t>
      </w:r>
      <w:r>
        <w:rPr>
          <w:rFonts w:hint="eastAsia"/>
          <w:u w:val="wave"/>
        </w:rPr>
        <w:t>绥宁</w:t>
      </w:r>
      <w:r>
        <w:rPr>
          <w:u w:val="wave"/>
        </w:rPr>
        <w:t>县政府委托由</w:t>
      </w:r>
      <w:r>
        <w:rPr>
          <w:rFonts w:hint="eastAsia"/>
          <w:u w:val="wave"/>
        </w:rPr>
        <w:t>邵阳市生态环境局绥宁分局</w:t>
      </w:r>
      <w:r>
        <w:rPr>
          <w:u w:val="wave"/>
        </w:rPr>
        <w:t>牵头，组织相关人员，对本应急预案进行内部评审及征求意见，经内审组全体人员认真讨论，大家一致认为本应急预案基本符合编制要求，同意报送</w:t>
      </w:r>
      <w:r>
        <w:rPr>
          <w:rFonts w:hint="eastAsia"/>
          <w:u w:val="wave"/>
        </w:rPr>
        <w:t>市生态环境局</w:t>
      </w:r>
      <w:r>
        <w:rPr>
          <w:u w:val="wave"/>
        </w:rPr>
        <w:t>组织专家进行外部评审。本预案编制组采纳了</w:t>
      </w:r>
      <w:r>
        <w:rPr>
          <w:rFonts w:hint="eastAsia"/>
          <w:u w:val="wave"/>
        </w:rPr>
        <w:t>邵阳市生态环境局绥宁分局</w:t>
      </w:r>
      <w:r>
        <w:rPr>
          <w:u w:val="wave"/>
        </w:rPr>
        <w:t>综合的内审修改意见，对预案进行了修改完善。</w:t>
      </w:r>
      <w:r>
        <w:rPr>
          <w:rFonts w:hint="default" w:ascii="Times New Roman" w:hAnsi="Times New Roman" w:eastAsia="宋体" w:cs="Times New Roman"/>
          <w:u w:val="wave"/>
        </w:rPr>
        <w:t>相关意见及采纳情况如下：</w:t>
      </w:r>
    </w:p>
    <w:p w14:paraId="2D3A8163">
      <w:pPr>
        <w:keepNext w:val="0"/>
        <w:keepLines w:val="0"/>
        <w:pageBreakBefore w:val="0"/>
        <w:widowControl/>
        <w:kinsoku/>
        <w:wordWrap/>
        <w:overflowPunct/>
        <w:topLinePunct w:val="0"/>
        <w:autoSpaceDE/>
        <w:autoSpaceDN/>
        <w:bidi w:val="0"/>
        <w:adjustRightInd/>
        <w:snapToGrid/>
        <w:spacing w:line="360" w:lineRule="auto"/>
        <w:ind w:left="0"/>
        <w:jc w:val="center"/>
        <w:textAlignment w:val="auto"/>
        <w:outlineLvl w:val="9"/>
        <w:rPr>
          <w:rFonts w:hint="default" w:ascii="Times New Roman" w:hAnsi="Times New Roman" w:eastAsia="宋体" w:cs="Times New Roman"/>
          <w:b/>
          <w:bCs/>
          <w:smallCaps/>
          <w:color w:val="auto"/>
          <w:sz w:val="21"/>
          <w:szCs w:val="21"/>
          <w:u w:val="wave"/>
          <w:lang w:val="en-US" w:eastAsia="zh-CN" w:bidi="ar-SA"/>
        </w:rPr>
      </w:pPr>
      <w:r>
        <w:rPr>
          <w:rFonts w:hint="default" w:ascii="Times New Roman" w:hAnsi="Times New Roman" w:eastAsia="宋体" w:cs="Times New Roman"/>
          <w:b/>
          <w:bCs/>
          <w:smallCaps/>
          <w:color w:val="auto"/>
          <w:sz w:val="21"/>
          <w:szCs w:val="21"/>
          <w:u w:val="wave"/>
          <w:lang w:val="en-US" w:eastAsia="zh-CN" w:bidi="ar-SA"/>
        </w:rPr>
        <w:t>表1-2  内部评审意见修改清单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784"/>
        <w:gridCol w:w="1600"/>
        <w:gridCol w:w="1508"/>
      </w:tblGrid>
      <w:tr w14:paraId="26B8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11" w:type="dxa"/>
            <w:noWrap w:val="0"/>
            <w:vAlign w:val="center"/>
          </w:tcPr>
          <w:p w14:paraId="4E62CA81">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0"/>
                <w:sz w:val="21"/>
                <w:szCs w:val="21"/>
                <w:u w:val="wave"/>
                <w:vertAlign w:val="baseline"/>
                <w:lang w:eastAsia="zh-CN"/>
              </w:rPr>
            </w:pPr>
            <w:r>
              <w:rPr>
                <w:rFonts w:hint="default" w:ascii="Times New Roman" w:hAnsi="Times New Roman" w:eastAsia="宋体" w:cs="Times New Roman"/>
                <w:b/>
                <w:bCs/>
                <w:color w:val="auto"/>
                <w:kern w:val="0"/>
                <w:sz w:val="21"/>
                <w:szCs w:val="21"/>
                <w:u w:val="wave"/>
                <w:vertAlign w:val="baseline"/>
                <w:lang w:eastAsia="zh-CN"/>
              </w:rPr>
              <w:t>序号</w:t>
            </w:r>
          </w:p>
        </w:tc>
        <w:tc>
          <w:tcPr>
            <w:tcW w:w="3784" w:type="dxa"/>
            <w:noWrap w:val="0"/>
            <w:vAlign w:val="center"/>
          </w:tcPr>
          <w:p w14:paraId="1E66C5F9">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0"/>
                <w:sz w:val="21"/>
                <w:szCs w:val="21"/>
                <w:u w:val="wave"/>
                <w:vertAlign w:val="baseline"/>
                <w:lang w:eastAsia="zh-CN"/>
              </w:rPr>
            </w:pPr>
            <w:r>
              <w:rPr>
                <w:rFonts w:hint="default" w:ascii="Times New Roman" w:hAnsi="Times New Roman" w:eastAsia="宋体" w:cs="Times New Roman"/>
                <w:b/>
                <w:bCs/>
                <w:color w:val="auto"/>
                <w:kern w:val="0"/>
                <w:sz w:val="21"/>
                <w:szCs w:val="21"/>
                <w:u w:val="wave"/>
                <w:vertAlign w:val="baseline"/>
                <w:lang w:eastAsia="zh-CN"/>
              </w:rPr>
              <w:t>修改意见</w:t>
            </w:r>
          </w:p>
        </w:tc>
        <w:tc>
          <w:tcPr>
            <w:tcW w:w="1600" w:type="dxa"/>
            <w:noWrap w:val="0"/>
            <w:vAlign w:val="center"/>
          </w:tcPr>
          <w:p w14:paraId="4817E420">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0"/>
                <w:sz w:val="21"/>
                <w:szCs w:val="21"/>
                <w:u w:val="wave"/>
                <w:vertAlign w:val="baseline"/>
                <w:lang w:val="en-US" w:eastAsia="zh-CN"/>
              </w:rPr>
            </w:pPr>
            <w:r>
              <w:rPr>
                <w:rFonts w:hint="default" w:ascii="Times New Roman" w:hAnsi="Times New Roman" w:eastAsia="宋体" w:cs="Times New Roman"/>
                <w:b/>
                <w:bCs/>
                <w:color w:val="auto"/>
                <w:kern w:val="0"/>
                <w:sz w:val="21"/>
                <w:szCs w:val="21"/>
                <w:u w:val="wave"/>
                <w:vertAlign w:val="baseline"/>
                <w:lang w:val="en-US" w:eastAsia="zh-CN"/>
              </w:rPr>
              <w:t>采纳情况</w:t>
            </w:r>
          </w:p>
        </w:tc>
        <w:tc>
          <w:tcPr>
            <w:tcW w:w="1508" w:type="dxa"/>
            <w:noWrap w:val="0"/>
            <w:vAlign w:val="center"/>
          </w:tcPr>
          <w:p w14:paraId="3E299220">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0"/>
                <w:sz w:val="21"/>
                <w:szCs w:val="21"/>
                <w:u w:val="wave"/>
                <w:vertAlign w:val="baseline"/>
                <w:lang w:eastAsia="zh-CN"/>
              </w:rPr>
            </w:pPr>
            <w:r>
              <w:rPr>
                <w:rFonts w:hint="default" w:ascii="Times New Roman" w:hAnsi="Times New Roman" w:eastAsia="宋体" w:cs="Times New Roman"/>
                <w:b/>
                <w:bCs/>
                <w:color w:val="auto"/>
                <w:kern w:val="0"/>
                <w:sz w:val="21"/>
                <w:szCs w:val="21"/>
                <w:u w:val="wave"/>
                <w:vertAlign w:val="baseline"/>
                <w:lang w:eastAsia="zh-CN"/>
              </w:rPr>
              <w:t>修改情况</w:t>
            </w:r>
          </w:p>
        </w:tc>
      </w:tr>
      <w:tr w14:paraId="3815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1" w:type="dxa"/>
            <w:noWrap w:val="0"/>
            <w:vAlign w:val="center"/>
          </w:tcPr>
          <w:p w14:paraId="5B98C1C1">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u w:val="wave"/>
                <w:vertAlign w:val="baseline"/>
                <w:lang w:val="en-US" w:eastAsia="zh-CN"/>
              </w:rPr>
            </w:pPr>
            <w:r>
              <w:rPr>
                <w:rFonts w:hint="default" w:ascii="Times New Roman" w:hAnsi="Times New Roman" w:eastAsia="宋体" w:cs="Times New Roman"/>
                <w:color w:val="auto"/>
                <w:kern w:val="0"/>
                <w:sz w:val="21"/>
                <w:szCs w:val="21"/>
                <w:u w:val="wave"/>
                <w:vertAlign w:val="baseline"/>
                <w:lang w:val="en-US" w:eastAsia="zh-CN"/>
              </w:rPr>
              <w:t>1</w:t>
            </w:r>
          </w:p>
        </w:tc>
        <w:tc>
          <w:tcPr>
            <w:tcW w:w="3784" w:type="dxa"/>
            <w:noWrap w:val="0"/>
            <w:vAlign w:val="center"/>
          </w:tcPr>
          <w:p w14:paraId="21F6C4E5">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u w:val="wave"/>
                <w:vertAlign w:val="baseline"/>
                <w:lang w:val="en-US" w:eastAsia="zh-CN"/>
              </w:rPr>
            </w:pPr>
            <w:r>
              <w:rPr>
                <w:rFonts w:hint="eastAsia" w:ascii="Times New Roman" w:hAnsi="Times New Roman" w:eastAsia="宋体" w:cs="Times New Roman"/>
                <w:color w:val="auto"/>
                <w:kern w:val="0"/>
                <w:sz w:val="21"/>
                <w:szCs w:val="21"/>
                <w:u w:val="wave"/>
                <w:vertAlign w:val="baseline"/>
                <w:lang w:val="en-US" w:eastAsia="zh-CN"/>
              </w:rPr>
              <w:t>核实各风险源及单位名称</w:t>
            </w:r>
          </w:p>
        </w:tc>
        <w:tc>
          <w:tcPr>
            <w:tcW w:w="1600" w:type="dxa"/>
            <w:noWrap w:val="0"/>
            <w:vAlign w:val="center"/>
          </w:tcPr>
          <w:p w14:paraId="39F24701">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u w:val="wave"/>
                <w:vertAlign w:val="baseline"/>
                <w:lang w:val="en-US" w:eastAsia="zh-CN"/>
              </w:rPr>
            </w:pPr>
            <w:r>
              <w:rPr>
                <w:rFonts w:hint="default" w:ascii="Times New Roman" w:hAnsi="Times New Roman" w:eastAsia="宋体" w:cs="Times New Roman"/>
                <w:color w:val="auto"/>
                <w:kern w:val="0"/>
                <w:sz w:val="21"/>
                <w:szCs w:val="21"/>
                <w:u w:val="wave"/>
                <w:vertAlign w:val="baseline"/>
                <w:lang w:val="en-US" w:eastAsia="zh-CN"/>
              </w:rPr>
              <w:t>采纳</w:t>
            </w:r>
          </w:p>
        </w:tc>
        <w:tc>
          <w:tcPr>
            <w:tcW w:w="1508" w:type="dxa"/>
            <w:noWrap w:val="0"/>
            <w:vAlign w:val="center"/>
          </w:tcPr>
          <w:p w14:paraId="47D81BCC">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u w:val="wave"/>
                <w:vertAlign w:val="baseline"/>
                <w:lang w:eastAsia="zh-CN"/>
              </w:rPr>
            </w:pPr>
            <w:r>
              <w:rPr>
                <w:rFonts w:hint="default" w:ascii="Times New Roman" w:hAnsi="Times New Roman" w:eastAsia="宋体" w:cs="Times New Roman"/>
                <w:color w:val="auto"/>
                <w:kern w:val="0"/>
                <w:sz w:val="21"/>
                <w:szCs w:val="21"/>
                <w:u w:val="wave"/>
                <w:vertAlign w:val="baseline"/>
                <w:lang w:eastAsia="zh-CN"/>
              </w:rPr>
              <w:t>已</w:t>
            </w:r>
            <w:r>
              <w:rPr>
                <w:rFonts w:hint="eastAsia" w:ascii="Times New Roman" w:hAnsi="Times New Roman" w:eastAsia="宋体" w:cs="Times New Roman"/>
                <w:color w:val="auto"/>
                <w:kern w:val="0"/>
                <w:sz w:val="21"/>
                <w:szCs w:val="21"/>
                <w:u w:val="wave"/>
                <w:vertAlign w:val="baseline"/>
                <w:lang w:val="en-US" w:eastAsia="zh-CN"/>
              </w:rPr>
              <w:t>核实</w:t>
            </w:r>
            <w:r>
              <w:rPr>
                <w:rFonts w:hint="default" w:ascii="Times New Roman" w:hAnsi="Times New Roman" w:eastAsia="宋体" w:cs="Times New Roman"/>
                <w:color w:val="auto"/>
                <w:kern w:val="0"/>
                <w:sz w:val="21"/>
                <w:szCs w:val="21"/>
                <w:u w:val="wave"/>
                <w:vertAlign w:val="baseline"/>
                <w:lang w:val="en-US" w:eastAsia="zh-CN"/>
              </w:rPr>
              <w:t>完善</w:t>
            </w:r>
          </w:p>
        </w:tc>
      </w:tr>
    </w:tbl>
    <w:p w14:paraId="6A7C5AFB">
      <w:pPr>
        <w:ind w:firstLine="480" w:firstLineChars="200"/>
        <w:rPr>
          <w:sz w:val="44"/>
          <w:szCs w:val="44"/>
        </w:rPr>
      </w:pPr>
      <w:r>
        <w:rPr>
          <w:u w:val="wave"/>
        </w:rPr>
        <w:t>此应急预案经内审通过后，报</w:t>
      </w:r>
      <w:r>
        <w:rPr>
          <w:rFonts w:hint="eastAsia"/>
          <w:u w:val="wave"/>
        </w:rPr>
        <w:t>市生态环境局</w:t>
      </w:r>
      <w:r>
        <w:rPr>
          <w:u w:val="wave"/>
        </w:rPr>
        <w:t>进行外部评审</w:t>
      </w:r>
      <w:r>
        <w:rPr>
          <w:rFonts w:hint="eastAsia"/>
          <w:u w:val="wave"/>
        </w:rPr>
        <w:t>。202</w:t>
      </w:r>
      <w:r>
        <w:rPr>
          <w:rFonts w:hint="eastAsia"/>
          <w:u w:val="wave"/>
          <w:lang w:val="en-US" w:eastAsia="zh-CN"/>
        </w:rPr>
        <w:t>4</w:t>
      </w:r>
      <w:r>
        <w:rPr>
          <w:rFonts w:hint="eastAsia"/>
          <w:u w:val="wave"/>
        </w:rPr>
        <w:t>年</w:t>
      </w:r>
      <w:r>
        <w:rPr>
          <w:rFonts w:hint="eastAsia"/>
          <w:u w:val="wave"/>
          <w:lang w:val="en-US" w:eastAsia="zh-CN"/>
        </w:rPr>
        <w:t>1</w:t>
      </w:r>
      <w:r>
        <w:rPr>
          <w:rFonts w:hint="eastAsia"/>
          <w:u w:val="wave"/>
        </w:rPr>
        <w:t>月</w:t>
      </w:r>
      <w:r>
        <w:rPr>
          <w:rFonts w:hint="eastAsia"/>
          <w:u w:val="wave"/>
          <w:lang w:val="en-US" w:eastAsia="zh-CN"/>
        </w:rPr>
        <w:t>19</w:t>
      </w:r>
      <w:r>
        <w:rPr>
          <w:rFonts w:hint="eastAsia"/>
          <w:u w:val="wave"/>
        </w:rPr>
        <w:t>日，外部专家组一致同意本预案通过评审，</w:t>
      </w:r>
      <w:r>
        <w:rPr>
          <w:u w:val="wave"/>
        </w:rPr>
        <w:t>经修改完善并经</w:t>
      </w:r>
      <w:r>
        <w:rPr>
          <w:rFonts w:hint="eastAsia"/>
          <w:u w:val="wave"/>
        </w:rPr>
        <w:t>市</w:t>
      </w:r>
      <w:r>
        <w:rPr>
          <w:u w:val="wave"/>
        </w:rPr>
        <w:t>生态环境</w:t>
      </w:r>
      <w:r>
        <w:rPr>
          <w:rFonts w:hint="eastAsia"/>
          <w:u w:val="wave"/>
        </w:rPr>
        <w:t>局</w:t>
      </w:r>
      <w:r>
        <w:rPr>
          <w:u w:val="wave"/>
        </w:rPr>
        <w:t>备案后，可做为绥宁县人民政府应对水源地保护区环境突发事件的依据。</w:t>
      </w:r>
    </w:p>
    <w:p w14:paraId="1E1CC52C">
      <w:pPr>
        <w:pStyle w:val="4"/>
      </w:pPr>
      <w:bookmarkStart w:id="51" w:name="_Toc3174_WPSOffice_Level2"/>
      <w:bookmarkStart w:id="52" w:name="_Toc6204"/>
      <w:bookmarkStart w:id="53" w:name="_Toc31094"/>
      <w:bookmarkStart w:id="54" w:name="_Toc23704"/>
      <w:bookmarkStart w:id="55" w:name="_Toc492841611"/>
      <w:bookmarkStart w:id="56" w:name="_Toc471199918"/>
      <w:r>
        <w:t>1.</w:t>
      </w:r>
      <w:r>
        <w:rPr>
          <w:rFonts w:hint="eastAsia"/>
        </w:rPr>
        <w:t>6</w:t>
      </w:r>
      <w:r>
        <w:t>水源地保护区基本情况</w:t>
      </w:r>
      <w:bookmarkEnd w:id="51"/>
      <w:bookmarkEnd w:id="52"/>
      <w:bookmarkEnd w:id="53"/>
      <w:bookmarkEnd w:id="54"/>
      <w:bookmarkEnd w:id="55"/>
    </w:p>
    <w:p w14:paraId="622B7528">
      <w:pPr>
        <w:ind w:firstLine="480" w:firstLineChars="200"/>
      </w:pPr>
      <w:r>
        <w:t>水源地保护区基本信息：</w:t>
      </w:r>
      <w:r>
        <w:rPr>
          <w:rFonts w:hint="eastAsia"/>
        </w:rPr>
        <w:t>根</w:t>
      </w:r>
      <w:r>
        <w:t>据</w:t>
      </w:r>
      <w:r>
        <w:rPr>
          <w:rFonts w:hint="eastAsia"/>
        </w:rPr>
        <w:t>《水源保护区划分技术报告》和绥宁县</w:t>
      </w:r>
      <w:r>
        <w:t>农业农村水利局提供数据，兰溪的平均河宽</w:t>
      </w:r>
      <w:r>
        <w:rPr>
          <w:rFonts w:hint="eastAsia"/>
        </w:rPr>
        <w:t>为19</w:t>
      </w:r>
      <w:r>
        <w:t>米，平均水深0.5～0.8m，正常流速为0.5m/s，流量为2.5m</w:t>
      </w:r>
      <w:r>
        <w:rPr>
          <w:vertAlign w:val="superscript"/>
        </w:rPr>
        <w:t>3</w:t>
      </w:r>
      <w:r>
        <w:t>/s。兰溪水主要水域功能为农、排洪、渔业等。</w:t>
      </w:r>
      <w:r>
        <w:rPr>
          <w:rFonts w:hint="eastAsia"/>
        </w:rPr>
        <w:t>经现场勘查，兰溪上游仅有两条小溪汇入兰溪。关峡水厂取水口上游约5.8Km处有一小溪自背口田处汇入兰溪；取水口上游约19.6Km处有一小溪自大干村处汇入兰溪。</w:t>
      </w:r>
    </w:p>
    <w:p w14:paraId="73D77A19">
      <w:pPr>
        <w:ind w:firstLine="480" w:firstLineChars="200"/>
        <w:rPr>
          <w:kern w:val="0"/>
        </w:rPr>
      </w:pPr>
      <w:r>
        <w:rPr>
          <w:kern w:val="0"/>
        </w:rPr>
        <w:t>关峡水厂位于绥宁县关峡苗族乡，</w:t>
      </w:r>
      <w:r>
        <w:rPr>
          <w:rFonts w:hint="eastAsia"/>
          <w:kern w:val="0"/>
        </w:rPr>
        <w:t>该乡</w:t>
      </w:r>
      <w:r>
        <w:rPr>
          <w:kern w:val="0"/>
        </w:rPr>
        <w:t>位于</w:t>
      </w:r>
      <w:r>
        <w:fldChar w:fldCharType="begin"/>
      </w:r>
      <w:r>
        <w:instrText xml:space="preserve"> HYPERLINK "https://baike.baidu.com/item/%E7%BB%A5%E5%AE%81%E5%8E%BF" \t "https://baike.baidu.com/item/%E5%85%B3%E5%B3%A1%E8%8B%97%E6%97%8F%E4%B9%A1/_blank" </w:instrText>
      </w:r>
      <w:r>
        <w:fldChar w:fldCharType="separate"/>
      </w:r>
      <w:r>
        <w:rPr>
          <w:kern w:val="0"/>
        </w:rPr>
        <w:t>绥宁县</w:t>
      </w:r>
      <w:r>
        <w:rPr>
          <w:kern w:val="0"/>
        </w:rPr>
        <w:fldChar w:fldCharType="end"/>
      </w:r>
      <w:r>
        <w:rPr>
          <w:kern w:val="0"/>
        </w:rPr>
        <w:t>东南部，西邻</w:t>
      </w:r>
      <w:r>
        <w:fldChar w:fldCharType="begin"/>
      </w:r>
      <w:r>
        <w:instrText xml:space="preserve"> HYPERLINK "https://baike.baidu.com/item/%E9%95%BF%E9%93%BA%E5%AD%90%E8%8B%97%E6%97%8F%E4%B9%A1/5752808" \t "https://baike.baidu.com/item/%E5%85%B3%E5%B3%A1%E8%8B%97%E6%97%8F%E4%B9%A1/_blank" </w:instrText>
      </w:r>
      <w:r>
        <w:fldChar w:fldCharType="separate"/>
      </w:r>
      <w:r>
        <w:rPr>
          <w:kern w:val="0"/>
        </w:rPr>
        <w:t>长铺子苗族乡</w:t>
      </w:r>
      <w:r>
        <w:rPr>
          <w:kern w:val="0"/>
        </w:rPr>
        <w:fldChar w:fldCharType="end"/>
      </w:r>
      <w:r>
        <w:rPr>
          <w:kern w:val="0"/>
        </w:rPr>
        <w:t>和县堡子岭林场，东南接</w:t>
      </w:r>
      <w:r>
        <w:fldChar w:fldCharType="begin"/>
      </w:r>
      <w:r>
        <w:instrText xml:space="preserve"> HYPERLINK "https://baike.baidu.com/item/%E5%9F%8E%E6%AD%A5%E8%8B%97%E6%97%8F%E8%87%AA%E6%B2%BB%E5%8E%BF/10369095" \t "https://baike.baidu.com/item/%E5%85%B3%E5%B3%A1%E8%8B%97%E6%97%8F%E4%B9%A1/_blank" </w:instrText>
      </w:r>
      <w:r>
        <w:fldChar w:fldCharType="separate"/>
      </w:r>
      <w:r>
        <w:rPr>
          <w:kern w:val="0"/>
        </w:rPr>
        <w:t>城步苗族自治县</w:t>
      </w:r>
      <w:r>
        <w:rPr>
          <w:kern w:val="0"/>
        </w:rPr>
        <w:fldChar w:fldCharType="end"/>
      </w:r>
      <w:r>
        <w:rPr>
          <w:kern w:val="0"/>
        </w:rPr>
        <w:t>，北连</w:t>
      </w:r>
      <w:r>
        <w:fldChar w:fldCharType="begin"/>
      </w:r>
      <w:r>
        <w:instrText xml:space="preserve"> HYPERLINK "https://baike.baidu.com/item/%E6%AD%A6%E9%98%B3%E9%95%87/10665622" \t "https://baike.baidu.com/item/%E5%85%B3%E5%B3%A1%E8%8B%97%E6%97%8F%E4%B9%A1/_blank" </w:instrText>
      </w:r>
      <w:r>
        <w:fldChar w:fldCharType="separate"/>
      </w:r>
      <w:r>
        <w:rPr>
          <w:kern w:val="0"/>
        </w:rPr>
        <w:t>武阳镇</w:t>
      </w:r>
      <w:r>
        <w:rPr>
          <w:kern w:val="0"/>
        </w:rPr>
        <w:fldChar w:fldCharType="end"/>
      </w:r>
      <w:r>
        <w:rPr>
          <w:kern w:val="0"/>
        </w:rPr>
        <w:t>和</w:t>
      </w:r>
      <w:r>
        <w:fldChar w:fldCharType="begin"/>
      </w:r>
      <w:r>
        <w:instrText xml:space="preserve"> HYPERLINK "https://baike.baidu.com/item/%E7%99%BD%E7%8E%89%E4%B9%A1/15868170" \t "https://baike.baidu.com/item/%E5%85%B3%E5%B3%A1%E8%8B%97%E6%97%8F%E4%B9%A1/_blank" </w:instrText>
      </w:r>
      <w:r>
        <w:fldChar w:fldCharType="separate"/>
      </w:r>
      <w:r>
        <w:rPr>
          <w:kern w:val="0"/>
        </w:rPr>
        <w:t>白玉乡</w:t>
      </w:r>
      <w:r>
        <w:rPr>
          <w:kern w:val="0"/>
        </w:rPr>
        <w:fldChar w:fldCharType="end"/>
      </w:r>
      <w:r>
        <w:rPr>
          <w:kern w:val="0"/>
        </w:rPr>
        <w:t>。乡政府驻地关峡村，距县城15公里。全乡总面积32.3万亩，其中耕地面积2.3万亩，森林面积22.69万亩。 水能蕴藏量大，活立木蓄积量35万立方米。据2017年统计数据，全乡共7049户，23910余人；少数民族占总人口的95.7%。</w:t>
      </w:r>
    </w:p>
    <w:p w14:paraId="0470494C">
      <w:pPr>
        <w:ind w:firstLine="480" w:firstLineChars="200"/>
        <w:rPr>
          <w:kern w:val="0"/>
        </w:rPr>
      </w:pPr>
      <w:r>
        <w:rPr>
          <w:kern w:val="0"/>
        </w:rPr>
        <w:t>绥宁县关峡水厂取水点（N：26°35′25.42″；E：110°17′10.15″）和制水区（取水口左岸东南侧，N：26°35′09.79″；E：110°17′28.73″）皆位于绥宁县关峡苗族乡插柳村（取水点位于制水区北侧下坡约30米处），水厂南面紧邻省道S248，距离绥宁县县城约1</w:t>
      </w:r>
      <w:r>
        <w:rPr>
          <w:rFonts w:hint="eastAsia"/>
          <w:kern w:val="0"/>
        </w:rPr>
        <w:t>7</w:t>
      </w:r>
      <w:r>
        <w:rPr>
          <w:kern w:val="0"/>
        </w:rPr>
        <w:t>Km</w:t>
      </w:r>
      <w:r>
        <w:rPr>
          <w:rFonts w:hint="eastAsia"/>
          <w:kern w:val="0"/>
        </w:rPr>
        <w:t>，取水口距巫水约8km</w:t>
      </w:r>
      <w:r>
        <w:rPr>
          <w:kern w:val="0"/>
        </w:rPr>
        <w:t>。取水水源类型为河流（兰溪水，巫水一级支流），取水方式为提水。</w:t>
      </w:r>
    </w:p>
    <w:p w14:paraId="489ED7AF">
      <w:pPr>
        <w:ind w:firstLine="480" w:firstLineChars="200"/>
        <w:rPr>
          <w:kern w:val="0"/>
        </w:rPr>
      </w:pPr>
      <w:r>
        <w:rPr>
          <w:kern w:val="0"/>
        </w:rPr>
        <w:t>绥宁县关峡水厂投资金额为1047.25万元，于2014年12月开工建设，2016年6月建成运营。关峡水厂是国家饮水安全项目，水厂年取水量为53.61万m</w:t>
      </w:r>
      <w:r>
        <w:rPr>
          <w:kern w:val="0"/>
          <w:vertAlign w:val="superscript"/>
        </w:rPr>
        <w:t>3</w:t>
      </w:r>
      <w:r>
        <w:rPr>
          <w:kern w:val="0"/>
        </w:rPr>
        <w:t>，日最大取水量为1468m</w:t>
      </w:r>
      <w:r>
        <w:rPr>
          <w:kern w:val="0"/>
          <w:vertAlign w:val="superscript"/>
        </w:rPr>
        <w:t>3</w:t>
      </w:r>
      <w:r>
        <w:rPr>
          <w:kern w:val="0"/>
        </w:rPr>
        <w:t>，最高日供水规模1500m</w:t>
      </w:r>
      <w:r>
        <w:rPr>
          <w:kern w:val="0"/>
          <w:vertAlign w:val="superscript"/>
        </w:rPr>
        <w:t>3</w:t>
      </w:r>
      <w:r>
        <w:rPr>
          <w:kern w:val="0"/>
        </w:rPr>
        <w:t>/d。供关峡乡关峡、大园、插柳村和湘商产业园居民饮用和生产使用，供水范围总面积为7.8 Km</w:t>
      </w:r>
      <w:r>
        <w:rPr>
          <w:kern w:val="0"/>
          <w:vertAlign w:val="superscript"/>
        </w:rPr>
        <w:t>2</w:t>
      </w:r>
      <w:r>
        <w:rPr>
          <w:kern w:val="0"/>
        </w:rPr>
        <w:t>，设计总供水人口为15146人</w:t>
      </w:r>
      <w:r>
        <w:rPr>
          <w:rFonts w:hint="eastAsia"/>
          <w:kern w:val="0"/>
        </w:rPr>
        <w:t>。</w:t>
      </w:r>
      <w:r>
        <w:rPr>
          <w:kern w:val="0"/>
        </w:rPr>
        <w:t>其地理位置详见附图2</w:t>
      </w:r>
      <w:r>
        <w:rPr>
          <w:rFonts w:hint="eastAsia"/>
          <w:kern w:val="0"/>
        </w:rPr>
        <w:t>，其</w:t>
      </w:r>
      <w:r>
        <w:rPr>
          <w:kern w:val="0"/>
        </w:rPr>
        <w:t>工艺流程图见图1-2。</w:t>
      </w:r>
    </w:p>
    <w:p w14:paraId="669A635A">
      <w:pPr>
        <w:pStyle w:val="10"/>
        <w:ind w:firstLine="0"/>
        <w:jc w:val="center"/>
      </w:pPr>
      <w:r>
        <w:drawing>
          <wp:inline distT="0" distB="0" distL="0" distR="0">
            <wp:extent cx="4876800" cy="2124710"/>
            <wp:effectExtent l="0" t="0" r="0" b="8890"/>
            <wp:docPr id="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pic:cNvPicPr>
                      <a:picLocks noChangeAspect="1" noChangeArrowheads="1"/>
                    </pic:cNvPicPr>
                  </pic:nvPicPr>
                  <pic:blipFill>
                    <a:blip r:embed="rId17" cstate="print"/>
                    <a:srcRect t="8192" b="8536"/>
                    <a:stretch>
                      <a:fillRect/>
                    </a:stretch>
                  </pic:blipFill>
                  <pic:spPr>
                    <a:xfrm>
                      <a:off x="0" y="0"/>
                      <a:ext cx="4876800" cy="2124710"/>
                    </a:xfrm>
                    <a:prstGeom prst="rect">
                      <a:avLst/>
                    </a:prstGeom>
                    <a:noFill/>
                    <a:ln w="9525" cmpd="sng">
                      <a:noFill/>
                      <a:miter lim="800000"/>
                      <a:headEnd/>
                      <a:tailEnd/>
                    </a:ln>
                    <a:effectLst/>
                  </pic:spPr>
                </pic:pic>
              </a:graphicData>
            </a:graphic>
          </wp:inline>
        </w:drawing>
      </w:r>
    </w:p>
    <w:p w14:paraId="60F63FEB">
      <w:pPr>
        <w:pStyle w:val="10"/>
        <w:ind w:firstLine="0"/>
        <w:jc w:val="center"/>
      </w:pPr>
      <w:r>
        <w:rPr>
          <w:b/>
          <w:bCs/>
          <w:sz w:val="21"/>
          <w:szCs w:val="21"/>
        </w:rPr>
        <w:t>图1-2  绥宁县</w:t>
      </w:r>
      <w:r>
        <w:rPr>
          <w:rFonts w:hint="eastAsia"/>
          <w:b/>
          <w:bCs/>
          <w:sz w:val="21"/>
          <w:szCs w:val="21"/>
        </w:rPr>
        <w:t>关峡</w:t>
      </w:r>
      <w:r>
        <w:rPr>
          <w:b/>
          <w:bCs/>
          <w:sz w:val="21"/>
          <w:szCs w:val="21"/>
        </w:rPr>
        <w:t>水厂工艺流程图</w:t>
      </w:r>
    </w:p>
    <w:p w14:paraId="23AA75B1">
      <w:pPr>
        <w:pStyle w:val="10"/>
        <w:ind w:firstLine="480"/>
      </w:pPr>
      <w:r>
        <w:rPr>
          <w:kern w:val="0"/>
        </w:rPr>
        <w:t>关峡水厂处理工艺为混凝沉淀、过滤、消毒等。水厂供水管网材质为铸铁，主管径DN300，往北连接插柳村，往南连接湘商产业园、关峡和大园村；次管径DN100-200，再连接至用户。绥宁县</w:t>
      </w:r>
      <w:r>
        <w:rPr>
          <w:rFonts w:hint="eastAsia"/>
          <w:kern w:val="0"/>
        </w:rPr>
        <w:t>关峡</w:t>
      </w:r>
      <w:r>
        <w:rPr>
          <w:kern w:val="0"/>
        </w:rPr>
        <w:t>水厂</w:t>
      </w:r>
      <w:r>
        <w:rPr>
          <w:rFonts w:hint="eastAsia"/>
          <w:kern w:val="0"/>
        </w:rPr>
        <w:t>无深度处理工艺。</w:t>
      </w:r>
    </w:p>
    <w:bookmarkEnd w:id="56"/>
    <w:p w14:paraId="4F44F914">
      <w:pPr>
        <w:spacing w:before="120" w:after="120"/>
        <w:outlineLvl w:val="1"/>
        <w:rPr>
          <w:kern w:val="0"/>
        </w:rPr>
      </w:pPr>
      <w:bookmarkStart w:id="57" w:name="_Toc492841612"/>
      <w:bookmarkStart w:id="58" w:name="_Toc25354"/>
      <w:bookmarkStart w:id="59" w:name="_Toc28925"/>
      <w:bookmarkStart w:id="60" w:name="_Toc2795_WPSOffice_Level2"/>
      <w:bookmarkStart w:id="61" w:name="_Toc26712"/>
      <w:r>
        <w:rPr>
          <w:b/>
          <w:sz w:val="28"/>
          <w:szCs w:val="28"/>
        </w:rPr>
        <w:t>1.</w:t>
      </w:r>
      <w:r>
        <w:rPr>
          <w:rFonts w:hint="eastAsia"/>
          <w:b/>
          <w:sz w:val="28"/>
          <w:szCs w:val="28"/>
        </w:rPr>
        <w:t>7</w:t>
      </w:r>
      <w:r>
        <w:rPr>
          <w:b/>
          <w:sz w:val="28"/>
          <w:szCs w:val="28"/>
        </w:rPr>
        <w:t>保护区位置、保护区类型、供水情况及保护区定界</w:t>
      </w:r>
      <w:bookmarkEnd w:id="57"/>
      <w:bookmarkEnd w:id="58"/>
      <w:bookmarkEnd w:id="59"/>
      <w:bookmarkEnd w:id="60"/>
      <w:bookmarkEnd w:id="61"/>
    </w:p>
    <w:p w14:paraId="43893A0E">
      <w:pPr>
        <w:ind w:firstLine="480" w:firstLineChars="200"/>
        <w:rPr>
          <w:kern w:val="0"/>
        </w:rPr>
        <w:sectPr>
          <w:headerReference r:id="rId6" w:type="default"/>
          <w:footerReference r:id="rId7" w:type="default"/>
          <w:pgSz w:w="11906" w:h="16838"/>
          <w:pgMar w:top="1440" w:right="1797" w:bottom="1440" w:left="1797" w:header="709" w:footer="709" w:gutter="0"/>
          <w:pgNumType w:start="1"/>
          <w:cols w:space="720" w:num="1"/>
          <w:docGrid w:linePitch="360" w:charSpace="0"/>
        </w:sectPr>
      </w:pPr>
      <w:r>
        <w:rPr>
          <w:kern w:val="0"/>
        </w:rPr>
        <w:t>根据</w:t>
      </w:r>
      <w:r>
        <w:rPr>
          <w:rFonts w:hint="eastAsia"/>
          <w:kern w:val="0"/>
        </w:rPr>
        <w:t>湖南省生态环境厅划定关峡乡兰溪水水源地为乡镇级“千吨万人”集中式饮用水水源保护区的文件（湘环函〔2019〕231号）</w:t>
      </w:r>
      <w:r>
        <w:rPr>
          <w:kern w:val="0"/>
        </w:rPr>
        <w:t>和绥宁县人民政府委托</w:t>
      </w:r>
      <w:r>
        <w:rPr>
          <w:rFonts w:hint="eastAsia"/>
          <w:kern w:val="0"/>
        </w:rPr>
        <w:t>邵阳市生态环境局绥宁分局</w:t>
      </w:r>
      <w:r>
        <w:rPr>
          <w:kern w:val="0"/>
        </w:rPr>
        <w:t>编制的《邵阳市</w:t>
      </w:r>
      <w:r>
        <w:rPr>
          <w:rFonts w:hint="eastAsia"/>
          <w:kern w:val="0"/>
        </w:rPr>
        <w:t>绥宁县关峡苗族乡兰溪水饮用水水源地保护区</w:t>
      </w:r>
      <w:r>
        <w:rPr>
          <w:kern w:val="0"/>
        </w:rPr>
        <w:t>划分技术报告》，</w:t>
      </w:r>
      <w:r>
        <w:rPr>
          <w:rFonts w:hint="eastAsia"/>
          <w:kern w:val="0"/>
        </w:rPr>
        <w:t>绥宁县关峡苗族乡兰溪水饮用水水源地保护区</w:t>
      </w:r>
      <w:r>
        <w:rPr>
          <w:kern w:val="0"/>
        </w:rPr>
        <w:t>取水口地理位置、饮用水源保护区类型、使用状况、服务区域、服务人口、设计供水能力见表1-</w:t>
      </w:r>
      <w:r>
        <w:rPr>
          <w:rFonts w:hint="eastAsia"/>
          <w:kern w:val="0"/>
        </w:rPr>
        <w:t>4</w:t>
      </w:r>
      <w:r>
        <w:rPr>
          <w:kern w:val="0"/>
        </w:rPr>
        <w:t>及附图2。水源地保护区定界见表1-</w:t>
      </w:r>
      <w:r>
        <w:rPr>
          <w:rFonts w:hint="eastAsia"/>
          <w:kern w:val="0"/>
        </w:rPr>
        <w:t>5</w:t>
      </w:r>
      <w:r>
        <w:rPr>
          <w:kern w:val="0"/>
        </w:rPr>
        <w:t>以及附图3。</w:t>
      </w:r>
    </w:p>
    <w:p w14:paraId="0225E607">
      <w:pPr>
        <w:adjustRightInd w:val="0"/>
        <w:snapToGrid w:val="0"/>
        <w:spacing w:line="240" w:lineRule="auto"/>
        <w:jc w:val="center"/>
        <w:rPr>
          <w:b/>
          <w:bCs/>
          <w:kern w:val="0"/>
          <w:sz w:val="22"/>
          <w:szCs w:val="22"/>
        </w:rPr>
      </w:pPr>
      <w:r>
        <w:rPr>
          <w:b/>
          <w:bCs/>
          <w:kern w:val="0"/>
          <w:sz w:val="22"/>
          <w:szCs w:val="22"/>
        </w:rPr>
        <w:t>表1-</w:t>
      </w:r>
      <w:r>
        <w:rPr>
          <w:rFonts w:hint="eastAsia"/>
          <w:b/>
          <w:bCs/>
          <w:kern w:val="0"/>
          <w:sz w:val="22"/>
          <w:szCs w:val="22"/>
        </w:rPr>
        <w:t>4</w:t>
      </w:r>
      <w:r>
        <w:rPr>
          <w:b/>
          <w:bCs/>
          <w:kern w:val="0"/>
          <w:sz w:val="22"/>
          <w:szCs w:val="22"/>
        </w:rPr>
        <w:t xml:space="preserve"> </w:t>
      </w:r>
      <w:r>
        <w:rPr>
          <w:rFonts w:hint="eastAsia"/>
          <w:b/>
          <w:bCs/>
          <w:sz w:val="22"/>
          <w:szCs w:val="22"/>
        </w:rPr>
        <w:t>绥宁县关峡苗族乡兰溪水饮用水水源地保护区</w:t>
      </w:r>
      <w:r>
        <w:rPr>
          <w:b/>
          <w:bCs/>
          <w:kern w:val="0"/>
          <w:sz w:val="22"/>
          <w:szCs w:val="22"/>
        </w:rPr>
        <w:t>基本信息表</w:t>
      </w:r>
    </w:p>
    <w:tbl>
      <w:tblPr>
        <w:tblStyle w:val="20"/>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28"/>
        <w:gridCol w:w="1596"/>
        <w:gridCol w:w="1728"/>
        <w:gridCol w:w="1585"/>
        <w:gridCol w:w="692"/>
        <w:gridCol w:w="1999"/>
        <w:gridCol w:w="1877"/>
        <w:gridCol w:w="1407"/>
        <w:gridCol w:w="1403"/>
        <w:gridCol w:w="1033"/>
      </w:tblGrid>
      <w:tr w14:paraId="365F90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2" w:hRule="atLeast"/>
          <w:jc w:val="center"/>
        </w:trPr>
        <w:tc>
          <w:tcPr>
            <w:tcW w:w="628" w:type="dxa"/>
            <w:tcBorders>
              <w:tl2br w:val="nil"/>
              <w:tr2bl w:val="nil"/>
            </w:tcBorders>
            <w:vAlign w:val="center"/>
          </w:tcPr>
          <w:p w14:paraId="0B6F21B1">
            <w:pPr>
              <w:adjustRightInd w:val="0"/>
              <w:snapToGrid w:val="0"/>
              <w:spacing w:line="240" w:lineRule="auto"/>
              <w:jc w:val="center"/>
              <w:rPr>
                <w:b/>
                <w:bCs/>
                <w:color w:val="000000"/>
                <w:kern w:val="0"/>
                <w:sz w:val="21"/>
                <w:szCs w:val="21"/>
              </w:rPr>
            </w:pPr>
            <w:r>
              <w:rPr>
                <w:b/>
                <w:bCs/>
                <w:color w:val="000000"/>
                <w:kern w:val="0"/>
                <w:sz w:val="21"/>
                <w:szCs w:val="21"/>
              </w:rPr>
              <w:t>序号</w:t>
            </w:r>
          </w:p>
        </w:tc>
        <w:tc>
          <w:tcPr>
            <w:tcW w:w="1596" w:type="dxa"/>
            <w:tcBorders>
              <w:tl2br w:val="nil"/>
              <w:tr2bl w:val="nil"/>
            </w:tcBorders>
            <w:vAlign w:val="center"/>
          </w:tcPr>
          <w:p w14:paraId="18F6A16E">
            <w:pPr>
              <w:adjustRightInd w:val="0"/>
              <w:snapToGrid w:val="0"/>
              <w:spacing w:line="240" w:lineRule="auto"/>
              <w:jc w:val="center"/>
              <w:rPr>
                <w:b/>
                <w:bCs/>
                <w:color w:val="000000"/>
                <w:kern w:val="0"/>
                <w:sz w:val="21"/>
                <w:szCs w:val="21"/>
              </w:rPr>
            </w:pPr>
            <w:r>
              <w:rPr>
                <w:b/>
                <w:bCs/>
                <w:color w:val="000000"/>
                <w:kern w:val="0"/>
                <w:sz w:val="21"/>
                <w:szCs w:val="21"/>
              </w:rPr>
              <w:t>水源地保护区名称</w:t>
            </w:r>
          </w:p>
        </w:tc>
        <w:tc>
          <w:tcPr>
            <w:tcW w:w="1728" w:type="dxa"/>
            <w:tcBorders>
              <w:tl2br w:val="nil"/>
              <w:tr2bl w:val="nil"/>
            </w:tcBorders>
            <w:vAlign w:val="center"/>
          </w:tcPr>
          <w:p w14:paraId="4762448B">
            <w:pPr>
              <w:adjustRightInd w:val="0"/>
              <w:snapToGrid w:val="0"/>
              <w:spacing w:line="240" w:lineRule="auto"/>
              <w:jc w:val="center"/>
              <w:rPr>
                <w:b/>
                <w:bCs/>
                <w:color w:val="000000"/>
                <w:kern w:val="0"/>
                <w:sz w:val="21"/>
                <w:szCs w:val="21"/>
              </w:rPr>
            </w:pPr>
            <w:r>
              <w:rPr>
                <w:b/>
                <w:bCs/>
                <w:color w:val="000000"/>
                <w:kern w:val="0"/>
                <w:sz w:val="21"/>
                <w:szCs w:val="21"/>
              </w:rPr>
              <w:t>取水口地理坐标</w:t>
            </w:r>
          </w:p>
        </w:tc>
        <w:tc>
          <w:tcPr>
            <w:tcW w:w="1585" w:type="dxa"/>
            <w:tcBorders>
              <w:tl2br w:val="nil"/>
              <w:tr2bl w:val="nil"/>
            </w:tcBorders>
            <w:vAlign w:val="center"/>
          </w:tcPr>
          <w:p w14:paraId="4D0B246B">
            <w:pPr>
              <w:adjustRightInd w:val="0"/>
              <w:snapToGrid w:val="0"/>
              <w:spacing w:line="240" w:lineRule="auto"/>
              <w:jc w:val="center"/>
              <w:rPr>
                <w:b/>
                <w:bCs/>
                <w:color w:val="000000"/>
                <w:kern w:val="0"/>
                <w:sz w:val="21"/>
                <w:szCs w:val="21"/>
              </w:rPr>
            </w:pPr>
            <w:r>
              <w:rPr>
                <w:b/>
                <w:bCs/>
                <w:color w:val="000000"/>
                <w:kern w:val="0"/>
                <w:sz w:val="21"/>
                <w:szCs w:val="21"/>
              </w:rPr>
              <w:t>水源地保护区类型</w:t>
            </w:r>
          </w:p>
        </w:tc>
        <w:tc>
          <w:tcPr>
            <w:tcW w:w="692" w:type="dxa"/>
            <w:tcBorders>
              <w:tl2br w:val="nil"/>
              <w:tr2bl w:val="nil"/>
            </w:tcBorders>
            <w:vAlign w:val="center"/>
          </w:tcPr>
          <w:p w14:paraId="1C1C1507">
            <w:pPr>
              <w:adjustRightInd w:val="0"/>
              <w:snapToGrid w:val="0"/>
              <w:spacing w:line="240" w:lineRule="auto"/>
              <w:jc w:val="center"/>
              <w:rPr>
                <w:b/>
                <w:bCs/>
                <w:color w:val="000000"/>
                <w:kern w:val="0"/>
                <w:sz w:val="21"/>
                <w:szCs w:val="21"/>
              </w:rPr>
            </w:pPr>
            <w:r>
              <w:rPr>
                <w:b/>
                <w:bCs/>
                <w:color w:val="000000"/>
                <w:kern w:val="0"/>
                <w:sz w:val="21"/>
                <w:szCs w:val="21"/>
              </w:rPr>
              <w:t>使用状态</w:t>
            </w:r>
          </w:p>
        </w:tc>
        <w:tc>
          <w:tcPr>
            <w:tcW w:w="1999" w:type="dxa"/>
            <w:tcBorders>
              <w:tl2br w:val="nil"/>
              <w:tr2bl w:val="nil"/>
            </w:tcBorders>
            <w:vAlign w:val="center"/>
          </w:tcPr>
          <w:p w14:paraId="5A082F64">
            <w:pPr>
              <w:adjustRightInd w:val="0"/>
              <w:snapToGrid w:val="0"/>
              <w:spacing w:line="240" w:lineRule="auto"/>
              <w:jc w:val="center"/>
              <w:rPr>
                <w:b/>
                <w:bCs/>
                <w:color w:val="000000"/>
                <w:kern w:val="0"/>
                <w:sz w:val="21"/>
                <w:szCs w:val="21"/>
              </w:rPr>
            </w:pPr>
            <w:r>
              <w:rPr>
                <w:b/>
                <w:bCs/>
                <w:color w:val="000000"/>
                <w:kern w:val="0"/>
                <w:sz w:val="21"/>
                <w:szCs w:val="21"/>
              </w:rPr>
              <w:t>保护区所在城镇</w:t>
            </w:r>
          </w:p>
        </w:tc>
        <w:tc>
          <w:tcPr>
            <w:tcW w:w="1877" w:type="dxa"/>
            <w:tcBorders>
              <w:tl2br w:val="nil"/>
              <w:tr2bl w:val="nil"/>
            </w:tcBorders>
            <w:vAlign w:val="center"/>
          </w:tcPr>
          <w:p w14:paraId="2FEAD13E">
            <w:pPr>
              <w:adjustRightInd w:val="0"/>
              <w:snapToGrid w:val="0"/>
              <w:spacing w:line="240" w:lineRule="auto"/>
              <w:jc w:val="center"/>
              <w:rPr>
                <w:b/>
                <w:bCs/>
                <w:color w:val="000000"/>
                <w:kern w:val="0"/>
                <w:sz w:val="21"/>
                <w:szCs w:val="21"/>
              </w:rPr>
            </w:pPr>
            <w:r>
              <w:rPr>
                <w:b/>
                <w:bCs/>
                <w:color w:val="000000"/>
                <w:kern w:val="0"/>
                <w:sz w:val="21"/>
                <w:szCs w:val="21"/>
              </w:rPr>
              <w:t>服务区域</w:t>
            </w:r>
          </w:p>
        </w:tc>
        <w:tc>
          <w:tcPr>
            <w:tcW w:w="1407" w:type="dxa"/>
            <w:tcBorders>
              <w:tl2br w:val="nil"/>
              <w:tr2bl w:val="nil"/>
            </w:tcBorders>
            <w:vAlign w:val="center"/>
          </w:tcPr>
          <w:p w14:paraId="3B9AC7BC">
            <w:pPr>
              <w:adjustRightInd w:val="0"/>
              <w:snapToGrid w:val="0"/>
              <w:spacing w:line="240" w:lineRule="auto"/>
              <w:jc w:val="center"/>
              <w:rPr>
                <w:b/>
                <w:bCs/>
                <w:color w:val="000000"/>
                <w:kern w:val="0"/>
                <w:sz w:val="21"/>
                <w:szCs w:val="21"/>
              </w:rPr>
            </w:pPr>
            <w:r>
              <w:rPr>
                <w:b/>
                <w:bCs/>
                <w:color w:val="000000"/>
                <w:kern w:val="0"/>
                <w:sz w:val="21"/>
                <w:szCs w:val="21"/>
              </w:rPr>
              <w:t>服务人口（人）</w:t>
            </w:r>
          </w:p>
        </w:tc>
        <w:tc>
          <w:tcPr>
            <w:tcW w:w="1403" w:type="dxa"/>
            <w:tcBorders>
              <w:tl2br w:val="nil"/>
              <w:tr2bl w:val="nil"/>
            </w:tcBorders>
            <w:vAlign w:val="center"/>
          </w:tcPr>
          <w:p w14:paraId="304078A6">
            <w:pPr>
              <w:adjustRightInd w:val="0"/>
              <w:snapToGrid w:val="0"/>
              <w:spacing w:line="240" w:lineRule="auto"/>
              <w:jc w:val="center"/>
              <w:rPr>
                <w:b/>
                <w:bCs/>
                <w:color w:val="000000"/>
                <w:kern w:val="0"/>
                <w:sz w:val="21"/>
                <w:szCs w:val="21"/>
              </w:rPr>
            </w:pPr>
            <w:r>
              <w:rPr>
                <w:b/>
                <w:bCs/>
                <w:color w:val="000000"/>
                <w:kern w:val="0"/>
                <w:sz w:val="21"/>
                <w:szCs w:val="21"/>
              </w:rPr>
              <w:t>规划服务人口（人）</w:t>
            </w:r>
          </w:p>
        </w:tc>
        <w:tc>
          <w:tcPr>
            <w:tcW w:w="1033" w:type="dxa"/>
            <w:tcBorders>
              <w:tl2br w:val="nil"/>
              <w:tr2bl w:val="nil"/>
            </w:tcBorders>
            <w:vAlign w:val="center"/>
          </w:tcPr>
          <w:p w14:paraId="7EC50966">
            <w:pPr>
              <w:adjustRightInd w:val="0"/>
              <w:snapToGrid w:val="0"/>
              <w:spacing w:line="240" w:lineRule="auto"/>
              <w:jc w:val="center"/>
              <w:rPr>
                <w:b/>
                <w:bCs/>
              </w:rPr>
            </w:pPr>
            <w:r>
              <w:rPr>
                <w:b/>
                <w:bCs/>
                <w:color w:val="000000"/>
                <w:kern w:val="0"/>
                <w:sz w:val="21"/>
                <w:szCs w:val="21"/>
              </w:rPr>
              <w:t>设计供水能力（m</w:t>
            </w:r>
            <w:r>
              <w:rPr>
                <w:b/>
                <w:bCs/>
                <w:color w:val="000000"/>
                <w:kern w:val="0"/>
                <w:sz w:val="21"/>
                <w:szCs w:val="21"/>
                <w:vertAlign w:val="superscript"/>
              </w:rPr>
              <w:t>3</w:t>
            </w:r>
            <w:r>
              <w:rPr>
                <w:b/>
                <w:bCs/>
                <w:color w:val="000000"/>
                <w:kern w:val="0"/>
                <w:sz w:val="21"/>
                <w:szCs w:val="21"/>
              </w:rPr>
              <w:t>/d）</w:t>
            </w:r>
          </w:p>
        </w:tc>
      </w:tr>
      <w:tr w14:paraId="3B1CE5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34" w:hRule="atLeast"/>
          <w:jc w:val="center"/>
        </w:trPr>
        <w:tc>
          <w:tcPr>
            <w:tcW w:w="628" w:type="dxa"/>
            <w:tcBorders>
              <w:tl2br w:val="nil"/>
              <w:tr2bl w:val="nil"/>
            </w:tcBorders>
            <w:vAlign w:val="center"/>
          </w:tcPr>
          <w:p w14:paraId="7A118D2F">
            <w:pPr>
              <w:adjustRightInd w:val="0"/>
              <w:snapToGrid w:val="0"/>
              <w:spacing w:line="240" w:lineRule="auto"/>
              <w:jc w:val="center"/>
              <w:rPr>
                <w:color w:val="000000"/>
                <w:kern w:val="0"/>
                <w:sz w:val="21"/>
                <w:szCs w:val="21"/>
              </w:rPr>
            </w:pPr>
            <w:r>
              <w:rPr>
                <w:color w:val="000000"/>
                <w:kern w:val="0"/>
                <w:sz w:val="21"/>
                <w:szCs w:val="21"/>
              </w:rPr>
              <w:t>1</w:t>
            </w:r>
          </w:p>
        </w:tc>
        <w:tc>
          <w:tcPr>
            <w:tcW w:w="1596" w:type="dxa"/>
            <w:tcBorders>
              <w:tl2br w:val="nil"/>
              <w:tr2bl w:val="nil"/>
            </w:tcBorders>
            <w:vAlign w:val="center"/>
          </w:tcPr>
          <w:p w14:paraId="6E9BD31D">
            <w:pPr>
              <w:adjustRightInd w:val="0"/>
              <w:snapToGrid w:val="0"/>
              <w:spacing w:line="240" w:lineRule="auto"/>
              <w:jc w:val="center"/>
              <w:rPr>
                <w:color w:val="000000"/>
                <w:sz w:val="21"/>
                <w:szCs w:val="21"/>
              </w:rPr>
            </w:pPr>
            <w:r>
              <w:rPr>
                <w:rFonts w:hint="eastAsia"/>
                <w:color w:val="000000"/>
                <w:sz w:val="21"/>
                <w:szCs w:val="21"/>
              </w:rPr>
              <w:t>绥宁县关峡苗族乡兰溪水饮用水水源地保护区</w:t>
            </w:r>
          </w:p>
        </w:tc>
        <w:tc>
          <w:tcPr>
            <w:tcW w:w="1728" w:type="dxa"/>
            <w:tcBorders>
              <w:tl2br w:val="nil"/>
              <w:tr2bl w:val="nil"/>
            </w:tcBorders>
            <w:vAlign w:val="center"/>
          </w:tcPr>
          <w:p w14:paraId="67591250">
            <w:pPr>
              <w:adjustRightInd w:val="0"/>
              <w:snapToGrid w:val="0"/>
              <w:spacing w:line="240" w:lineRule="auto"/>
              <w:jc w:val="center"/>
              <w:rPr>
                <w:sz w:val="21"/>
                <w:szCs w:val="21"/>
              </w:rPr>
            </w:pPr>
            <w:r>
              <w:rPr>
                <w:sz w:val="21"/>
                <w:szCs w:val="21"/>
              </w:rPr>
              <w:t>N：26°35′25.42″</w:t>
            </w:r>
          </w:p>
          <w:p w14:paraId="049F4934">
            <w:pPr>
              <w:adjustRightInd w:val="0"/>
              <w:snapToGrid w:val="0"/>
              <w:spacing w:line="240" w:lineRule="auto"/>
              <w:jc w:val="center"/>
              <w:rPr>
                <w:sz w:val="21"/>
                <w:szCs w:val="21"/>
              </w:rPr>
            </w:pPr>
            <w:r>
              <w:rPr>
                <w:sz w:val="21"/>
                <w:szCs w:val="21"/>
              </w:rPr>
              <w:t>E：110°17′10.15″</w:t>
            </w:r>
          </w:p>
        </w:tc>
        <w:tc>
          <w:tcPr>
            <w:tcW w:w="1585" w:type="dxa"/>
            <w:tcBorders>
              <w:tl2br w:val="nil"/>
              <w:tr2bl w:val="nil"/>
            </w:tcBorders>
            <w:vAlign w:val="center"/>
          </w:tcPr>
          <w:p w14:paraId="4F94943C">
            <w:pPr>
              <w:adjustRightInd w:val="0"/>
              <w:snapToGrid w:val="0"/>
              <w:spacing w:line="240" w:lineRule="auto"/>
              <w:jc w:val="center"/>
              <w:rPr>
                <w:color w:val="000000"/>
                <w:sz w:val="21"/>
                <w:szCs w:val="21"/>
              </w:rPr>
            </w:pPr>
            <w:r>
              <w:rPr>
                <w:color w:val="000000"/>
                <w:sz w:val="21"/>
                <w:szCs w:val="21"/>
              </w:rPr>
              <w:t>河流型地表水</w:t>
            </w:r>
          </w:p>
        </w:tc>
        <w:tc>
          <w:tcPr>
            <w:tcW w:w="692" w:type="dxa"/>
            <w:tcBorders>
              <w:tl2br w:val="nil"/>
              <w:tr2bl w:val="nil"/>
            </w:tcBorders>
            <w:vAlign w:val="center"/>
          </w:tcPr>
          <w:p w14:paraId="603A7603">
            <w:pPr>
              <w:adjustRightInd w:val="0"/>
              <w:snapToGrid w:val="0"/>
              <w:spacing w:line="240" w:lineRule="auto"/>
              <w:jc w:val="center"/>
              <w:rPr>
                <w:color w:val="000000"/>
                <w:kern w:val="0"/>
                <w:sz w:val="21"/>
                <w:szCs w:val="21"/>
              </w:rPr>
            </w:pPr>
            <w:r>
              <w:rPr>
                <w:color w:val="000000"/>
                <w:kern w:val="0"/>
                <w:sz w:val="21"/>
                <w:szCs w:val="21"/>
              </w:rPr>
              <w:t>在用</w:t>
            </w:r>
          </w:p>
        </w:tc>
        <w:tc>
          <w:tcPr>
            <w:tcW w:w="1999" w:type="dxa"/>
            <w:tcBorders>
              <w:tl2br w:val="nil"/>
              <w:tr2bl w:val="nil"/>
            </w:tcBorders>
            <w:vAlign w:val="center"/>
          </w:tcPr>
          <w:p w14:paraId="03E86C99">
            <w:pPr>
              <w:adjustRightInd w:val="0"/>
              <w:snapToGrid w:val="0"/>
              <w:spacing w:line="240" w:lineRule="auto"/>
              <w:jc w:val="center"/>
              <w:rPr>
                <w:color w:val="000000"/>
                <w:kern w:val="0"/>
                <w:sz w:val="21"/>
                <w:szCs w:val="21"/>
              </w:rPr>
            </w:pPr>
            <w:r>
              <w:rPr>
                <w:rFonts w:hint="eastAsia"/>
                <w:color w:val="000000"/>
                <w:sz w:val="21"/>
                <w:szCs w:val="21"/>
              </w:rPr>
              <w:t>关峡苗族乡</w:t>
            </w:r>
          </w:p>
        </w:tc>
        <w:tc>
          <w:tcPr>
            <w:tcW w:w="1877" w:type="dxa"/>
            <w:tcBorders>
              <w:tl2br w:val="nil"/>
              <w:tr2bl w:val="nil"/>
            </w:tcBorders>
            <w:vAlign w:val="center"/>
          </w:tcPr>
          <w:p w14:paraId="618B35F6">
            <w:pPr>
              <w:adjustRightInd w:val="0"/>
              <w:snapToGrid w:val="0"/>
              <w:spacing w:line="240" w:lineRule="auto"/>
              <w:jc w:val="center"/>
              <w:rPr>
                <w:color w:val="000000"/>
                <w:sz w:val="21"/>
                <w:szCs w:val="21"/>
              </w:rPr>
            </w:pPr>
            <w:r>
              <w:rPr>
                <w:color w:val="000000"/>
                <w:sz w:val="21"/>
                <w:szCs w:val="21"/>
              </w:rPr>
              <w:t>关峡乡关峡、大园、插柳村和湘商产业园</w:t>
            </w:r>
          </w:p>
        </w:tc>
        <w:tc>
          <w:tcPr>
            <w:tcW w:w="1407" w:type="dxa"/>
            <w:tcBorders>
              <w:tl2br w:val="nil"/>
              <w:tr2bl w:val="nil"/>
            </w:tcBorders>
            <w:vAlign w:val="center"/>
          </w:tcPr>
          <w:p w14:paraId="574DBE96">
            <w:pPr>
              <w:adjustRightInd w:val="0"/>
              <w:snapToGrid w:val="0"/>
              <w:spacing w:line="240" w:lineRule="auto"/>
              <w:jc w:val="center"/>
              <w:rPr>
                <w:kern w:val="0"/>
                <w:sz w:val="21"/>
                <w:szCs w:val="21"/>
              </w:rPr>
            </w:pPr>
            <w:r>
              <w:rPr>
                <w:rFonts w:hint="eastAsia"/>
                <w:sz w:val="21"/>
                <w:szCs w:val="21"/>
              </w:rPr>
              <w:t>15146</w:t>
            </w:r>
          </w:p>
        </w:tc>
        <w:tc>
          <w:tcPr>
            <w:tcW w:w="1403" w:type="dxa"/>
            <w:tcBorders>
              <w:tl2br w:val="nil"/>
              <w:tr2bl w:val="nil"/>
            </w:tcBorders>
            <w:vAlign w:val="center"/>
          </w:tcPr>
          <w:p w14:paraId="240E0765">
            <w:pPr>
              <w:adjustRightInd w:val="0"/>
              <w:snapToGrid w:val="0"/>
              <w:spacing w:line="240" w:lineRule="auto"/>
              <w:jc w:val="center"/>
              <w:rPr>
                <w:color w:val="000000"/>
                <w:kern w:val="0"/>
                <w:sz w:val="21"/>
                <w:szCs w:val="21"/>
              </w:rPr>
            </w:pPr>
            <w:r>
              <w:rPr>
                <w:rFonts w:hint="eastAsia"/>
                <w:color w:val="000000"/>
                <w:kern w:val="0"/>
                <w:sz w:val="21"/>
                <w:szCs w:val="21"/>
              </w:rPr>
              <w:t>15000</w:t>
            </w:r>
          </w:p>
        </w:tc>
        <w:tc>
          <w:tcPr>
            <w:tcW w:w="1033" w:type="dxa"/>
            <w:tcBorders>
              <w:tl2br w:val="nil"/>
              <w:tr2bl w:val="nil"/>
            </w:tcBorders>
            <w:vAlign w:val="center"/>
          </w:tcPr>
          <w:p w14:paraId="3B4BF2C5">
            <w:pPr>
              <w:adjustRightInd w:val="0"/>
              <w:snapToGrid w:val="0"/>
              <w:spacing w:line="240" w:lineRule="auto"/>
              <w:jc w:val="center"/>
            </w:pPr>
            <w:r>
              <w:rPr>
                <w:rFonts w:hint="eastAsia"/>
                <w:color w:val="000000"/>
                <w:kern w:val="0"/>
                <w:sz w:val="21"/>
                <w:szCs w:val="21"/>
              </w:rPr>
              <w:t>15</w:t>
            </w:r>
            <w:r>
              <w:rPr>
                <w:color w:val="000000"/>
                <w:kern w:val="0"/>
                <w:sz w:val="21"/>
                <w:szCs w:val="21"/>
              </w:rPr>
              <w:t>00</w:t>
            </w:r>
          </w:p>
        </w:tc>
      </w:tr>
    </w:tbl>
    <w:p w14:paraId="08EBCD71">
      <w:pPr>
        <w:ind w:firstLine="31680"/>
        <w:rPr>
          <w:kern w:val="0"/>
        </w:rPr>
      </w:pPr>
    </w:p>
    <w:p w14:paraId="67825543">
      <w:pPr>
        <w:adjustRightInd w:val="0"/>
        <w:snapToGrid w:val="0"/>
        <w:spacing w:line="240" w:lineRule="auto"/>
        <w:jc w:val="center"/>
        <w:rPr>
          <w:kern w:val="0"/>
        </w:rPr>
      </w:pPr>
    </w:p>
    <w:p w14:paraId="14926D13">
      <w:pPr>
        <w:adjustRightInd w:val="0"/>
        <w:snapToGrid w:val="0"/>
        <w:spacing w:line="240" w:lineRule="auto"/>
        <w:jc w:val="center"/>
        <w:rPr>
          <w:kern w:val="0"/>
        </w:rPr>
      </w:pPr>
      <w:r>
        <w:rPr>
          <w:b/>
          <w:bCs/>
          <w:kern w:val="0"/>
          <w:sz w:val="21"/>
          <w:szCs w:val="21"/>
        </w:rPr>
        <w:t>表1-</w:t>
      </w:r>
      <w:r>
        <w:rPr>
          <w:rFonts w:hint="eastAsia"/>
          <w:b/>
          <w:bCs/>
          <w:kern w:val="0"/>
          <w:sz w:val="21"/>
          <w:szCs w:val="21"/>
        </w:rPr>
        <w:t>5</w:t>
      </w:r>
      <w:r>
        <w:rPr>
          <w:b/>
          <w:bCs/>
          <w:kern w:val="0"/>
          <w:sz w:val="21"/>
          <w:szCs w:val="21"/>
        </w:rPr>
        <w:t xml:space="preserve"> </w:t>
      </w:r>
      <w:r>
        <w:rPr>
          <w:rFonts w:hint="eastAsia"/>
          <w:b/>
          <w:bCs/>
          <w:sz w:val="21"/>
          <w:szCs w:val="21"/>
        </w:rPr>
        <w:t>绥宁县关峡苗族乡兰溪水饮用水水源地保护区</w:t>
      </w:r>
      <w:r>
        <w:rPr>
          <w:b/>
          <w:bCs/>
          <w:kern w:val="0"/>
          <w:sz w:val="21"/>
          <w:szCs w:val="21"/>
        </w:rPr>
        <w:t>最终定界情况一览表</w:t>
      </w:r>
    </w:p>
    <w:tbl>
      <w:tblPr>
        <w:tblStyle w:val="20"/>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64"/>
        <w:gridCol w:w="1342"/>
        <w:gridCol w:w="5236"/>
        <w:gridCol w:w="5498"/>
        <w:gridCol w:w="1208"/>
      </w:tblGrid>
      <w:tr w14:paraId="247A46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4" w:hRule="atLeast"/>
          <w:jc w:val="center"/>
        </w:trPr>
        <w:tc>
          <w:tcPr>
            <w:tcW w:w="664" w:type="dxa"/>
            <w:tcBorders>
              <w:tl2br w:val="nil"/>
              <w:tr2bl w:val="nil"/>
            </w:tcBorders>
            <w:vAlign w:val="center"/>
          </w:tcPr>
          <w:p w14:paraId="511CE0E7">
            <w:pPr>
              <w:adjustRightInd w:val="0"/>
              <w:snapToGrid w:val="0"/>
              <w:spacing w:line="240" w:lineRule="auto"/>
              <w:jc w:val="center"/>
              <w:rPr>
                <w:b/>
                <w:bCs/>
                <w:color w:val="000000"/>
                <w:sz w:val="21"/>
                <w:szCs w:val="21"/>
              </w:rPr>
            </w:pPr>
            <w:r>
              <w:rPr>
                <w:b/>
                <w:bCs/>
                <w:color w:val="000000"/>
                <w:sz w:val="21"/>
                <w:szCs w:val="21"/>
              </w:rPr>
              <w:t>序号</w:t>
            </w:r>
          </w:p>
        </w:tc>
        <w:tc>
          <w:tcPr>
            <w:tcW w:w="1342" w:type="dxa"/>
            <w:tcBorders>
              <w:tl2br w:val="nil"/>
              <w:tr2bl w:val="nil"/>
            </w:tcBorders>
            <w:vAlign w:val="center"/>
          </w:tcPr>
          <w:p w14:paraId="71377052">
            <w:pPr>
              <w:adjustRightInd w:val="0"/>
              <w:snapToGrid w:val="0"/>
              <w:spacing w:line="240" w:lineRule="auto"/>
              <w:jc w:val="center"/>
              <w:rPr>
                <w:b/>
                <w:bCs/>
                <w:color w:val="000000"/>
                <w:sz w:val="21"/>
                <w:szCs w:val="21"/>
              </w:rPr>
            </w:pPr>
            <w:r>
              <w:rPr>
                <w:b/>
                <w:bCs/>
                <w:color w:val="000000"/>
                <w:kern w:val="0"/>
                <w:sz w:val="21"/>
                <w:szCs w:val="21"/>
              </w:rPr>
              <w:t>水源地保护区名称</w:t>
            </w:r>
          </w:p>
        </w:tc>
        <w:tc>
          <w:tcPr>
            <w:tcW w:w="5236" w:type="dxa"/>
            <w:tcBorders>
              <w:tl2br w:val="nil"/>
              <w:tr2bl w:val="nil"/>
            </w:tcBorders>
            <w:vAlign w:val="center"/>
          </w:tcPr>
          <w:p w14:paraId="1D17E716">
            <w:pPr>
              <w:adjustRightInd w:val="0"/>
              <w:snapToGrid w:val="0"/>
              <w:spacing w:line="240" w:lineRule="auto"/>
              <w:jc w:val="center"/>
              <w:rPr>
                <w:b/>
                <w:bCs/>
                <w:color w:val="000000"/>
                <w:sz w:val="21"/>
                <w:szCs w:val="21"/>
              </w:rPr>
            </w:pPr>
            <w:r>
              <w:rPr>
                <w:b/>
                <w:bCs/>
                <w:color w:val="000000"/>
                <w:sz w:val="21"/>
                <w:szCs w:val="21"/>
              </w:rPr>
              <w:t>水源地一级保护区</w:t>
            </w:r>
          </w:p>
        </w:tc>
        <w:tc>
          <w:tcPr>
            <w:tcW w:w="5498" w:type="dxa"/>
            <w:tcBorders>
              <w:tl2br w:val="nil"/>
              <w:tr2bl w:val="nil"/>
            </w:tcBorders>
            <w:vAlign w:val="center"/>
          </w:tcPr>
          <w:p w14:paraId="2C1AF87E">
            <w:pPr>
              <w:adjustRightInd w:val="0"/>
              <w:snapToGrid w:val="0"/>
              <w:spacing w:line="240" w:lineRule="auto"/>
              <w:jc w:val="center"/>
              <w:rPr>
                <w:b/>
                <w:bCs/>
                <w:color w:val="000000"/>
                <w:sz w:val="21"/>
                <w:szCs w:val="21"/>
              </w:rPr>
            </w:pPr>
            <w:r>
              <w:rPr>
                <w:b/>
                <w:bCs/>
                <w:color w:val="000000"/>
                <w:sz w:val="21"/>
                <w:szCs w:val="21"/>
              </w:rPr>
              <w:t>水源地二级保护区</w:t>
            </w:r>
          </w:p>
        </w:tc>
        <w:tc>
          <w:tcPr>
            <w:tcW w:w="1208" w:type="dxa"/>
            <w:tcBorders>
              <w:tl2br w:val="nil"/>
              <w:tr2bl w:val="nil"/>
            </w:tcBorders>
            <w:vAlign w:val="center"/>
          </w:tcPr>
          <w:p w14:paraId="7A826A79">
            <w:pPr>
              <w:adjustRightInd w:val="0"/>
              <w:snapToGrid w:val="0"/>
              <w:spacing w:line="240" w:lineRule="auto"/>
              <w:jc w:val="center"/>
              <w:rPr>
                <w:b/>
                <w:bCs/>
                <w:color w:val="000000"/>
                <w:sz w:val="21"/>
                <w:szCs w:val="21"/>
              </w:rPr>
            </w:pPr>
            <w:r>
              <w:rPr>
                <w:b/>
                <w:bCs/>
                <w:color w:val="000000"/>
                <w:sz w:val="21"/>
                <w:szCs w:val="21"/>
              </w:rPr>
              <w:t>准保护区</w:t>
            </w:r>
          </w:p>
        </w:tc>
      </w:tr>
      <w:tr w14:paraId="6EF30C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41" w:hRule="atLeast"/>
          <w:jc w:val="center"/>
        </w:trPr>
        <w:tc>
          <w:tcPr>
            <w:tcW w:w="664" w:type="dxa"/>
            <w:tcBorders>
              <w:tl2br w:val="nil"/>
              <w:tr2bl w:val="nil"/>
            </w:tcBorders>
            <w:vAlign w:val="center"/>
          </w:tcPr>
          <w:p w14:paraId="03D78421">
            <w:pPr>
              <w:adjustRightInd w:val="0"/>
              <w:snapToGrid w:val="0"/>
              <w:spacing w:line="240" w:lineRule="auto"/>
              <w:jc w:val="center"/>
              <w:rPr>
                <w:color w:val="000000"/>
                <w:sz w:val="21"/>
                <w:szCs w:val="21"/>
              </w:rPr>
            </w:pPr>
            <w:r>
              <w:rPr>
                <w:color w:val="000000"/>
                <w:sz w:val="21"/>
                <w:szCs w:val="21"/>
              </w:rPr>
              <w:t>1</w:t>
            </w:r>
          </w:p>
        </w:tc>
        <w:tc>
          <w:tcPr>
            <w:tcW w:w="1342" w:type="dxa"/>
            <w:tcBorders>
              <w:tl2br w:val="nil"/>
              <w:tr2bl w:val="nil"/>
            </w:tcBorders>
            <w:vAlign w:val="center"/>
          </w:tcPr>
          <w:p w14:paraId="346A8ACD">
            <w:pPr>
              <w:adjustRightInd w:val="0"/>
              <w:snapToGrid w:val="0"/>
              <w:spacing w:line="240" w:lineRule="auto"/>
              <w:jc w:val="center"/>
              <w:rPr>
                <w:color w:val="000000"/>
                <w:sz w:val="21"/>
                <w:szCs w:val="21"/>
              </w:rPr>
            </w:pPr>
            <w:r>
              <w:rPr>
                <w:rFonts w:hint="eastAsia"/>
                <w:color w:val="000000"/>
                <w:sz w:val="21"/>
                <w:szCs w:val="21"/>
              </w:rPr>
              <w:t>绥宁县关峡苗族乡兰溪水饮用水水源地保护区</w:t>
            </w:r>
          </w:p>
        </w:tc>
        <w:tc>
          <w:tcPr>
            <w:tcW w:w="5236" w:type="dxa"/>
            <w:tcBorders>
              <w:tl2br w:val="nil"/>
              <w:tr2bl w:val="nil"/>
            </w:tcBorders>
            <w:vAlign w:val="center"/>
          </w:tcPr>
          <w:p w14:paraId="604CC2BA">
            <w:pPr>
              <w:adjustRightInd w:val="0"/>
              <w:snapToGrid w:val="0"/>
              <w:spacing w:line="240" w:lineRule="auto"/>
              <w:jc w:val="center"/>
              <w:rPr>
                <w:color w:val="000000"/>
                <w:sz w:val="21"/>
                <w:szCs w:val="21"/>
              </w:rPr>
            </w:pPr>
            <w:r>
              <w:rPr>
                <w:color w:val="000000"/>
                <w:sz w:val="21"/>
                <w:szCs w:val="21"/>
              </w:rPr>
              <w:t>一级水域：关峡水厂一级水域保护区水域长度为取水口上游330m，下游30m。</w:t>
            </w:r>
            <w:r>
              <w:rPr>
                <w:rFonts w:hint="eastAsia"/>
                <w:color w:val="000000"/>
                <w:sz w:val="21"/>
                <w:szCs w:val="21"/>
              </w:rPr>
              <w:t>面积约为8000m</w:t>
            </w:r>
            <w:r>
              <w:rPr>
                <w:rFonts w:hint="eastAsia"/>
                <w:color w:val="000000"/>
                <w:sz w:val="21"/>
                <w:szCs w:val="21"/>
                <w:vertAlign w:val="superscript"/>
              </w:rPr>
              <w:t>2</w:t>
            </w:r>
            <w:r>
              <w:rPr>
                <w:rFonts w:hint="eastAsia"/>
                <w:color w:val="000000"/>
                <w:sz w:val="21"/>
                <w:szCs w:val="21"/>
              </w:rPr>
              <w:t>。</w:t>
            </w:r>
          </w:p>
          <w:p w14:paraId="44803CC3">
            <w:pPr>
              <w:adjustRightInd w:val="0"/>
              <w:snapToGrid w:val="0"/>
              <w:spacing w:line="240" w:lineRule="auto"/>
              <w:jc w:val="center"/>
              <w:rPr>
                <w:color w:val="000000"/>
                <w:sz w:val="21"/>
                <w:szCs w:val="21"/>
              </w:rPr>
            </w:pPr>
          </w:p>
          <w:p w14:paraId="6848478B">
            <w:pPr>
              <w:adjustRightInd w:val="0"/>
              <w:snapToGrid w:val="0"/>
              <w:spacing w:line="240" w:lineRule="auto"/>
              <w:jc w:val="center"/>
              <w:rPr>
                <w:color w:val="000000"/>
                <w:sz w:val="21"/>
                <w:szCs w:val="21"/>
              </w:rPr>
            </w:pPr>
            <w:r>
              <w:rPr>
                <w:color w:val="000000"/>
                <w:sz w:val="21"/>
                <w:szCs w:val="21"/>
              </w:rPr>
              <w:t>一级陆域：一级保护区水域边界向陆域纵深10米的陆域。</w:t>
            </w:r>
            <w:r>
              <w:rPr>
                <w:rFonts w:hint="eastAsia"/>
                <w:color w:val="000000"/>
                <w:sz w:val="21"/>
                <w:szCs w:val="21"/>
              </w:rPr>
              <w:t>面积约为16000m</w:t>
            </w:r>
            <w:r>
              <w:rPr>
                <w:rFonts w:hint="eastAsia"/>
                <w:color w:val="000000"/>
                <w:sz w:val="21"/>
                <w:szCs w:val="21"/>
                <w:vertAlign w:val="superscript"/>
              </w:rPr>
              <w:t>2</w:t>
            </w:r>
            <w:r>
              <w:rPr>
                <w:rFonts w:hint="eastAsia"/>
                <w:color w:val="000000"/>
                <w:sz w:val="21"/>
                <w:szCs w:val="21"/>
              </w:rPr>
              <w:t>。</w:t>
            </w:r>
          </w:p>
        </w:tc>
        <w:tc>
          <w:tcPr>
            <w:tcW w:w="5498" w:type="dxa"/>
            <w:tcBorders>
              <w:tl2br w:val="nil"/>
              <w:tr2bl w:val="nil"/>
            </w:tcBorders>
            <w:vAlign w:val="center"/>
          </w:tcPr>
          <w:p w14:paraId="61249EA7">
            <w:pPr>
              <w:adjustRightInd w:val="0"/>
              <w:snapToGrid w:val="0"/>
              <w:spacing w:line="240" w:lineRule="auto"/>
              <w:jc w:val="center"/>
              <w:rPr>
                <w:color w:val="000000"/>
                <w:sz w:val="21"/>
                <w:szCs w:val="21"/>
              </w:rPr>
            </w:pPr>
            <w:r>
              <w:rPr>
                <w:color w:val="000000"/>
                <w:sz w:val="21"/>
                <w:szCs w:val="21"/>
              </w:rPr>
              <w:t>二级水域：水域长度为一级水域保护区边界上游670m，下游外侧边界距一级保护区边界70m。</w:t>
            </w:r>
            <w:r>
              <w:rPr>
                <w:rFonts w:hint="eastAsia"/>
                <w:color w:val="000000"/>
                <w:sz w:val="21"/>
                <w:szCs w:val="21"/>
              </w:rPr>
              <w:t>面积约为18000m</w:t>
            </w:r>
            <w:r>
              <w:rPr>
                <w:rFonts w:hint="eastAsia"/>
                <w:color w:val="000000"/>
                <w:sz w:val="21"/>
                <w:szCs w:val="21"/>
                <w:vertAlign w:val="superscript"/>
              </w:rPr>
              <w:t>2</w:t>
            </w:r>
            <w:r>
              <w:rPr>
                <w:rFonts w:hint="eastAsia"/>
                <w:color w:val="000000"/>
                <w:sz w:val="21"/>
                <w:szCs w:val="21"/>
              </w:rPr>
              <w:t>。</w:t>
            </w:r>
          </w:p>
          <w:p w14:paraId="2DEDBADE">
            <w:pPr>
              <w:adjustRightInd w:val="0"/>
              <w:snapToGrid w:val="0"/>
              <w:spacing w:line="240" w:lineRule="auto"/>
              <w:jc w:val="center"/>
              <w:rPr>
                <w:color w:val="000000"/>
                <w:sz w:val="21"/>
                <w:szCs w:val="21"/>
              </w:rPr>
            </w:pPr>
          </w:p>
          <w:p w14:paraId="15627B6B">
            <w:pPr>
              <w:adjustRightInd w:val="0"/>
              <w:snapToGrid w:val="0"/>
              <w:spacing w:line="240" w:lineRule="auto"/>
              <w:jc w:val="center"/>
              <w:rPr>
                <w:color w:val="000000"/>
                <w:sz w:val="21"/>
                <w:szCs w:val="21"/>
              </w:rPr>
            </w:pPr>
            <w:r>
              <w:rPr>
                <w:color w:val="000000"/>
                <w:sz w:val="21"/>
                <w:szCs w:val="21"/>
              </w:rPr>
              <w:t>二级陆域：二级保护区水域边界向陆域纵深50米的陆域。在一级陆域保护区外侧，取一级保护区陆域边界向陆域纵深40米的陆域范围。</w:t>
            </w:r>
            <w:r>
              <w:rPr>
                <w:rFonts w:hint="eastAsia"/>
                <w:color w:val="000000"/>
                <w:sz w:val="21"/>
                <w:szCs w:val="21"/>
              </w:rPr>
              <w:t>面积约为170000m</w:t>
            </w:r>
            <w:r>
              <w:rPr>
                <w:rFonts w:hint="eastAsia"/>
                <w:color w:val="000000"/>
                <w:sz w:val="21"/>
                <w:szCs w:val="21"/>
                <w:vertAlign w:val="superscript"/>
              </w:rPr>
              <w:t>2</w:t>
            </w:r>
            <w:r>
              <w:rPr>
                <w:rFonts w:hint="eastAsia"/>
                <w:color w:val="000000"/>
                <w:sz w:val="21"/>
                <w:szCs w:val="21"/>
              </w:rPr>
              <w:t>。</w:t>
            </w:r>
          </w:p>
        </w:tc>
        <w:tc>
          <w:tcPr>
            <w:tcW w:w="1208" w:type="dxa"/>
            <w:tcBorders>
              <w:tl2br w:val="nil"/>
              <w:tr2bl w:val="nil"/>
            </w:tcBorders>
            <w:vAlign w:val="center"/>
          </w:tcPr>
          <w:p w14:paraId="3CA11688">
            <w:pPr>
              <w:adjustRightInd w:val="0"/>
              <w:snapToGrid w:val="0"/>
              <w:spacing w:line="240" w:lineRule="auto"/>
              <w:jc w:val="center"/>
              <w:rPr>
                <w:color w:val="000000"/>
                <w:sz w:val="21"/>
                <w:szCs w:val="21"/>
              </w:rPr>
            </w:pPr>
            <w:r>
              <w:rPr>
                <w:color w:val="000000"/>
                <w:sz w:val="21"/>
                <w:szCs w:val="21"/>
              </w:rPr>
              <w:t>不设置准保护区</w:t>
            </w:r>
          </w:p>
        </w:tc>
      </w:tr>
    </w:tbl>
    <w:p w14:paraId="346A0A5A">
      <w:pPr>
        <w:ind w:firstLine="31680"/>
        <w:rPr>
          <w:kern w:val="0"/>
        </w:rPr>
      </w:pPr>
    </w:p>
    <w:p w14:paraId="0C54A1E3">
      <w:pPr>
        <w:tabs>
          <w:tab w:val="left" w:pos="2571"/>
        </w:tabs>
        <w:jc w:val="left"/>
        <w:rPr>
          <w:kern w:val="0"/>
        </w:rPr>
        <w:sectPr>
          <w:pgSz w:w="16838" w:h="11906" w:orient="landscape"/>
          <w:pgMar w:top="1797" w:right="1440" w:bottom="1797" w:left="1440" w:header="709" w:footer="709" w:gutter="0"/>
          <w:cols w:space="720" w:num="1"/>
          <w:docGrid w:linePitch="360" w:charSpace="0"/>
        </w:sectPr>
      </w:pPr>
    </w:p>
    <w:p w14:paraId="0998D0B6">
      <w:pPr>
        <w:pStyle w:val="4"/>
      </w:pPr>
      <w:bookmarkStart w:id="62" w:name="_Toc492841613"/>
      <w:bookmarkStart w:id="63" w:name="_Toc1590"/>
      <w:bookmarkStart w:id="64" w:name="_Toc26638"/>
      <w:bookmarkStart w:id="65" w:name="_Toc20610_WPSOffice_Level2"/>
      <w:bookmarkStart w:id="66" w:name="_Toc20894"/>
      <w:r>
        <w:t>1.</w:t>
      </w:r>
      <w:r>
        <w:rPr>
          <w:rFonts w:hint="eastAsia"/>
        </w:rPr>
        <w:t>8</w:t>
      </w:r>
      <w:r>
        <w:t>保护区水质情况</w:t>
      </w:r>
      <w:bookmarkEnd w:id="62"/>
      <w:bookmarkEnd w:id="63"/>
      <w:bookmarkEnd w:id="64"/>
      <w:bookmarkEnd w:id="65"/>
      <w:bookmarkEnd w:id="66"/>
    </w:p>
    <w:p w14:paraId="524B78E9">
      <w:pPr>
        <w:pStyle w:val="5"/>
      </w:pPr>
      <w:bookmarkStart w:id="67" w:name="_Toc3775"/>
      <w:bookmarkStart w:id="68" w:name="_Toc1956"/>
      <w:r>
        <w:t>1.</w:t>
      </w:r>
      <w:r>
        <w:rPr>
          <w:rFonts w:hint="eastAsia"/>
        </w:rPr>
        <w:t>8</w:t>
      </w:r>
      <w:r>
        <w:t>.1现状水质状况</w:t>
      </w:r>
      <w:bookmarkEnd w:id="67"/>
      <w:bookmarkEnd w:id="68"/>
    </w:p>
    <w:p w14:paraId="076AF733">
      <w:pPr>
        <w:ind w:firstLine="480"/>
      </w:pPr>
      <w:r>
        <w:t>根据《地表水环境质量评价办法（试行）》规定，河流评价方法为水质评价。其中单个点位的水质评价按照断面水质评价方法进行。根据《地表水环境质量标准》（GB3838-2002）规定，集中式生活饮用水地表水源地水质评价的项目应包括表1中的基本项目、表2中的补充项目以及由县级以上人民政府环境保护行政主管部门从表3中选择确定的特定项目。</w:t>
      </w:r>
    </w:p>
    <w:p w14:paraId="39F876B1">
      <w:pPr>
        <w:ind w:firstLine="480" w:firstLineChars="200"/>
      </w:pPr>
      <w:r>
        <w:rPr>
          <w:rFonts w:hint="eastAsia"/>
        </w:rPr>
        <w:t>绥宁县关峡苗族乡兰溪水饮用水水源地保护区</w:t>
      </w:r>
      <w:r>
        <w:t>采样监测</w:t>
      </w:r>
      <w:r>
        <w:rPr>
          <w:rFonts w:hint="eastAsia"/>
        </w:rPr>
        <w:t>由</w:t>
      </w:r>
      <w:r>
        <w:t>绥宁县</w:t>
      </w:r>
      <w:r>
        <w:rPr>
          <w:rFonts w:hint="eastAsia"/>
        </w:rPr>
        <w:t>生态</w:t>
      </w:r>
      <w:r>
        <w:t>环境监测站</w:t>
      </w:r>
      <w:r>
        <w:rPr>
          <w:rFonts w:hint="eastAsia"/>
        </w:rPr>
        <w:t>负责。监测频次为</w:t>
      </w:r>
      <w:r>
        <w:t>每</w:t>
      </w:r>
      <w:r>
        <w:rPr>
          <w:rFonts w:hint="eastAsia"/>
        </w:rPr>
        <w:t>季度常规监测一次（63项监测因子）和</w:t>
      </w:r>
      <w:r>
        <w:t>每2年1次的全分析</w:t>
      </w:r>
      <w:r>
        <w:rPr>
          <w:rFonts w:hint="eastAsia"/>
        </w:rPr>
        <w:t>监测（</w:t>
      </w:r>
      <w:r>
        <w:t>109项</w:t>
      </w:r>
      <w:r>
        <w:rPr>
          <w:rFonts w:hint="eastAsia"/>
        </w:rPr>
        <w:t>监测因子）</w:t>
      </w:r>
      <w:r>
        <w:t>，水质监测点设置在水厂取水口上游100m。</w:t>
      </w:r>
    </w:p>
    <w:p w14:paraId="245B5403">
      <w:pPr>
        <w:ind w:firstLine="480"/>
      </w:pPr>
      <w:r>
        <w:t>根据2020</w:t>
      </w:r>
      <w:r>
        <w:rPr>
          <w:rFonts w:hint="eastAsia"/>
        </w:rPr>
        <w:t>-2023</w:t>
      </w:r>
      <w:r>
        <w:t>年水质监测情况可知，</w:t>
      </w:r>
      <w:r>
        <w:rPr>
          <w:rFonts w:hint="eastAsia"/>
        </w:rPr>
        <w:t>绥宁县关峡苗族乡兰溪水饮用水水源地保护区</w:t>
      </w:r>
      <w:r>
        <w:rPr>
          <w:rFonts w:hint="eastAsia" w:ascii="宋体" w:hAnsi="宋体"/>
        </w:rPr>
        <w:t>水质</w:t>
      </w:r>
      <w:r>
        <w:rPr>
          <w:rFonts w:hint="eastAsia"/>
        </w:rPr>
        <w:t>均</w:t>
      </w:r>
      <w:r>
        <w:t>达到《地表水环境质量标准》（GB3838-2002）Ⅲ类标准。</w:t>
      </w:r>
      <w:r>
        <w:rPr>
          <w:rFonts w:hint="eastAsia"/>
        </w:rPr>
        <w:t>补充数据见2.3.1章节。</w:t>
      </w:r>
    </w:p>
    <w:p w14:paraId="349ACEF2">
      <w:pPr>
        <w:pStyle w:val="5"/>
      </w:pPr>
      <w:bookmarkStart w:id="69" w:name="_Toc6976"/>
      <w:bookmarkStart w:id="70" w:name="_Toc30190"/>
      <w:r>
        <w:t>1.</w:t>
      </w:r>
      <w:r>
        <w:rPr>
          <w:rFonts w:hint="eastAsia"/>
        </w:rPr>
        <w:t>8</w:t>
      </w:r>
      <w:r>
        <w:t>.2水质现状分析</w:t>
      </w:r>
      <w:bookmarkEnd w:id="69"/>
      <w:bookmarkEnd w:id="70"/>
    </w:p>
    <w:p w14:paraId="46474123">
      <w:pPr>
        <w:ind w:firstLine="480"/>
      </w:pPr>
      <w:bookmarkStart w:id="71" w:name="_Toc492841614"/>
      <w:bookmarkStart w:id="72" w:name="_Toc471199919"/>
      <w:r>
        <w:t>河流断面水质类别评价采用单因子评价法，即根据评价时段内该断面参评的指标中类别最高的一项来确定。描述断面的水质类别时，使用“符合”或“劣于”等词语。断面水质类别与水质定性评价分级的对应关系见下表。</w:t>
      </w:r>
    </w:p>
    <w:p w14:paraId="6AE0A733">
      <w:pPr>
        <w:pStyle w:val="56"/>
      </w:pPr>
      <w:r>
        <w:t>表1-</w:t>
      </w:r>
      <w:r>
        <w:rPr>
          <w:rFonts w:hint="eastAsia"/>
        </w:rPr>
        <w:t>6</w:t>
      </w:r>
      <w:r>
        <w:t xml:space="preserve"> 断面水质定性评价</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232"/>
        <w:gridCol w:w="1232"/>
        <w:gridCol w:w="5013"/>
      </w:tblGrid>
      <w:tr w14:paraId="0E84B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563" w:type="dxa"/>
            <w:tcBorders>
              <w:top w:val="single" w:color="auto" w:sz="12" w:space="0"/>
            </w:tcBorders>
            <w:vAlign w:val="center"/>
          </w:tcPr>
          <w:p w14:paraId="5A6D4431">
            <w:pPr>
              <w:pStyle w:val="69"/>
              <w:rPr>
                <w:b/>
                <w:bCs/>
              </w:rPr>
            </w:pPr>
            <w:r>
              <w:rPr>
                <w:b/>
                <w:bCs/>
              </w:rPr>
              <w:t>水质类别</w:t>
            </w:r>
          </w:p>
        </w:tc>
        <w:tc>
          <w:tcPr>
            <w:tcW w:w="1232" w:type="dxa"/>
            <w:tcBorders>
              <w:top w:val="single" w:color="auto" w:sz="12" w:space="0"/>
            </w:tcBorders>
            <w:vAlign w:val="center"/>
          </w:tcPr>
          <w:p w14:paraId="7B9E56AD">
            <w:pPr>
              <w:pStyle w:val="69"/>
              <w:rPr>
                <w:b/>
                <w:bCs/>
              </w:rPr>
            </w:pPr>
            <w:r>
              <w:rPr>
                <w:b/>
                <w:bCs/>
              </w:rPr>
              <w:t>水质状况</w:t>
            </w:r>
          </w:p>
        </w:tc>
        <w:tc>
          <w:tcPr>
            <w:tcW w:w="1232" w:type="dxa"/>
            <w:tcBorders>
              <w:top w:val="single" w:color="auto" w:sz="12" w:space="0"/>
            </w:tcBorders>
            <w:vAlign w:val="center"/>
          </w:tcPr>
          <w:p w14:paraId="32A7F473">
            <w:pPr>
              <w:pStyle w:val="69"/>
              <w:rPr>
                <w:b/>
                <w:bCs/>
              </w:rPr>
            </w:pPr>
            <w:r>
              <w:rPr>
                <w:b/>
                <w:bCs/>
              </w:rPr>
              <w:t>表征颜色</w:t>
            </w:r>
          </w:p>
        </w:tc>
        <w:tc>
          <w:tcPr>
            <w:tcW w:w="5013" w:type="dxa"/>
            <w:tcBorders>
              <w:top w:val="single" w:color="auto" w:sz="12" w:space="0"/>
            </w:tcBorders>
            <w:vAlign w:val="center"/>
          </w:tcPr>
          <w:p w14:paraId="41D3F02B">
            <w:pPr>
              <w:pStyle w:val="69"/>
              <w:rPr>
                <w:b/>
                <w:bCs/>
              </w:rPr>
            </w:pPr>
            <w:r>
              <w:rPr>
                <w:b/>
                <w:bCs/>
              </w:rPr>
              <w:t>水质功能类别</w:t>
            </w:r>
          </w:p>
        </w:tc>
      </w:tr>
      <w:tr w14:paraId="3272B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7" w:hRule="atLeast"/>
          <w:jc w:val="center"/>
        </w:trPr>
        <w:tc>
          <w:tcPr>
            <w:tcW w:w="1563" w:type="dxa"/>
            <w:vAlign w:val="center"/>
          </w:tcPr>
          <w:p w14:paraId="17FF73CE">
            <w:pPr>
              <w:pStyle w:val="69"/>
            </w:pPr>
            <w:r>
              <w:t>Ⅰ～Ⅱ类水质</w:t>
            </w:r>
          </w:p>
        </w:tc>
        <w:tc>
          <w:tcPr>
            <w:tcW w:w="1232" w:type="dxa"/>
            <w:vAlign w:val="center"/>
          </w:tcPr>
          <w:p w14:paraId="7C4632F6">
            <w:pPr>
              <w:pStyle w:val="69"/>
            </w:pPr>
            <w:r>
              <w:t>优</w:t>
            </w:r>
          </w:p>
        </w:tc>
        <w:tc>
          <w:tcPr>
            <w:tcW w:w="1232" w:type="dxa"/>
            <w:vAlign w:val="center"/>
          </w:tcPr>
          <w:p w14:paraId="775D8A67">
            <w:pPr>
              <w:pStyle w:val="69"/>
            </w:pPr>
            <w:r>
              <w:t>蓝色</w:t>
            </w:r>
          </w:p>
        </w:tc>
        <w:tc>
          <w:tcPr>
            <w:tcW w:w="5013" w:type="dxa"/>
            <w:vAlign w:val="center"/>
          </w:tcPr>
          <w:p w14:paraId="06061421">
            <w:pPr>
              <w:pStyle w:val="69"/>
            </w:pPr>
            <w:r>
              <w:t>饮用水源地一级保护区、珍稀水生生物栖息地、鱼虾类产卵场、仔稚幼鱼的索饵场等</w:t>
            </w:r>
          </w:p>
        </w:tc>
      </w:tr>
      <w:tr w14:paraId="31DBD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563" w:type="dxa"/>
            <w:vAlign w:val="center"/>
          </w:tcPr>
          <w:p w14:paraId="05AFD0D3">
            <w:pPr>
              <w:pStyle w:val="69"/>
            </w:pPr>
            <w:r>
              <w:t>Ⅲ类水质</w:t>
            </w:r>
          </w:p>
        </w:tc>
        <w:tc>
          <w:tcPr>
            <w:tcW w:w="1232" w:type="dxa"/>
            <w:vAlign w:val="center"/>
          </w:tcPr>
          <w:p w14:paraId="1CCBD6A3">
            <w:pPr>
              <w:pStyle w:val="69"/>
            </w:pPr>
            <w:r>
              <w:t>良好</w:t>
            </w:r>
          </w:p>
        </w:tc>
        <w:tc>
          <w:tcPr>
            <w:tcW w:w="1232" w:type="dxa"/>
            <w:vAlign w:val="center"/>
          </w:tcPr>
          <w:p w14:paraId="1758EECF">
            <w:pPr>
              <w:pStyle w:val="69"/>
            </w:pPr>
            <w:r>
              <w:t>绿色</w:t>
            </w:r>
          </w:p>
        </w:tc>
        <w:tc>
          <w:tcPr>
            <w:tcW w:w="5013" w:type="dxa"/>
            <w:vAlign w:val="center"/>
          </w:tcPr>
          <w:p w14:paraId="35A0A421">
            <w:pPr>
              <w:pStyle w:val="69"/>
            </w:pPr>
            <w:r>
              <w:t>饮用水源地二级保护区、鱼虾类越冬场、洄游通道、水产养殖区、游泳区</w:t>
            </w:r>
          </w:p>
        </w:tc>
      </w:tr>
      <w:tr w14:paraId="0567CF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63" w:type="dxa"/>
            <w:vAlign w:val="center"/>
          </w:tcPr>
          <w:p w14:paraId="7216C9B7">
            <w:pPr>
              <w:pStyle w:val="69"/>
            </w:pPr>
            <w:r>
              <w:t>Ⅳ类水质</w:t>
            </w:r>
          </w:p>
        </w:tc>
        <w:tc>
          <w:tcPr>
            <w:tcW w:w="1232" w:type="dxa"/>
            <w:vAlign w:val="center"/>
          </w:tcPr>
          <w:p w14:paraId="4C7C5699">
            <w:pPr>
              <w:pStyle w:val="69"/>
            </w:pPr>
            <w:r>
              <w:t>轻度污染</w:t>
            </w:r>
          </w:p>
        </w:tc>
        <w:tc>
          <w:tcPr>
            <w:tcW w:w="1232" w:type="dxa"/>
            <w:vAlign w:val="center"/>
          </w:tcPr>
          <w:p w14:paraId="0F9FDF8D">
            <w:pPr>
              <w:pStyle w:val="69"/>
            </w:pPr>
            <w:r>
              <w:t>黄色</w:t>
            </w:r>
          </w:p>
        </w:tc>
        <w:tc>
          <w:tcPr>
            <w:tcW w:w="5013" w:type="dxa"/>
            <w:vAlign w:val="center"/>
          </w:tcPr>
          <w:p w14:paraId="040549D5">
            <w:pPr>
              <w:pStyle w:val="69"/>
            </w:pPr>
            <w:r>
              <w:t>一般工业用水和人体非直接接触的娱乐用水</w:t>
            </w:r>
          </w:p>
        </w:tc>
      </w:tr>
      <w:tr w14:paraId="2133D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563" w:type="dxa"/>
            <w:vAlign w:val="center"/>
          </w:tcPr>
          <w:p w14:paraId="44D7EECC">
            <w:pPr>
              <w:pStyle w:val="69"/>
            </w:pPr>
            <w:r>
              <w:t>Ⅴ类水质</w:t>
            </w:r>
          </w:p>
        </w:tc>
        <w:tc>
          <w:tcPr>
            <w:tcW w:w="1232" w:type="dxa"/>
            <w:vAlign w:val="center"/>
          </w:tcPr>
          <w:p w14:paraId="13F8D583">
            <w:pPr>
              <w:pStyle w:val="69"/>
            </w:pPr>
            <w:r>
              <w:t>中度污染</w:t>
            </w:r>
          </w:p>
        </w:tc>
        <w:tc>
          <w:tcPr>
            <w:tcW w:w="1232" w:type="dxa"/>
            <w:vAlign w:val="center"/>
          </w:tcPr>
          <w:p w14:paraId="1A89342B">
            <w:pPr>
              <w:pStyle w:val="69"/>
            </w:pPr>
            <w:r>
              <w:t>橙色</w:t>
            </w:r>
          </w:p>
        </w:tc>
        <w:tc>
          <w:tcPr>
            <w:tcW w:w="5013" w:type="dxa"/>
            <w:vAlign w:val="center"/>
          </w:tcPr>
          <w:p w14:paraId="34B44322">
            <w:pPr>
              <w:pStyle w:val="69"/>
            </w:pPr>
            <w:r>
              <w:t>农业用水及一般景观用水</w:t>
            </w:r>
          </w:p>
        </w:tc>
      </w:tr>
      <w:tr w14:paraId="4E9DF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563" w:type="dxa"/>
            <w:tcBorders>
              <w:bottom w:val="single" w:color="auto" w:sz="12" w:space="0"/>
            </w:tcBorders>
            <w:vAlign w:val="center"/>
          </w:tcPr>
          <w:p w14:paraId="3B68EAA7">
            <w:pPr>
              <w:pStyle w:val="69"/>
            </w:pPr>
            <w:r>
              <w:t>劣Ⅴ类水质</w:t>
            </w:r>
          </w:p>
        </w:tc>
        <w:tc>
          <w:tcPr>
            <w:tcW w:w="1232" w:type="dxa"/>
            <w:tcBorders>
              <w:bottom w:val="single" w:color="auto" w:sz="12" w:space="0"/>
            </w:tcBorders>
            <w:vAlign w:val="center"/>
          </w:tcPr>
          <w:p w14:paraId="1A43292F">
            <w:pPr>
              <w:pStyle w:val="69"/>
            </w:pPr>
            <w:r>
              <w:t>重度污染</w:t>
            </w:r>
          </w:p>
        </w:tc>
        <w:tc>
          <w:tcPr>
            <w:tcW w:w="1232" w:type="dxa"/>
            <w:tcBorders>
              <w:bottom w:val="single" w:color="auto" w:sz="12" w:space="0"/>
            </w:tcBorders>
            <w:vAlign w:val="center"/>
          </w:tcPr>
          <w:p w14:paraId="137CCC68">
            <w:pPr>
              <w:pStyle w:val="69"/>
            </w:pPr>
            <w:r>
              <w:t>红色</w:t>
            </w:r>
          </w:p>
        </w:tc>
        <w:tc>
          <w:tcPr>
            <w:tcW w:w="5013" w:type="dxa"/>
            <w:tcBorders>
              <w:bottom w:val="single" w:color="auto" w:sz="12" w:space="0"/>
            </w:tcBorders>
            <w:vAlign w:val="center"/>
          </w:tcPr>
          <w:p w14:paraId="5C6CEC09">
            <w:pPr>
              <w:pStyle w:val="69"/>
            </w:pPr>
            <w:r>
              <w:t>除调节局部气候外，使用功能较差</w:t>
            </w:r>
          </w:p>
        </w:tc>
      </w:tr>
    </w:tbl>
    <w:p w14:paraId="6B76D9C2">
      <w:pPr>
        <w:ind w:firstLine="480"/>
      </w:pPr>
      <w:r>
        <w:t>各单项水质参数评价模式如下：</w:t>
      </w:r>
    </w:p>
    <w:p w14:paraId="3C8D431B">
      <w:pPr>
        <w:ind w:firstLine="480"/>
      </w:pPr>
      <w:r>
        <w:t>单项水质参数i在j点的标准指数计算公式为：Sij=Cij/Csi</w:t>
      </w:r>
    </w:p>
    <w:p w14:paraId="11310D6B">
      <w:pPr>
        <w:ind w:firstLine="480"/>
      </w:pPr>
      <w:r>
        <w:t>DO的标准指数为：</w:t>
      </w:r>
      <w:r>
        <w:tab/>
      </w:r>
    </w:p>
    <w:p w14:paraId="007A9529">
      <w:pPr>
        <w:ind w:firstLine="480"/>
      </w:pPr>
      <w:r>
        <w:drawing>
          <wp:inline distT="0" distB="0" distL="0" distR="0">
            <wp:extent cx="1415415" cy="457200"/>
            <wp:effectExtent l="1905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8" cstate="print"/>
                    <a:srcRect/>
                    <a:stretch>
                      <a:fillRect/>
                    </a:stretch>
                  </pic:blipFill>
                  <pic:spPr>
                    <a:xfrm>
                      <a:off x="0" y="0"/>
                      <a:ext cx="1415415" cy="457200"/>
                    </a:xfrm>
                    <a:prstGeom prst="rect">
                      <a:avLst/>
                    </a:prstGeom>
                    <a:noFill/>
                    <a:ln w="9525" cmpd="sng">
                      <a:noFill/>
                      <a:miter lim="800000"/>
                      <a:headEnd/>
                      <a:tailEnd/>
                    </a:ln>
                  </pic:spPr>
                </pic:pic>
              </a:graphicData>
            </a:graphic>
          </wp:inline>
        </w:drawing>
      </w:r>
      <w:r>
        <w:drawing>
          <wp:inline distT="0" distB="0" distL="0" distR="0">
            <wp:extent cx="776605" cy="247015"/>
            <wp:effectExtent l="0" t="0" r="444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9" cstate="print"/>
                    <a:srcRect/>
                    <a:stretch>
                      <a:fillRect/>
                    </a:stretch>
                  </pic:blipFill>
                  <pic:spPr>
                    <a:xfrm>
                      <a:off x="0" y="0"/>
                      <a:ext cx="776605" cy="247015"/>
                    </a:xfrm>
                    <a:prstGeom prst="rect">
                      <a:avLst/>
                    </a:prstGeom>
                    <a:noFill/>
                    <a:ln w="9525" cmpd="sng">
                      <a:noFill/>
                      <a:miter lim="800000"/>
                      <a:headEnd/>
                      <a:tailEnd/>
                    </a:ln>
                  </pic:spPr>
                </pic:pic>
              </a:graphicData>
            </a:graphic>
          </wp:inline>
        </w:drawing>
      </w:r>
    </w:p>
    <w:p w14:paraId="3FAD00C3">
      <w:pPr>
        <w:ind w:firstLine="480"/>
      </w:pPr>
      <w:r>
        <w:drawing>
          <wp:inline distT="0" distB="0" distL="0" distR="0">
            <wp:extent cx="1342390" cy="44259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20" cstate="print"/>
                    <a:srcRect/>
                    <a:stretch>
                      <a:fillRect/>
                    </a:stretch>
                  </pic:blipFill>
                  <pic:spPr>
                    <a:xfrm>
                      <a:off x="0" y="0"/>
                      <a:ext cx="1342390" cy="442595"/>
                    </a:xfrm>
                    <a:prstGeom prst="rect">
                      <a:avLst/>
                    </a:prstGeom>
                    <a:noFill/>
                    <a:ln w="9525" cmpd="sng">
                      <a:noFill/>
                      <a:miter lim="800000"/>
                      <a:headEnd/>
                      <a:tailEnd/>
                    </a:ln>
                  </pic:spPr>
                </pic:pic>
              </a:graphicData>
            </a:graphic>
          </wp:inline>
        </w:drawing>
      </w:r>
      <w:r>
        <w:drawing>
          <wp:inline distT="0" distB="0" distL="0" distR="0">
            <wp:extent cx="776605" cy="247015"/>
            <wp:effectExtent l="0" t="0" r="444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21" cstate="print"/>
                    <a:srcRect/>
                    <a:stretch>
                      <a:fillRect/>
                    </a:stretch>
                  </pic:blipFill>
                  <pic:spPr>
                    <a:xfrm>
                      <a:off x="0" y="0"/>
                      <a:ext cx="776605" cy="247015"/>
                    </a:xfrm>
                    <a:prstGeom prst="rect">
                      <a:avLst/>
                    </a:prstGeom>
                    <a:noFill/>
                    <a:ln w="9525" cmpd="sng">
                      <a:noFill/>
                      <a:miter lim="800000"/>
                      <a:headEnd/>
                      <a:tailEnd/>
                    </a:ln>
                  </pic:spPr>
                </pic:pic>
              </a:graphicData>
            </a:graphic>
          </wp:inline>
        </w:drawing>
      </w:r>
    </w:p>
    <w:p w14:paraId="141B7EB6">
      <w:pPr>
        <w:ind w:firstLine="480"/>
      </w:pPr>
      <w:r>
        <w:drawing>
          <wp:inline distT="0" distB="0" distL="0" distR="0">
            <wp:extent cx="1415415" cy="232410"/>
            <wp:effectExtent l="1905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22" cstate="print"/>
                    <a:srcRect/>
                    <a:stretch>
                      <a:fillRect/>
                    </a:stretch>
                  </pic:blipFill>
                  <pic:spPr>
                    <a:xfrm>
                      <a:off x="0" y="0"/>
                      <a:ext cx="1415415" cy="232410"/>
                    </a:xfrm>
                    <a:prstGeom prst="rect">
                      <a:avLst/>
                    </a:prstGeom>
                    <a:noFill/>
                    <a:ln w="9525" cmpd="sng">
                      <a:noFill/>
                      <a:miter lim="800000"/>
                      <a:headEnd/>
                      <a:tailEnd/>
                    </a:ln>
                  </pic:spPr>
                </pic:pic>
              </a:graphicData>
            </a:graphic>
          </wp:inline>
        </w:drawing>
      </w:r>
    </w:p>
    <w:p w14:paraId="678F6F26">
      <w:pPr>
        <w:ind w:firstLine="480"/>
      </w:pPr>
      <w:r>
        <w:t>pH的标准指数为：</w:t>
      </w:r>
    </w:p>
    <w:p w14:paraId="64A421A0">
      <w:pPr>
        <w:ind w:firstLine="480"/>
      </w:pPr>
      <w:r>
        <w:drawing>
          <wp:inline distT="0" distB="0" distL="0" distR="0">
            <wp:extent cx="1255395" cy="457200"/>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23" cstate="print"/>
                    <a:srcRect/>
                    <a:stretch>
                      <a:fillRect/>
                    </a:stretch>
                  </pic:blipFill>
                  <pic:spPr>
                    <a:xfrm>
                      <a:off x="0" y="0"/>
                      <a:ext cx="1255395" cy="457200"/>
                    </a:xfrm>
                    <a:prstGeom prst="rect">
                      <a:avLst/>
                    </a:prstGeom>
                    <a:noFill/>
                    <a:ln w="9525" cmpd="sng">
                      <a:noFill/>
                      <a:miter lim="800000"/>
                      <a:headEnd/>
                      <a:tailEnd/>
                    </a:ln>
                  </pic:spPr>
                </pic:pic>
              </a:graphicData>
            </a:graphic>
          </wp:inline>
        </w:drawing>
      </w:r>
      <w:r>
        <w:drawing>
          <wp:inline distT="0" distB="0" distL="0" distR="0">
            <wp:extent cx="689610" cy="24701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24" cstate="print"/>
                    <a:srcRect/>
                    <a:stretch>
                      <a:fillRect/>
                    </a:stretch>
                  </pic:blipFill>
                  <pic:spPr>
                    <a:xfrm>
                      <a:off x="0" y="0"/>
                      <a:ext cx="689610" cy="247015"/>
                    </a:xfrm>
                    <a:prstGeom prst="rect">
                      <a:avLst/>
                    </a:prstGeom>
                    <a:noFill/>
                    <a:ln w="9525" cmpd="sng">
                      <a:noFill/>
                      <a:miter lim="800000"/>
                      <a:headEnd/>
                      <a:tailEnd/>
                    </a:ln>
                  </pic:spPr>
                </pic:pic>
              </a:graphicData>
            </a:graphic>
          </wp:inline>
        </w:drawing>
      </w:r>
    </w:p>
    <w:p w14:paraId="01D5C85F">
      <w:pPr>
        <w:ind w:firstLine="480"/>
      </w:pPr>
      <w:r>
        <w:drawing>
          <wp:inline distT="0" distB="0" distL="0" distR="0">
            <wp:extent cx="1219200" cy="522605"/>
            <wp:effectExtent l="1905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noChangeArrowheads="1"/>
                    </pic:cNvPicPr>
                  </pic:nvPicPr>
                  <pic:blipFill>
                    <a:blip r:embed="rId25" cstate="print"/>
                    <a:srcRect/>
                    <a:stretch>
                      <a:fillRect/>
                    </a:stretch>
                  </pic:blipFill>
                  <pic:spPr>
                    <a:xfrm>
                      <a:off x="0" y="0"/>
                      <a:ext cx="1219200" cy="522605"/>
                    </a:xfrm>
                    <a:prstGeom prst="rect">
                      <a:avLst/>
                    </a:prstGeom>
                    <a:noFill/>
                    <a:ln w="9525" cmpd="sng">
                      <a:noFill/>
                      <a:miter lim="800000"/>
                      <a:headEnd/>
                      <a:tailEnd/>
                    </a:ln>
                  </pic:spPr>
                </pic:pic>
              </a:graphicData>
            </a:graphic>
          </wp:inline>
        </w:drawing>
      </w:r>
      <w:r>
        <w:drawing>
          <wp:inline distT="0" distB="0" distL="0" distR="0">
            <wp:extent cx="689610" cy="247015"/>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26" cstate="print"/>
                    <a:srcRect/>
                    <a:stretch>
                      <a:fillRect/>
                    </a:stretch>
                  </pic:blipFill>
                  <pic:spPr>
                    <a:xfrm>
                      <a:off x="0" y="0"/>
                      <a:ext cx="689610" cy="247015"/>
                    </a:xfrm>
                    <a:prstGeom prst="rect">
                      <a:avLst/>
                    </a:prstGeom>
                    <a:noFill/>
                    <a:ln w="9525" cmpd="sng">
                      <a:noFill/>
                      <a:miter lim="800000"/>
                      <a:headEnd/>
                      <a:tailEnd/>
                    </a:ln>
                  </pic:spPr>
                </pic:pic>
              </a:graphicData>
            </a:graphic>
          </wp:inline>
        </w:drawing>
      </w:r>
    </w:p>
    <w:p w14:paraId="3F55B341">
      <w:pPr>
        <w:ind w:firstLine="480"/>
      </w:pPr>
      <w:r>
        <w:t>式中：Ci，j——（i，j）点污染物浓度，mg/L；</w:t>
      </w:r>
    </w:p>
    <w:p w14:paraId="6E3952B9">
      <w:pPr>
        <w:ind w:firstLine="480"/>
      </w:pPr>
      <w:r>
        <w:t>Csi——水质参数i的地表水质标准，mg/L；</w:t>
      </w:r>
    </w:p>
    <w:p w14:paraId="5B553A1C">
      <w:pPr>
        <w:ind w:firstLine="480"/>
      </w:pPr>
      <w:r>
        <w:t>DOs——溶解氧的地表水质标准，mg/L；</w:t>
      </w:r>
    </w:p>
    <w:p w14:paraId="7E4557C8">
      <w:pPr>
        <w:ind w:firstLine="480"/>
      </w:pPr>
      <w:r>
        <w:t>DOj——j点的溶解氧，mg/L；</w:t>
      </w:r>
    </w:p>
    <w:p w14:paraId="2A99EDDC">
      <w:pPr>
        <w:ind w:firstLine="480"/>
      </w:pPr>
      <w:r>
        <w:t>DOf——饱和溶解氧浓度，mg/L；</w:t>
      </w:r>
    </w:p>
    <w:p w14:paraId="008EA7EC">
      <w:pPr>
        <w:ind w:firstLine="480"/>
      </w:pPr>
      <w:r>
        <w:t>pHj——j点的pH值；</w:t>
      </w:r>
    </w:p>
    <w:p w14:paraId="3A612F95">
      <w:pPr>
        <w:ind w:firstLine="480"/>
      </w:pPr>
      <w:r>
        <w:t>pHsd——地表水质标准中规定的pH值下限；</w:t>
      </w:r>
    </w:p>
    <w:p w14:paraId="5181A13D">
      <w:pPr>
        <w:ind w:firstLine="480"/>
      </w:pPr>
      <w:r>
        <w:t>pHsu——地表水中水质标准中规定的pH值上限。</w:t>
      </w:r>
    </w:p>
    <w:p w14:paraId="65AD07C8">
      <w:pPr>
        <w:ind w:firstLine="480"/>
      </w:pPr>
      <w:r>
        <w:t>水质参数的标准指数&gt;1，表明该水质参数超过了规定的水质标准限值，水质参数的标准指数越大，说明该水质超标越严重。</w:t>
      </w:r>
    </w:p>
    <w:p w14:paraId="101B720F">
      <w:pPr>
        <w:ind w:firstLine="480"/>
      </w:pPr>
      <w:bookmarkStart w:id="73" w:name="_Toc23606_WPSOffice_Level2"/>
      <w:bookmarkStart w:id="74" w:name="_Toc18238"/>
      <w:r>
        <w:t>根据断面水质评价中单因子评价法，</w:t>
      </w:r>
      <w:r>
        <w:rPr>
          <w:rFonts w:hint="eastAsia"/>
        </w:rPr>
        <w:t>绥宁县关峡苗族乡兰溪水饮用水水源地保护区</w:t>
      </w:r>
      <w:r>
        <w:t>取水口监测断面10</w:t>
      </w:r>
      <w:r>
        <w:rPr>
          <w:rFonts w:hint="eastAsia"/>
        </w:rPr>
        <w:t>9</w:t>
      </w:r>
      <w:r>
        <w:t>项水质评价指标均符合《地表水环境质量标准》（GB3838-2002）</w:t>
      </w:r>
      <w:r>
        <w:fldChar w:fldCharType="begin"/>
      </w:r>
      <w:r>
        <w:instrText xml:space="preserve"> = 3 \* ROMAN \* MERGEFORMAT </w:instrText>
      </w:r>
      <w:r>
        <w:fldChar w:fldCharType="separate"/>
      </w:r>
      <w:r>
        <w:t>III</w:t>
      </w:r>
      <w:r>
        <w:fldChar w:fldCharType="end"/>
      </w:r>
      <w:r>
        <w:t>类标准，水质优，可以作为饮用水源。</w:t>
      </w:r>
    </w:p>
    <w:p w14:paraId="4C573827">
      <w:pPr>
        <w:pStyle w:val="4"/>
      </w:pPr>
      <w:bookmarkStart w:id="75" w:name="_Toc31005"/>
      <w:bookmarkStart w:id="76" w:name="_Toc23998"/>
      <w:r>
        <w:t>1.</w:t>
      </w:r>
      <w:r>
        <w:rPr>
          <w:rFonts w:hint="eastAsia"/>
        </w:rPr>
        <w:t>9</w:t>
      </w:r>
      <w:r>
        <w:t>水源地保护区环境监督管理现状</w:t>
      </w:r>
      <w:bookmarkEnd w:id="71"/>
      <w:bookmarkEnd w:id="73"/>
      <w:bookmarkEnd w:id="74"/>
      <w:bookmarkEnd w:id="75"/>
      <w:bookmarkEnd w:id="76"/>
    </w:p>
    <w:p w14:paraId="2056A0B8">
      <w:pPr>
        <w:pStyle w:val="5"/>
      </w:pPr>
      <w:bookmarkStart w:id="77" w:name="_Toc9688"/>
      <w:bookmarkStart w:id="78" w:name="_Toc14132"/>
      <w:r>
        <w:t>1.</w:t>
      </w:r>
      <w:r>
        <w:rPr>
          <w:rFonts w:hint="eastAsia"/>
        </w:rPr>
        <w:t>9</w:t>
      </w:r>
      <w:r>
        <w:t>.1水源地保护区管理机构、监测体系的建立情况</w:t>
      </w:r>
      <w:bookmarkEnd w:id="77"/>
      <w:bookmarkEnd w:id="78"/>
    </w:p>
    <w:p w14:paraId="6D3EEC97">
      <w:pPr>
        <w:ind w:firstLine="480"/>
      </w:pPr>
      <w:bookmarkStart w:id="79" w:name="_Hlk498591551"/>
      <w:r>
        <w:t>县政府委托</w:t>
      </w:r>
      <w:r>
        <w:rPr>
          <w:rFonts w:hint="eastAsia"/>
        </w:rPr>
        <w:t>邵阳市生态环境局绥宁分局</w:t>
      </w:r>
      <w:r>
        <w:t>对水源地保护区进行监督管理。</w:t>
      </w:r>
      <w:r>
        <w:rPr>
          <w:rFonts w:hint="eastAsia"/>
        </w:rPr>
        <w:t>邵阳市生态环境局绥宁分局</w:t>
      </w:r>
      <w:r>
        <w:t>已对水源地保护区设置相关管理机制及工作小组，制定了水源地保护区巡视制度。水源地保护区的常规监测工作由</w:t>
      </w:r>
      <w:r>
        <w:rPr>
          <w:rFonts w:hint="eastAsia"/>
        </w:rPr>
        <w:t>绥宁县生态环境监测站</w:t>
      </w:r>
      <w:r>
        <w:t>承担。</w:t>
      </w:r>
    </w:p>
    <w:p w14:paraId="42D6EA5A">
      <w:pPr>
        <w:pStyle w:val="6"/>
      </w:pPr>
      <w:r>
        <w:t>1.</w:t>
      </w:r>
      <w:r>
        <w:rPr>
          <w:rFonts w:hint="eastAsia"/>
        </w:rPr>
        <w:t>9</w:t>
      </w:r>
      <w:r>
        <w:t>.1.1监测断面名称</w:t>
      </w:r>
    </w:p>
    <w:p w14:paraId="32DE4921">
      <w:pPr>
        <w:ind w:firstLine="480"/>
      </w:pPr>
      <w:r>
        <w:t>常规监测断面：取水口上游100米处设一个一级保护区监测断面；</w:t>
      </w:r>
    </w:p>
    <w:p w14:paraId="34F6D602">
      <w:pPr>
        <w:ind w:firstLine="480"/>
      </w:pPr>
      <w:r>
        <w:t>预警断面：</w:t>
      </w:r>
      <w:r>
        <w:rPr>
          <w:u w:val="wave"/>
        </w:rPr>
        <w:t>二级保护区上游</w:t>
      </w:r>
      <w:r>
        <w:rPr>
          <w:rFonts w:hint="eastAsia"/>
          <w:u w:val="wave"/>
          <w:lang w:val="en-US" w:eastAsia="zh-CN"/>
        </w:rPr>
        <w:t>4</w:t>
      </w:r>
      <w:r>
        <w:rPr>
          <w:u w:val="wave"/>
        </w:rPr>
        <w:t>00米处设一个预警断面。</w:t>
      </w:r>
    </w:p>
    <w:p w14:paraId="1F2F8720">
      <w:pPr>
        <w:pStyle w:val="6"/>
      </w:pPr>
      <w:r>
        <w:t>1.</w:t>
      </w:r>
      <w:r>
        <w:rPr>
          <w:rFonts w:hint="eastAsia"/>
        </w:rPr>
        <w:t>9</w:t>
      </w:r>
      <w:r>
        <w:t>.1.2监测频次</w:t>
      </w:r>
    </w:p>
    <w:p w14:paraId="19865406">
      <w:pPr>
        <w:ind w:firstLine="480"/>
      </w:pPr>
      <w:r>
        <w:t>对</w:t>
      </w:r>
      <w:r>
        <w:rPr>
          <w:rFonts w:hint="eastAsia"/>
        </w:rPr>
        <w:t>绥宁县关峡苗族乡兰溪水饮用水水源地保护区</w:t>
      </w:r>
      <w:r>
        <w:t>每季度采样监测1次，如遇异常情况，则须加密监测。每2年开展1次水质全分析监测。</w:t>
      </w:r>
    </w:p>
    <w:p w14:paraId="0D2DF74A">
      <w:pPr>
        <w:pStyle w:val="6"/>
      </w:pPr>
      <w:r>
        <w:t>1.</w:t>
      </w:r>
      <w:r>
        <w:rPr>
          <w:rFonts w:hint="eastAsia"/>
        </w:rPr>
        <w:t>9</w:t>
      </w:r>
      <w:r>
        <w:t>.1.3监测项目</w:t>
      </w:r>
    </w:p>
    <w:p w14:paraId="199176B3">
      <w:pPr>
        <w:ind w:firstLine="480"/>
      </w:pPr>
      <w:r>
        <w:t>每季度监测项目：每季度监测项目：《地表水环境质量标准》（GB3838-2002）表1的基本项目（23项）、表2的补充项目（5项）和表3的优选特定项目（33项，监测项目及推荐方法详见环办函【2012】1266号），共61项；</w:t>
      </w:r>
    </w:p>
    <w:p w14:paraId="2963332E">
      <w:pPr>
        <w:pStyle w:val="10"/>
        <w:ind w:firstLine="480"/>
      </w:pPr>
      <w:r>
        <w:t>每2年全分析项目：《地表水环境质量标准》（GB3838-2002）中的10</w:t>
      </w:r>
      <w:r>
        <w:rPr>
          <w:rFonts w:hint="eastAsia"/>
        </w:rPr>
        <w:t>9</w:t>
      </w:r>
      <w:r>
        <w:t>项。</w:t>
      </w:r>
    </w:p>
    <w:p w14:paraId="76EEE324">
      <w:pPr>
        <w:pStyle w:val="6"/>
      </w:pPr>
      <w:r>
        <w:t>1.</w:t>
      </w:r>
      <w:r>
        <w:rPr>
          <w:rFonts w:hint="eastAsia"/>
        </w:rPr>
        <w:t>9</w:t>
      </w:r>
      <w:r>
        <w:t>.1.4监测分析方法</w:t>
      </w:r>
    </w:p>
    <w:p w14:paraId="4FE55819">
      <w:pPr>
        <w:ind w:firstLine="480"/>
      </w:pPr>
      <w:r>
        <w:t>优先选用国家或行业标准分析方法，或采用EPA、ISO分析方法，但应经过验证合格，其检出限、准确度和精密度应能达到质控要求。</w:t>
      </w:r>
    </w:p>
    <w:p w14:paraId="2E3DC26A">
      <w:pPr>
        <w:pStyle w:val="5"/>
      </w:pPr>
      <w:bookmarkStart w:id="80" w:name="_Toc23425"/>
      <w:bookmarkStart w:id="81" w:name="_Toc4652"/>
      <w:r>
        <w:t>1.</w:t>
      </w:r>
      <w:r>
        <w:rPr>
          <w:rFonts w:hint="eastAsia"/>
        </w:rPr>
        <w:t>9</w:t>
      </w:r>
      <w:r>
        <w:t>.2水源地保护区周边道路危险品运输情况及管理措施建立情况</w:t>
      </w:r>
      <w:bookmarkEnd w:id="80"/>
      <w:bookmarkEnd w:id="81"/>
    </w:p>
    <w:bookmarkEnd w:id="79"/>
    <w:p w14:paraId="6352DC19">
      <w:pPr>
        <w:ind w:firstLine="480" w:firstLineChars="200"/>
        <w:rPr>
          <w:rFonts w:hint="eastAsia"/>
        </w:rPr>
      </w:pPr>
      <w:r>
        <w:t>水源地保护区内及周边的交通方式为陆路交通形式，</w:t>
      </w:r>
      <w:r>
        <w:rPr>
          <w:rFonts w:hint="eastAsia"/>
        </w:rPr>
        <w:t>兰溪</w:t>
      </w:r>
      <w:r>
        <w:t>河段无通航航道。水源地保护区调查范围内可能有危险化学品、危险废物及其他影响饮用水安全物质的运输车辆经过的地方为保护区</w:t>
      </w:r>
      <w:r>
        <w:rPr>
          <w:rFonts w:hint="eastAsia"/>
        </w:rPr>
        <w:t>东南部</w:t>
      </w:r>
      <w:r>
        <w:t>省道2</w:t>
      </w:r>
      <w:r>
        <w:rPr>
          <w:rFonts w:hint="eastAsia"/>
        </w:rPr>
        <w:t>48</w:t>
      </w:r>
      <w:r>
        <w:t>（</w:t>
      </w:r>
      <w:r>
        <w:rPr>
          <w:rFonts w:hint="eastAsia"/>
        </w:rPr>
        <w:t>与兰溪伴行，伴行长度约为20km</w:t>
      </w:r>
      <w:r>
        <w:t>）</w:t>
      </w:r>
      <w:r>
        <w:rPr>
          <w:rFonts w:hint="eastAsia"/>
        </w:rPr>
        <w:t>、大树至插柳村再至太安乡间便道、</w:t>
      </w:r>
      <w:r>
        <w:t>龚家坪至插柳村乡间便桥（取水口上游1.63 Km处，仅可供人通行）、太安至文家村乡间便桥（取水口上游2.78 Km处，可供车辆通行）</w:t>
      </w:r>
      <w:r>
        <w:rPr>
          <w:rFonts w:hint="eastAsia"/>
        </w:rPr>
        <w:t>、取水口上游约15.22Km处S248跨越兰溪桥梁</w:t>
      </w:r>
      <w:r>
        <w:t>。</w:t>
      </w:r>
      <w:r>
        <w:rPr>
          <w:rFonts w:hint="eastAsia"/>
        </w:rPr>
        <w:t xml:space="preserve">经核实，绥宁县目前未划定危险化学品运输车辆限制通行的区域。 </w:t>
      </w:r>
    </w:p>
    <w:p w14:paraId="0DC781FB">
      <w:pPr>
        <w:pStyle w:val="10"/>
        <w:ind w:firstLine="480" w:firstLineChars="200"/>
      </w:pPr>
      <w:r>
        <w:rPr>
          <w:rFonts w:hint="eastAsia"/>
        </w:rPr>
        <w:t>兰溪</w:t>
      </w:r>
      <w:r>
        <w:t>发源于绥宁县长铺乡堡子岭野猪冲，全长</w:t>
      </w:r>
      <w:r>
        <w:rPr>
          <w:rFonts w:hint="eastAsia"/>
        </w:rPr>
        <w:t>约40</w:t>
      </w:r>
      <w:r>
        <w:t>公里，</w:t>
      </w:r>
      <w:r>
        <w:rPr>
          <w:rFonts w:hint="eastAsia"/>
        </w:rPr>
        <w:t>无其他连接水体，并在水源地保护区下游约13Km处汇入巫水。</w:t>
      </w:r>
      <w:r>
        <w:t>水源地保护区</w:t>
      </w:r>
      <w:r>
        <w:rPr>
          <w:rFonts w:hint="eastAsia"/>
        </w:rPr>
        <w:t>上游</w:t>
      </w:r>
      <w:r>
        <w:t>识别范围</w:t>
      </w:r>
      <w:r>
        <w:rPr>
          <w:rFonts w:hint="eastAsia"/>
        </w:rPr>
        <w:t>内只有S248、乡间便道、便桥等，无其他对水源地保护区水质具有潜在危害的流动风险源如国道、省道、大桥等。</w:t>
      </w:r>
    </w:p>
    <w:p w14:paraId="202C58E4">
      <w:pPr>
        <w:pStyle w:val="5"/>
      </w:pPr>
      <w:bookmarkStart w:id="82" w:name="_Toc10988"/>
      <w:bookmarkStart w:id="83" w:name="_Toc5957"/>
      <w:bookmarkStart w:id="84" w:name="_Hlk498591610"/>
      <w:r>
        <w:t>1.</w:t>
      </w:r>
      <w:r>
        <w:rPr>
          <w:rFonts w:hint="eastAsia"/>
        </w:rPr>
        <w:t>9</w:t>
      </w:r>
      <w:r>
        <w:t>.</w:t>
      </w:r>
      <w:r>
        <w:rPr>
          <w:rFonts w:hint="eastAsia"/>
        </w:rPr>
        <w:t>3</w:t>
      </w:r>
      <w:r>
        <w:t>水源地保护区污染防治措施及相关法律法规的执行情况</w:t>
      </w:r>
      <w:bookmarkEnd w:id="82"/>
      <w:bookmarkEnd w:id="83"/>
    </w:p>
    <w:bookmarkEnd w:id="84"/>
    <w:p w14:paraId="20FCCFD9">
      <w:pPr>
        <w:ind w:firstLine="480" w:firstLineChars="200"/>
      </w:pPr>
      <w:r>
        <w:rPr>
          <w:rFonts w:hint="eastAsia"/>
        </w:rPr>
        <w:t>邵阳市生态环境局绥宁分局</w:t>
      </w:r>
      <w:r>
        <w:t>在水源地保护区附近居民点活动接近饮用水源保护区的区域设置了警示标志、公告牌，明确了水源地保护区边界，公布监督危害水源行为的举报电话等。同时，在水源地保护区交通干线进出口设置了一级</w:t>
      </w:r>
      <w:r>
        <w:rPr>
          <w:rFonts w:hint="eastAsia"/>
        </w:rPr>
        <w:t>、</w:t>
      </w:r>
      <w:r>
        <w:t>二级道路警示牌，在水源地一级保护区、二级保护区内设置了界标等。</w:t>
      </w:r>
    </w:p>
    <w:p w14:paraId="75495ECB">
      <w:pPr>
        <w:ind w:firstLine="480" w:firstLineChars="200"/>
      </w:pPr>
      <w:r>
        <w:t> </w:t>
      </w:r>
      <w:r>
        <w:rPr>
          <w:rFonts w:hint="eastAsia"/>
        </w:rPr>
        <w:t>邵阳市生态环境局绥宁分局</w:t>
      </w:r>
      <w:r>
        <w:t>根据《饮用水水源保护区污染防治管理规定》要求，设立了饮用水源各级保护区的污染防治管理规定如下：</w:t>
      </w:r>
    </w:p>
    <w:p w14:paraId="3893FF53">
      <w:pPr>
        <w:ind w:firstLine="480" w:firstLineChars="200"/>
      </w:pPr>
      <w:r>
        <w:t>（1）各级保护区内均必须遵守下列规定</w:t>
      </w:r>
    </w:p>
    <w:p w14:paraId="3E6C4584">
      <w:pPr>
        <w:ind w:firstLine="480" w:firstLineChars="200"/>
      </w:pPr>
      <w:r>
        <w:t>一、禁止一切破坏水环境生态平衡和水源保护相关植被被破坏（水源林、护岸林）的活动。</w:t>
      </w:r>
    </w:p>
    <w:p w14:paraId="79FE1ECA">
      <w:pPr>
        <w:ind w:firstLine="480" w:firstLineChars="200"/>
      </w:pPr>
      <w:r>
        <w:t>二、禁止向水域倾倒垃圾、粪便及其他废弃物。</w:t>
      </w:r>
    </w:p>
    <w:p w14:paraId="3A830543">
      <w:pPr>
        <w:ind w:firstLine="480" w:firstLineChars="200"/>
      </w:pPr>
      <w:r>
        <w:t>三、禁止使用剧毒和高残留农药，不得滥用化肥，不得使用炸药、毒品捕杀鱼类。</w:t>
      </w:r>
    </w:p>
    <w:p w14:paraId="7027E885">
      <w:pPr>
        <w:ind w:firstLine="480" w:firstLineChars="200"/>
      </w:pPr>
      <w:r>
        <w:t>（2）一级保护区内禁止下列行为</w:t>
      </w:r>
    </w:p>
    <w:p w14:paraId="53689BB3">
      <w:pPr>
        <w:ind w:firstLine="480" w:firstLineChars="200"/>
      </w:pPr>
      <w:r>
        <w:t xml:space="preserve">一、禁止新建、扩建、改建与供水设施和保护水源无关的建设项目； </w:t>
      </w:r>
    </w:p>
    <w:p w14:paraId="23F51872">
      <w:pPr>
        <w:ind w:firstLine="480" w:firstLineChars="200"/>
      </w:pPr>
      <w:r>
        <w:t>二、禁止向水体排放污水；</w:t>
      </w:r>
    </w:p>
    <w:p w14:paraId="4DB85F9A">
      <w:pPr>
        <w:ind w:firstLine="480" w:firstLineChars="200"/>
      </w:pPr>
      <w:r>
        <w:t xml:space="preserve">三、禁止停靠机动船舶； </w:t>
      </w:r>
    </w:p>
    <w:p w14:paraId="17390263">
      <w:pPr>
        <w:ind w:firstLine="480" w:firstLineChars="200"/>
      </w:pPr>
      <w:r>
        <w:t>四、禁止从事旅游、游泳、水上训练、人工养殖和保护水源无关的活动。</w:t>
      </w:r>
    </w:p>
    <w:p w14:paraId="23C32A27">
      <w:pPr>
        <w:ind w:firstLine="480" w:firstLineChars="200"/>
      </w:pPr>
      <w:r>
        <w:t xml:space="preserve"> （3）二级保护区内禁止下列行为</w:t>
      </w:r>
    </w:p>
    <w:p w14:paraId="418D66B6">
      <w:pPr>
        <w:ind w:firstLine="480" w:firstLineChars="200"/>
      </w:pPr>
      <w:r>
        <w:t>一、禁止新建、扩建向水体排放污染物的建设项目；改建项目必须削减污染物排放量。</w:t>
      </w:r>
    </w:p>
    <w:p w14:paraId="7E47EE06">
      <w:pPr>
        <w:pStyle w:val="4"/>
      </w:pPr>
      <w:bookmarkStart w:id="85" w:name="_Toc987_WPSOffice_Level2"/>
      <w:bookmarkStart w:id="86" w:name="_Toc492841615"/>
      <w:bookmarkStart w:id="87" w:name="_Toc13490"/>
      <w:bookmarkStart w:id="88" w:name="_Toc16293"/>
      <w:bookmarkStart w:id="89" w:name="_Toc12717"/>
      <w:r>
        <w:t>1.</w:t>
      </w:r>
      <w:r>
        <w:rPr>
          <w:rFonts w:hint="eastAsia"/>
        </w:rPr>
        <w:t>10</w:t>
      </w:r>
      <w:r>
        <w:t xml:space="preserve"> 饮用水源</w:t>
      </w:r>
      <w:bookmarkEnd w:id="72"/>
      <w:r>
        <w:t>保护区所在区域自然环境状况</w:t>
      </w:r>
      <w:bookmarkEnd w:id="85"/>
      <w:bookmarkEnd w:id="86"/>
      <w:bookmarkEnd w:id="87"/>
      <w:bookmarkEnd w:id="88"/>
      <w:bookmarkEnd w:id="89"/>
    </w:p>
    <w:p w14:paraId="7262A91E">
      <w:pPr>
        <w:pStyle w:val="5"/>
        <w:rPr>
          <w:rStyle w:val="33"/>
          <w:b w:val="0"/>
          <w:sz w:val="24"/>
          <w:szCs w:val="28"/>
        </w:rPr>
      </w:pPr>
      <w:bookmarkStart w:id="90" w:name="_Toc15355"/>
      <w:bookmarkStart w:id="91" w:name="_Toc25145"/>
      <w:r>
        <w:rPr>
          <w:rStyle w:val="33"/>
          <w:b w:val="0"/>
          <w:sz w:val="24"/>
          <w:szCs w:val="28"/>
        </w:rPr>
        <w:t>1.</w:t>
      </w:r>
      <w:r>
        <w:rPr>
          <w:rStyle w:val="33"/>
          <w:rFonts w:hint="eastAsia"/>
          <w:b w:val="0"/>
          <w:sz w:val="24"/>
          <w:szCs w:val="28"/>
        </w:rPr>
        <w:t>10</w:t>
      </w:r>
      <w:r>
        <w:rPr>
          <w:rStyle w:val="33"/>
          <w:b w:val="0"/>
          <w:sz w:val="24"/>
          <w:szCs w:val="28"/>
        </w:rPr>
        <w:t>.1地理位置</w:t>
      </w:r>
      <w:bookmarkEnd w:id="90"/>
      <w:bookmarkEnd w:id="91"/>
    </w:p>
    <w:p w14:paraId="6824B1DD">
      <w:pPr>
        <w:ind w:firstLine="480" w:firstLineChars="200"/>
      </w:pPr>
      <w:r>
        <w:t>绥宁县位于邵阳市境西部边陲，处北纬26°16′～27°8′、东经109°49′～110°32′之间，状似北端向东倾斜的平行四边形。南北直线长103.5公里，东西直线宽56公里，总面积2927平方公里，占全市总面积14.1%，系全市面积最宽的县。东部由北向南分别与</w:t>
      </w:r>
      <w:r>
        <w:fldChar w:fldCharType="begin"/>
      </w:r>
      <w:r>
        <w:instrText xml:space="preserve"> HYPERLINK "https://baike.baidu.com/item/%E6%B4%9E%E5%8F%A3%E5%8E%BF" \t "https://baike.baidu.com/item/%E7%BB%A5%E5%AE%81%E5%8E%BF/_blank" </w:instrText>
      </w:r>
      <w:r>
        <w:fldChar w:fldCharType="separate"/>
      </w:r>
      <w:r>
        <w:t>洞口县</w:t>
      </w:r>
      <w:r>
        <w:fldChar w:fldCharType="end"/>
      </w:r>
      <w:r>
        <w:t>、武冈市、</w:t>
      </w:r>
      <w:r>
        <w:fldChar w:fldCharType="begin"/>
      </w:r>
      <w:r>
        <w:instrText xml:space="preserve"> HYPERLINK "https://baike.baidu.com/item/%E5%9F%8E%E6%AD%A5%E8%8B%97%E6%97%8F%E8%87%AA%E6%B2%BB%E5%8E%BF" \t "https://baike.baidu.com/item/%E7%BB%A5%E5%AE%81%E5%8E%BF/_blank" </w:instrText>
      </w:r>
      <w:r>
        <w:fldChar w:fldCharType="separate"/>
      </w:r>
      <w:r>
        <w:t>城步苗族自治县</w:t>
      </w:r>
      <w:r>
        <w:fldChar w:fldCharType="end"/>
      </w:r>
      <w:r>
        <w:t>毗邻；西部由北向南分别同怀化地区的</w:t>
      </w:r>
      <w:r>
        <w:rPr>
          <w:rFonts w:hint="eastAsia"/>
        </w:rPr>
        <w:t>洪江区</w:t>
      </w:r>
      <w:r>
        <w:t>、会同县、靖州苗族侗族自治县，通道侗族自治县交界。</w:t>
      </w:r>
    </w:p>
    <w:p w14:paraId="5058A905">
      <w:pPr>
        <w:pStyle w:val="5"/>
        <w:rPr>
          <w:rStyle w:val="33"/>
          <w:b w:val="0"/>
          <w:sz w:val="24"/>
          <w:szCs w:val="28"/>
        </w:rPr>
      </w:pPr>
      <w:bookmarkStart w:id="92" w:name="_Toc12078"/>
      <w:bookmarkStart w:id="93" w:name="_Toc3366"/>
      <w:r>
        <w:rPr>
          <w:rStyle w:val="33"/>
          <w:b w:val="0"/>
          <w:sz w:val="24"/>
          <w:szCs w:val="28"/>
        </w:rPr>
        <w:t>1.</w:t>
      </w:r>
      <w:r>
        <w:rPr>
          <w:rStyle w:val="33"/>
          <w:rFonts w:hint="eastAsia"/>
          <w:b w:val="0"/>
          <w:sz w:val="24"/>
          <w:szCs w:val="28"/>
        </w:rPr>
        <w:t>10</w:t>
      </w:r>
      <w:r>
        <w:rPr>
          <w:rStyle w:val="33"/>
          <w:b w:val="0"/>
          <w:sz w:val="24"/>
          <w:szCs w:val="28"/>
        </w:rPr>
        <w:t>.2地形地貌</w:t>
      </w:r>
      <w:bookmarkEnd w:id="92"/>
      <w:bookmarkEnd w:id="93"/>
    </w:p>
    <w:p w14:paraId="1CF64450">
      <w:pPr>
        <w:ind w:firstLine="480" w:firstLineChars="200"/>
      </w:pPr>
      <w:r>
        <w:t>地形：绥宁县地处云贵高原东部边缘，雪峰山脉南端与八十里大南山西北部的交接地带。南、北、东三面高山怀抱，中部纵向隆起，将县境分作东西两大部分；西部随巫水而倾斜；东部随武阳河而递，东北两部依次形成中山、中低山、丘陵、岗地、河谷平原。</w:t>
      </w:r>
    </w:p>
    <w:p w14:paraId="01B684ED">
      <w:pPr>
        <w:ind w:firstLine="480" w:firstLineChars="200"/>
      </w:pPr>
      <w:r>
        <w:t>地貌：绥宁县北靠雪峰山脉，南依大南山；主要山峰有高顶山、牛坡头、鸡公坡和神坡山。县境山地面积2135.08 平方公里，占总面积的72.95%。绥宁县丘陵海拔一般为400-600米，相对高度 60-200米，坡度在20-25度左右。主要分布在县境东北部和西南部，面积563.12 平方公里，占全县总面积的19.24%，按形态特征可分为低丘陵和高丘陵。前者面积314.29平方公里，占丘陵总面积的55.81%，后者面积248.83平方公里，占丘陵总面积的44.19%。</w:t>
      </w:r>
    </w:p>
    <w:p w14:paraId="764232B8">
      <w:pPr>
        <w:pStyle w:val="5"/>
      </w:pPr>
      <w:bookmarkStart w:id="94" w:name="_Toc9747"/>
      <w:r>
        <w:t>1.</w:t>
      </w:r>
      <w:r>
        <w:rPr>
          <w:rFonts w:hint="eastAsia"/>
        </w:rPr>
        <w:t>10</w:t>
      </w:r>
      <w:r>
        <w:t>.3土壤及用地类型</w:t>
      </w:r>
      <w:bookmarkEnd w:id="94"/>
    </w:p>
    <w:p w14:paraId="72021FA7">
      <w:pPr>
        <w:ind w:firstLine="480"/>
      </w:pPr>
      <w:r>
        <w:t>绥宁县土地资源较为丰富，共有43</w:t>
      </w:r>
      <w:r>
        <w:rPr>
          <w:rFonts w:hint="eastAsia"/>
        </w:rPr>
        <w:t>7.55</w:t>
      </w:r>
      <w:r>
        <w:t>万亩。耕地3</w:t>
      </w:r>
      <w:r>
        <w:rPr>
          <w:rFonts w:hint="eastAsia"/>
        </w:rPr>
        <w:t>9.11</w:t>
      </w:r>
      <w:r>
        <w:t>万亩，占8.</w:t>
      </w:r>
      <w:r>
        <w:rPr>
          <w:rFonts w:hint="eastAsia"/>
        </w:rPr>
        <w:t>93</w:t>
      </w:r>
      <w:r>
        <w:t>%；田埂土埂1.37万亩，占0.31%；园地</w:t>
      </w:r>
      <w:r>
        <w:rPr>
          <w:rFonts w:hint="eastAsia"/>
        </w:rPr>
        <w:t>10.28</w:t>
      </w:r>
      <w:r>
        <w:t>万亩，占</w:t>
      </w:r>
      <w:r>
        <w:rPr>
          <w:rFonts w:hint="eastAsia"/>
        </w:rPr>
        <w:t>2.34</w:t>
      </w:r>
      <w:r>
        <w:t>%；林地3</w:t>
      </w:r>
      <w:r>
        <w:rPr>
          <w:rFonts w:hint="eastAsia"/>
        </w:rPr>
        <w:t>62.51</w:t>
      </w:r>
      <w:r>
        <w:t>万亩，占</w:t>
      </w:r>
      <w:r>
        <w:rPr>
          <w:rFonts w:hint="eastAsia"/>
        </w:rPr>
        <w:t>82.84</w:t>
      </w:r>
      <w:r>
        <w:t>%；水域</w:t>
      </w:r>
      <w:r>
        <w:rPr>
          <w:rFonts w:hint="eastAsia"/>
        </w:rPr>
        <w:t>1.87</w:t>
      </w:r>
      <w:r>
        <w:t>万亩，占0.</w:t>
      </w:r>
      <w:r>
        <w:rPr>
          <w:rFonts w:hint="eastAsia"/>
        </w:rPr>
        <w:t>42</w:t>
      </w:r>
      <w:r>
        <w:t>%。土壤种类较少，质地较好，潜在养分丰实。全县自然分布8个土类，18个亚类，67个土属，174个土种。</w:t>
      </w:r>
    </w:p>
    <w:p w14:paraId="2FCB92A6">
      <w:pPr>
        <w:ind w:firstLine="480"/>
      </w:pPr>
      <w:r>
        <w:t>水源地保护区取水口一侧陆地的土地利用主要以林地、农田为主。保护区周边土地利用现状详见下图：</w:t>
      </w:r>
    </w:p>
    <w:p w14:paraId="42BCA5C6">
      <w:pPr>
        <w:rPr>
          <w:rFonts w:eastAsia="仿宋_GB2312"/>
          <w:sz w:val="28"/>
          <w:szCs w:val="28"/>
        </w:rPr>
      </w:pPr>
      <w:r>
        <w:drawing>
          <wp:inline distT="0" distB="0" distL="0" distR="0">
            <wp:extent cx="5573395" cy="3236595"/>
            <wp:effectExtent l="19050" t="0" r="8255" b="0"/>
            <wp:docPr id="12" name="图片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6" descr="2"/>
                    <pic:cNvPicPr>
                      <a:picLocks noChangeAspect="1" noChangeArrowheads="1"/>
                    </pic:cNvPicPr>
                  </pic:nvPicPr>
                  <pic:blipFill>
                    <a:blip r:embed="rId27" cstate="print"/>
                    <a:srcRect/>
                    <a:stretch>
                      <a:fillRect/>
                    </a:stretch>
                  </pic:blipFill>
                  <pic:spPr>
                    <a:xfrm>
                      <a:off x="0" y="0"/>
                      <a:ext cx="5573395" cy="3236595"/>
                    </a:xfrm>
                    <a:prstGeom prst="rect">
                      <a:avLst/>
                    </a:prstGeom>
                    <a:noFill/>
                    <a:ln w="9525" cmpd="sng">
                      <a:noFill/>
                      <a:miter lim="800000"/>
                      <a:headEnd/>
                      <a:tailEnd/>
                    </a:ln>
                  </pic:spPr>
                </pic:pic>
              </a:graphicData>
            </a:graphic>
          </wp:inline>
        </w:drawing>
      </w:r>
    </w:p>
    <w:p w14:paraId="27460A30">
      <w:pPr>
        <w:jc w:val="center"/>
      </w:pPr>
      <w:r>
        <w:rPr>
          <w:b/>
          <w:kern w:val="0"/>
          <w:sz w:val="21"/>
          <w:szCs w:val="20"/>
        </w:rPr>
        <w:t>图</w:t>
      </w:r>
      <w:r>
        <w:rPr>
          <w:rFonts w:hint="eastAsia"/>
          <w:b/>
          <w:kern w:val="0"/>
          <w:sz w:val="21"/>
          <w:szCs w:val="20"/>
        </w:rPr>
        <w:t>1-3</w:t>
      </w:r>
      <w:r>
        <w:rPr>
          <w:b/>
          <w:kern w:val="0"/>
          <w:sz w:val="21"/>
          <w:szCs w:val="20"/>
        </w:rPr>
        <w:t xml:space="preserve"> 水源地保护区取水口周边土地利用现状图</w:t>
      </w:r>
    </w:p>
    <w:p w14:paraId="39088770">
      <w:pPr>
        <w:pStyle w:val="5"/>
        <w:rPr>
          <w:rStyle w:val="33"/>
          <w:b w:val="0"/>
          <w:sz w:val="24"/>
          <w:szCs w:val="28"/>
        </w:rPr>
      </w:pPr>
      <w:bookmarkStart w:id="95" w:name="_Toc21221"/>
      <w:bookmarkStart w:id="96" w:name="_Toc7331"/>
      <w:r>
        <w:rPr>
          <w:rStyle w:val="33"/>
          <w:b w:val="0"/>
          <w:sz w:val="24"/>
          <w:szCs w:val="28"/>
        </w:rPr>
        <w:t>1.</w:t>
      </w:r>
      <w:r>
        <w:rPr>
          <w:rStyle w:val="33"/>
          <w:rFonts w:hint="eastAsia"/>
          <w:b w:val="0"/>
          <w:sz w:val="24"/>
          <w:szCs w:val="28"/>
        </w:rPr>
        <w:t>10</w:t>
      </w:r>
      <w:r>
        <w:rPr>
          <w:rStyle w:val="33"/>
          <w:b w:val="0"/>
          <w:sz w:val="24"/>
          <w:szCs w:val="28"/>
        </w:rPr>
        <w:t>.4气候、气象</w:t>
      </w:r>
      <w:bookmarkEnd w:id="95"/>
      <w:bookmarkEnd w:id="96"/>
    </w:p>
    <w:p w14:paraId="0CDE90C1">
      <w:pPr>
        <w:ind w:firstLine="480" w:firstLineChars="200"/>
      </w:pPr>
      <w:r>
        <w:t>绥宁县地处亚热带季风区，气候温和，四季分明，雨季明显，酷热和严冬持续时间不长，境内地形复杂，高山低谷纵横，立体气候分明，昼夜温差大，雨量充沛，年际变化较小，空气湿度大，雾日较多。</w:t>
      </w:r>
    </w:p>
    <w:p w14:paraId="1DE586DC">
      <w:pPr>
        <w:ind w:firstLine="480" w:firstLineChars="200"/>
      </w:pPr>
      <w:r>
        <w:t>主要气象参数如下：</w:t>
      </w:r>
    </w:p>
    <w:p w14:paraId="557556A8">
      <w:pPr>
        <w:ind w:firstLine="480" w:firstLineChars="200"/>
      </w:pPr>
      <w:r>
        <w:t>历年平均气温：16.6℃；</w:t>
      </w:r>
    </w:p>
    <w:p w14:paraId="31C8B097">
      <w:pPr>
        <w:ind w:firstLine="480" w:firstLineChars="200"/>
      </w:pPr>
      <w:r>
        <w:t>历年极端最高气温：39.8℃；</w:t>
      </w:r>
    </w:p>
    <w:p w14:paraId="698C107C">
      <w:pPr>
        <w:ind w:firstLine="480" w:firstLineChars="200"/>
      </w:pPr>
      <w:r>
        <w:t>历年极端最低气温：-10.7℃；</w:t>
      </w:r>
    </w:p>
    <w:p w14:paraId="40D94A6D">
      <w:pPr>
        <w:ind w:firstLine="480" w:firstLineChars="200"/>
      </w:pPr>
      <w:r>
        <w:t>历年平均蒸发量：1210.7mm；</w:t>
      </w:r>
    </w:p>
    <w:p w14:paraId="3FFBFC88">
      <w:pPr>
        <w:ind w:firstLine="480" w:firstLineChars="200"/>
      </w:pPr>
      <w:r>
        <w:t>历年平均降水量：1679.2mm；</w:t>
      </w:r>
    </w:p>
    <w:p w14:paraId="14634C73">
      <w:pPr>
        <w:ind w:firstLine="480" w:firstLineChars="200"/>
      </w:pPr>
      <w:r>
        <w:t>最大年降水量：1679.2mm；</w:t>
      </w:r>
    </w:p>
    <w:p w14:paraId="1B256D08">
      <w:pPr>
        <w:ind w:firstLine="480" w:firstLineChars="200"/>
      </w:pPr>
      <w:r>
        <w:t>最小年降水量：1064.6mm；</w:t>
      </w:r>
    </w:p>
    <w:p w14:paraId="529E6576">
      <w:pPr>
        <w:ind w:firstLine="480" w:firstLineChars="200"/>
      </w:pPr>
      <w:r>
        <w:t>年平均气温相对湿度：82%，</w:t>
      </w:r>
    </w:p>
    <w:p w14:paraId="2D67F81D">
      <w:pPr>
        <w:ind w:firstLine="480" w:firstLineChars="200"/>
      </w:pPr>
      <w:r>
        <w:t>年平均气压：979.0hPa；</w:t>
      </w:r>
    </w:p>
    <w:p w14:paraId="083B2F19">
      <w:pPr>
        <w:ind w:firstLine="480" w:firstLineChars="200"/>
      </w:pPr>
      <w:r>
        <w:t>风向：常年主导风向为东北风，夏季主导风向为东南风和西南风，</w:t>
      </w:r>
    </w:p>
    <w:p w14:paraId="2B0E59D9">
      <w:pPr>
        <w:ind w:firstLine="480" w:firstLineChars="200"/>
      </w:pPr>
      <w:r>
        <w:t>冬季主导风向为东北风和东风。多年平均风速 1.2m/s，历年最大风速为 20m/s。</w:t>
      </w:r>
    </w:p>
    <w:p w14:paraId="7B56F309">
      <w:pPr>
        <w:ind w:firstLine="480" w:firstLineChars="200"/>
      </w:pPr>
      <w:r>
        <w:t>年平均无霜期：308 天。</w:t>
      </w:r>
    </w:p>
    <w:p w14:paraId="00E06899">
      <w:pPr>
        <w:pStyle w:val="5"/>
        <w:rPr>
          <w:rStyle w:val="33"/>
          <w:b w:val="0"/>
          <w:sz w:val="24"/>
          <w:szCs w:val="28"/>
        </w:rPr>
      </w:pPr>
      <w:bookmarkStart w:id="97" w:name="_Toc26224"/>
      <w:bookmarkStart w:id="98" w:name="_Toc30881"/>
      <w:r>
        <w:rPr>
          <w:rStyle w:val="33"/>
          <w:b w:val="0"/>
          <w:sz w:val="24"/>
          <w:szCs w:val="28"/>
        </w:rPr>
        <w:t>1.</w:t>
      </w:r>
      <w:r>
        <w:rPr>
          <w:rStyle w:val="33"/>
          <w:rFonts w:hint="eastAsia"/>
          <w:b w:val="0"/>
          <w:sz w:val="24"/>
          <w:szCs w:val="28"/>
        </w:rPr>
        <w:t>10</w:t>
      </w:r>
      <w:r>
        <w:rPr>
          <w:rStyle w:val="33"/>
          <w:b w:val="0"/>
          <w:sz w:val="24"/>
          <w:szCs w:val="28"/>
        </w:rPr>
        <w:t>.5水文</w:t>
      </w:r>
      <w:bookmarkEnd w:id="97"/>
      <w:bookmarkEnd w:id="98"/>
    </w:p>
    <w:p w14:paraId="01B52386">
      <w:pPr>
        <w:ind w:firstLine="480" w:firstLineChars="200"/>
      </w:pPr>
      <w:r>
        <w:t>绥宁县多年平均径流总量为 24.350 亿立方米，相应径流深 832 毫米，径流模数 26.38 秒升/平方公里。还原水量 0.613 亿立方米。天然地表径流 24.963 亿立方米，相应径流深 852.9 毫米。</w:t>
      </w:r>
    </w:p>
    <w:p w14:paraId="6D2DB59E">
      <w:pPr>
        <w:ind w:firstLine="480" w:firstLineChars="200"/>
      </w:pPr>
      <w:r>
        <w:t>全县共有溪涧 2500 余条，流域面积大于 10 平方公里或河长 5 公里以上的溪河 94 条，流域面积 100 平方公里以上的河 16 条，其中流域面积 500 平方公里以上的 2 条；溪涧与河流总长 1685.5 公里，河网密度 0.57 公里/平方公里。流域总面积 2926.67 平方公里，西部和东部分属沅、资两大水系。沅水流域 1979.30 平方公里，占总流域面积67.63%；资水流域 947.37 平方公里，占总流域面积的 32.37%。</w:t>
      </w:r>
    </w:p>
    <w:p w14:paraId="41438E6E">
      <w:pPr>
        <w:ind w:firstLine="480" w:firstLineChars="200"/>
      </w:pPr>
      <w:r>
        <w:t>主要河流有：</w:t>
      </w:r>
    </w:p>
    <w:p w14:paraId="4E09519A">
      <w:pPr>
        <w:ind w:firstLine="480" w:firstLineChars="200"/>
      </w:pPr>
      <w:r>
        <w:t>巫水：巫水系过境的沅江一级支流，流经关峡、长铺、双河、竹舟江、河口、麻塘 6 个民族乡和县城长铺镇，流长 63.4 公里，占总长度的 26%，流域面积 1807.977 平方公里，占巫水流域总面积的 43%。</w:t>
      </w:r>
    </w:p>
    <w:p w14:paraId="2C507450">
      <w:pPr>
        <w:ind w:firstLine="480" w:firstLineChars="200"/>
      </w:pPr>
      <w:r>
        <w:t>公溪河：曲溪系沅江的一级支流，发源于水口乡张家冲，由南向北流入洞口县那溪乡，境内流长 14 公里，流域面积 77 平方公里，平均坡降 18%，多年平均径流量 1.60 立方米/秒，支流右有水口溪，左有螺旋溪。</w:t>
      </w:r>
    </w:p>
    <w:p w14:paraId="667591EA">
      <w:pPr>
        <w:ind w:firstLine="480" w:firstLineChars="200"/>
      </w:pPr>
      <w:r>
        <w:t>武阳河：武阳河是资江的一级支流，源于武阳镇七坡山，向东北经李熙桥、盐井、红岩，入洞口县后称蓼水。县内流长 69.6 公里，流域面积 669.6 平方公里。从源头至李熙桥平均河宽约 15 米。李熙桥至青龙滩段较为湍急，平均坡降 12%。其支流，有黄鳝水，在上茅坪从左岸汇入；有双棉溪，在三房从左岸汇入；有秀水溪，在六王从左岸汇入；有广竹水，在李熙桥从右岸汇入；有扶水，在双园从右岸汇入；有岳溪，在上匡从左岸汇入。</w:t>
      </w:r>
    </w:p>
    <w:p w14:paraId="32FEAFBB">
      <w:pPr>
        <w:ind w:firstLine="480" w:firstLineChars="200"/>
      </w:pPr>
      <w:r>
        <w:rPr>
          <w:rFonts w:hint="eastAsia"/>
        </w:rPr>
        <w:t>兰溪</w:t>
      </w:r>
      <w:r>
        <w:t>发源于绥宁县长铺乡堡子岭野猪冲，全长</w:t>
      </w:r>
      <w:r>
        <w:rPr>
          <w:rFonts w:hint="eastAsia"/>
        </w:rPr>
        <w:t>约40</w:t>
      </w:r>
      <w:r>
        <w:t>公里，</w:t>
      </w:r>
      <w:r>
        <w:rPr>
          <w:rFonts w:hint="eastAsia"/>
        </w:rPr>
        <w:t>无其他连接水体，并在水源地保护区下游约13Km处汇入巫水。兰溪的平均河宽为19米，平均水深0.5～0.8m，正常流速为0.5m/s，流量为2.5m</w:t>
      </w:r>
      <w:r>
        <w:rPr>
          <w:rFonts w:hint="eastAsia"/>
          <w:vertAlign w:val="superscript"/>
        </w:rPr>
        <w:t>3</w:t>
      </w:r>
      <w:r>
        <w:rPr>
          <w:rFonts w:hint="eastAsia"/>
        </w:rPr>
        <w:t>/s。兰溪水主要水域功能为农、排洪、渔业等。</w:t>
      </w:r>
    </w:p>
    <w:p w14:paraId="61704A31">
      <w:bookmarkStart w:id="99" w:name="_Toc492841616"/>
      <w:bookmarkStart w:id="100" w:name="_Toc471199921"/>
    </w:p>
    <w:p w14:paraId="5F1DDCE0"/>
    <w:p w14:paraId="1DC9229C"/>
    <w:p w14:paraId="71052A8A"/>
    <w:p w14:paraId="3611CC6E"/>
    <w:p w14:paraId="62FC18C3"/>
    <w:p w14:paraId="609C526D"/>
    <w:p w14:paraId="0EC34D0C">
      <w:pPr>
        <w:pStyle w:val="16"/>
      </w:pPr>
    </w:p>
    <w:p w14:paraId="6099415E"/>
    <w:p w14:paraId="3BDC8265">
      <w:pPr>
        <w:pStyle w:val="16"/>
      </w:pPr>
    </w:p>
    <w:p w14:paraId="1CD04DA1"/>
    <w:p w14:paraId="63010E74">
      <w:pPr>
        <w:pStyle w:val="16"/>
      </w:pPr>
    </w:p>
    <w:p w14:paraId="16080C22"/>
    <w:p w14:paraId="65DB26A1">
      <w:pPr>
        <w:pStyle w:val="16"/>
      </w:pPr>
    </w:p>
    <w:p w14:paraId="7503C75A"/>
    <w:p w14:paraId="3AD68441">
      <w:pPr>
        <w:pStyle w:val="16"/>
      </w:pPr>
    </w:p>
    <w:p w14:paraId="44D8B16D">
      <w:pPr>
        <w:pStyle w:val="16"/>
        <w:ind w:left="0" w:leftChars="0" w:firstLine="0" w:firstLineChars="0"/>
      </w:pPr>
    </w:p>
    <w:p w14:paraId="54AF8878">
      <w:pPr>
        <w:pStyle w:val="3"/>
        <w:jc w:val="center"/>
      </w:pPr>
      <w:bookmarkStart w:id="101" w:name="_Toc7291"/>
      <w:bookmarkStart w:id="102" w:name="_Toc9470"/>
      <w:bookmarkStart w:id="103" w:name="_Toc23696"/>
      <w:bookmarkStart w:id="104" w:name="_Toc14015_WPSOffice_Level1"/>
      <w:r>
        <w:t>第</w:t>
      </w:r>
      <w:r>
        <w:rPr>
          <w:rFonts w:hint="eastAsia"/>
          <w:lang w:val="en-US" w:eastAsia="zh-CN"/>
        </w:rPr>
        <w:t>二</w:t>
      </w:r>
      <w:r>
        <w:t>部分  突发环境事件应急预案</w:t>
      </w:r>
      <w:bookmarkEnd w:id="101"/>
      <w:bookmarkEnd w:id="102"/>
      <w:bookmarkEnd w:id="103"/>
      <w:bookmarkEnd w:id="104"/>
    </w:p>
    <w:p w14:paraId="131DB5F6">
      <w:pPr>
        <w:pStyle w:val="4"/>
      </w:pPr>
      <w:bookmarkStart w:id="105" w:name="_Toc1463"/>
      <w:bookmarkStart w:id="106" w:name="_Toc25499"/>
      <w:bookmarkStart w:id="107" w:name="_Toc17218"/>
      <w:bookmarkStart w:id="108" w:name="_Toc29294_WPSOffice_Level2"/>
      <w:r>
        <w:t>1总则</w:t>
      </w:r>
      <w:bookmarkEnd w:id="105"/>
      <w:bookmarkEnd w:id="106"/>
      <w:bookmarkEnd w:id="107"/>
      <w:bookmarkEnd w:id="108"/>
    </w:p>
    <w:p w14:paraId="7364B910">
      <w:pPr>
        <w:pStyle w:val="5"/>
      </w:pPr>
      <w:bookmarkStart w:id="109" w:name="_Toc18297"/>
      <w:bookmarkStart w:id="110" w:name="_Toc17851"/>
      <w:r>
        <w:t>1.1编制目的</w:t>
      </w:r>
      <w:bookmarkEnd w:id="109"/>
      <w:bookmarkEnd w:id="110"/>
    </w:p>
    <w:p w14:paraId="4280D8AA">
      <w:pPr>
        <w:ind w:firstLine="480" w:firstLineChars="200"/>
      </w:pPr>
      <w:r>
        <w:t>近年来，受生产安全事故、交通事故、违法排污等多种因素的影响，我国饮用水环境安全形势严峻。</w:t>
      </w:r>
    </w:p>
    <w:p w14:paraId="0295591E">
      <w:pPr>
        <w:ind w:firstLine="480" w:firstLineChars="200"/>
      </w:pPr>
      <w:r>
        <w:t>为提高环境保护行政主管部门等饮用水水源管理部门对涉及饮用水安全突发环境事件的防范和处置能力，避免或减少饮用水突发环境事件的发生，最大程度地保障公众健康和人民群众的饮水安全，2012年3月31日，环境保护部印发了《集中式饮用水水源环境保护指南（试行）》（环发〔2012〕50号）。</w:t>
      </w:r>
    </w:p>
    <w:p w14:paraId="66D6D837">
      <w:pPr>
        <w:ind w:firstLine="480" w:firstLineChars="200"/>
      </w:pPr>
      <w:r>
        <w:t>根据各项法律法规和文件要求，绥宁县人民政府及</w:t>
      </w:r>
      <w:r>
        <w:rPr>
          <w:rFonts w:hint="eastAsia"/>
        </w:rPr>
        <w:t>市生态环境局绥宁分局</w:t>
      </w:r>
      <w:r>
        <w:t>、</w:t>
      </w:r>
      <w:r>
        <w:rPr>
          <w:rFonts w:hint="eastAsia"/>
        </w:rPr>
        <w:t>农业农村水利</w:t>
      </w:r>
      <w:r>
        <w:t>局等相关部门也分别开展了饮用水水源地的环境保护工作，首先划定并调整水源保护区范围，并进一步开展饮用水水源地保护区环境状况评估，建立健全饮用水水源保护区突发环境事件应急机制。</w:t>
      </w:r>
    </w:p>
    <w:p w14:paraId="1E7892E5">
      <w:pPr>
        <w:ind w:firstLine="480" w:firstLineChars="200"/>
      </w:pPr>
      <w:r>
        <w:t>为提高应对公共饮水危机的能力，保障公众身体健康和生命安全，维护社会稳定，促进社会全面协调可持续发展，绥宁县人民政府及</w:t>
      </w:r>
      <w:r>
        <w:rPr>
          <w:rFonts w:hint="eastAsia"/>
        </w:rPr>
        <w:t>县政府办、邵阳市生态环境局绥宁分局</w:t>
      </w:r>
      <w:r>
        <w:t>、</w:t>
      </w:r>
      <w:r>
        <w:rPr>
          <w:rFonts w:hint="eastAsia"/>
        </w:rPr>
        <w:t>农业农村水利</w:t>
      </w:r>
      <w:r>
        <w:t>局等饮用水源管理部门对饮用水水源地环境风险状况进行评估并建立主要污染源和污染物排放清单，以提高</w:t>
      </w:r>
      <w:r>
        <w:rPr>
          <w:rFonts w:hint="eastAsia"/>
        </w:rPr>
        <w:t>邵阳市生态环境局绥宁分局</w:t>
      </w:r>
      <w:r>
        <w:t>等饮用水源管理部门对涉及饮用水安全突发环境事件的防范和处置能力，避免或减少饮用水突发环境事件的发生。</w:t>
      </w:r>
    </w:p>
    <w:p w14:paraId="4D41C4C5">
      <w:pPr>
        <w:ind w:firstLine="480" w:firstLineChars="200"/>
      </w:pPr>
      <w:r>
        <w:t>在此基础上，为提升</w:t>
      </w:r>
      <w:r>
        <w:rPr>
          <w:rFonts w:hint="eastAsia"/>
        </w:rPr>
        <w:t>绥宁县关峡苗族乡兰溪水饮用水水源地保护区</w:t>
      </w:r>
      <w:r>
        <w:t>（以下简称“水源地保护区”）突发环境事件应急能力，建立完善水源地保护区突发环境事件应急体系，制定具有可操作性的预防、处置措施，科学、高效、有序地处置突发环境事件，减轻水源地保护区突发环境事件造成的损害，最大程度地保障人民群众的生命安全和身体健康，确保饮水安全，维护社会稳定，结合我县实际制定本预案。</w:t>
      </w:r>
    </w:p>
    <w:p w14:paraId="33A5A831">
      <w:pPr>
        <w:pStyle w:val="5"/>
      </w:pPr>
      <w:bookmarkStart w:id="111" w:name="_Toc13299"/>
      <w:bookmarkStart w:id="112" w:name="_Toc7822"/>
      <w:r>
        <w:t>1.2编制依据</w:t>
      </w:r>
      <w:bookmarkEnd w:id="111"/>
      <w:bookmarkEnd w:id="112"/>
    </w:p>
    <w:p w14:paraId="628E31EA">
      <w:pPr>
        <w:ind w:firstLine="560"/>
      </w:pPr>
      <w:r>
        <w:t>本预案依照以下文件进行编制。</w:t>
      </w:r>
    </w:p>
    <w:p w14:paraId="11459676">
      <w:pPr>
        <w:pStyle w:val="6"/>
      </w:pPr>
      <w:r>
        <w:t>1.2.1 法律、法规和规章</w:t>
      </w:r>
    </w:p>
    <w:p w14:paraId="0D175A19">
      <w:pPr>
        <w:ind w:firstLine="480" w:firstLineChars="200"/>
      </w:pPr>
      <w:r>
        <w:t>（1）《中华人民共和国环境保护法》（2014.4.24修订，2015.1.1起施行，主席令第9号）；</w:t>
      </w:r>
    </w:p>
    <w:p w14:paraId="7C88E204">
      <w:pPr>
        <w:ind w:firstLine="480" w:firstLineChars="200"/>
      </w:pPr>
      <w:r>
        <w:t>（2）《中华人民共和国水污染防治法》(2017.6.27修订，主席令第70号)；</w:t>
      </w:r>
    </w:p>
    <w:p w14:paraId="05563712">
      <w:pPr>
        <w:ind w:firstLine="480" w:firstLineChars="200"/>
      </w:pPr>
      <w:r>
        <w:t>（3）《中华人民共和国水法》（2016年修订）；</w:t>
      </w:r>
    </w:p>
    <w:p w14:paraId="7BA7726C">
      <w:pPr>
        <w:ind w:firstLine="480" w:firstLineChars="200"/>
      </w:pPr>
      <w:r>
        <w:t>（4）《中华人民共和国突发事件应对法》（2007.8.30，主席令第69号）；</w:t>
      </w:r>
    </w:p>
    <w:p w14:paraId="1FE63187">
      <w:pPr>
        <w:ind w:firstLine="480" w:firstLineChars="200"/>
      </w:pPr>
      <w:r>
        <w:t>（5）《中华人民共和国水污染防治法实施细则》（2000年3月20日发布实施）；</w:t>
      </w:r>
    </w:p>
    <w:p w14:paraId="3875E6F8">
      <w:pPr>
        <w:ind w:firstLine="480" w:firstLineChars="200"/>
      </w:pPr>
      <w:r>
        <w:t>（6）《危险化学品安全管理条例》（2011.2.6修订，国务院令第591号）；</w:t>
      </w:r>
    </w:p>
    <w:p w14:paraId="7AE1AD7B">
      <w:pPr>
        <w:ind w:firstLine="480" w:firstLineChars="200"/>
      </w:pPr>
      <w:r>
        <w:t>（7）《中华人民共和国监控化学品管理条例》（1999.12.27，国务院令第190号）；</w:t>
      </w:r>
    </w:p>
    <w:p w14:paraId="4533D64B">
      <w:pPr>
        <w:ind w:firstLine="480" w:firstLineChars="200"/>
      </w:pPr>
      <w:r>
        <w:t>（8）《水污染防治行动计划》（国发﹝2015﹞17号）；</w:t>
      </w:r>
    </w:p>
    <w:p w14:paraId="59A6F4CD">
      <w:pPr>
        <w:ind w:firstLine="480" w:firstLineChars="200"/>
      </w:pPr>
      <w:r>
        <w:t>（9）《饮用水水源保护区污染防治管理规定》（2010年修订，环境保护部令第16号）；</w:t>
      </w:r>
    </w:p>
    <w:p w14:paraId="1FB1F0D2">
      <w:pPr>
        <w:ind w:firstLine="480" w:firstLineChars="200"/>
      </w:pPr>
      <w:r>
        <w:t>（10）《突发环境事件信息报告办法》（2011.4.18，环境保护部令第17号）；</w:t>
      </w:r>
    </w:p>
    <w:p w14:paraId="2C711C27">
      <w:pPr>
        <w:ind w:firstLine="480" w:firstLineChars="200"/>
      </w:pPr>
      <w:r>
        <w:t>（11）《突发环境事件调查处理办法》（环保部令第32号）；</w:t>
      </w:r>
    </w:p>
    <w:p w14:paraId="6E1E88F9">
      <w:pPr>
        <w:ind w:firstLine="480" w:firstLineChars="200"/>
      </w:pPr>
      <w:r>
        <w:t>（12）《突发环境事件应急管理办法》（环保部令第34号）；</w:t>
      </w:r>
    </w:p>
    <w:p w14:paraId="099D9AFA">
      <w:pPr>
        <w:ind w:firstLine="480" w:firstLineChars="200"/>
      </w:pPr>
      <w:r>
        <w:t>（13）《城市供水水质管理规定》（建设部令第156号）；</w:t>
      </w:r>
    </w:p>
    <w:p w14:paraId="0471CEF1">
      <w:pPr>
        <w:ind w:firstLine="480" w:firstLineChars="200"/>
      </w:pPr>
      <w:r>
        <w:t>（14）《生活饮用水卫生监督管理办法》（中华人民共和国建设部、卫生部令第53号）；</w:t>
      </w:r>
    </w:p>
    <w:p w14:paraId="08EE6D15">
      <w:pPr>
        <w:pStyle w:val="6"/>
      </w:pPr>
      <w:r>
        <w:t>1.2.2 相关预案、标准规范和规范性文件</w:t>
      </w:r>
    </w:p>
    <w:p w14:paraId="7C88B03E">
      <w:pPr>
        <w:ind w:firstLine="480" w:firstLineChars="200"/>
      </w:pPr>
      <w:r>
        <w:t>（1）《国家突发环境事件应急预案》（2014.12.29，国务院办公厅国办函﹝2014﹞119号）；</w:t>
      </w:r>
    </w:p>
    <w:p w14:paraId="13781601">
      <w:pPr>
        <w:ind w:firstLine="480" w:firstLineChars="200"/>
      </w:pPr>
      <w:r>
        <w:t>（2）《国家突发公共事件总体应急预案》；</w:t>
      </w:r>
    </w:p>
    <w:p w14:paraId="6228A4DF">
      <w:pPr>
        <w:ind w:firstLine="480" w:firstLineChars="200"/>
      </w:pPr>
      <w:r>
        <w:t>（3）关于印发《突发环境事件应急预案管理暂行办法》的通知 （环发﹝2010﹞113号）；</w:t>
      </w:r>
    </w:p>
    <w:p w14:paraId="5947E240">
      <w:pPr>
        <w:ind w:firstLine="480" w:firstLineChars="200"/>
      </w:pPr>
      <w:r>
        <w:t>（4）《集中式地表水饮用水水源地突发环境事件应急预案编制指南（试行）》（生态环境部公告 2018年 第1号），2018年3月23日；</w:t>
      </w:r>
    </w:p>
    <w:p w14:paraId="03779518">
      <w:pPr>
        <w:ind w:firstLine="480" w:firstLineChars="200"/>
      </w:pPr>
      <w:r>
        <w:t>（5）《突发环境事件应急监测技术规范》（HJ 589-2010）；</w:t>
      </w:r>
    </w:p>
    <w:p w14:paraId="71AAD49F">
      <w:pPr>
        <w:ind w:firstLine="480" w:firstLineChars="200"/>
      </w:pPr>
      <w:r>
        <w:t>（6）《重大水污染事件报告办法》（水资源﹝2008﹞104号）；</w:t>
      </w:r>
    </w:p>
    <w:p w14:paraId="043AA6E4">
      <w:pPr>
        <w:ind w:firstLine="480" w:firstLineChars="200"/>
      </w:pPr>
      <w:r>
        <w:t>（7）关于印发《地表饮用水源保护区环境应急管理工作指南》的通知（环办﹝2011﹞93号）；</w:t>
      </w:r>
    </w:p>
    <w:p w14:paraId="2A78BFB3">
      <w:pPr>
        <w:ind w:firstLine="480" w:firstLineChars="200"/>
      </w:pPr>
      <w:r>
        <w:t>（8）《集中式饮用水水源环境保护指南（试行）》（环办﹝2012﹞50号）；</w:t>
      </w:r>
    </w:p>
    <w:p w14:paraId="7973DA58">
      <w:pPr>
        <w:ind w:firstLine="480" w:firstLineChars="200"/>
      </w:pPr>
      <w:r>
        <w:t>（9）《湖南省环境保护厅关于进一步加强突发环境事件应急预案管理工作的通知》（湘环函﹝2017﹞107号）。</w:t>
      </w:r>
    </w:p>
    <w:p w14:paraId="62677BD4">
      <w:pPr>
        <w:ind w:firstLine="480" w:firstLineChars="200"/>
      </w:pPr>
      <w:r>
        <w:t>（10）《水利部应对重大突发水污染事件应急预案》（水汛﹝2009﹞488号）；</w:t>
      </w:r>
    </w:p>
    <w:p w14:paraId="59C21315">
      <w:pPr>
        <w:ind w:firstLine="480" w:firstLineChars="200"/>
      </w:pPr>
      <w:r>
        <w:t>（11）《湖南省突发环境事件应急预案》(2012.4.27,湖南省人民政府办公厅,湘政办发﹝2012﹞40号)；</w:t>
      </w:r>
    </w:p>
    <w:p w14:paraId="1B833073">
      <w:pPr>
        <w:ind w:firstLine="480" w:firstLineChars="200"/>
      </w:pPr>
      <w:r>
        <w:t>（12）《湖南省突发环境事件应急预案管理办法》（2013.9.6，湖南省环保厅,湘环发﹝2013﹞20号）；</w:t>
      </w:r>
    </w:p>
    <w:p w14:paraId="4892761A">
      <w:pPr>
        <w:ind w:firstLine="480" w:firstLineChars="200"/>
      </w:pPr>
      <w:r>
        <w:t>（13）《湖南省环境保护厅突发环境事件应急工作办法》（2013.5.30, 湖南省环保厅湘环办函﹝2013﹞22号）；</w:t>
      </w:r>
    </w:p>
    <w:p w14:paraId="72545A6D">
      <w:pPr>
        <w:ind w:firstLine="480" w:firstLineChars="200"/>
      </w:pPr>
      <w:r>
        <w:t>（14）《邵阳市突发环境事件应急预案》（市政办函﹝20</w:t>
      </w:r>
      <w:r>
        <w:rPr>
          <w:rFonts w:hint="eastAsia"/>
        </w:rPr>
        <w:t>21</w:t>
      </w:r>
      <w:r>
        <w:t>﹞14号）；</w:t>
      </w:r>
    </w:p>
    <w:p w14:paraId="64F0EFE0">
      <w:pPr>
        <w:ind w:firstLine="480" w:firstLineChars="200"/>
      </w:pPr>
      <w:r>
        <w:t>（15）《邵阳市人民政府突发公共事件总体应急预案》；</w:t>
      </w:r>
    </w:p>
    <w:p w14:paraId="627AE9C4">
      <w:pPr>
        <w:ind w:firstLine="480" w:firstLineChars="200"/>
      </w:pPr>
      <w:r>
        <w:t>（16）《绥宁县人民政府突发环境事件应急预案》</w:t>
      </w:r>
      <w:r>
        <w:rPr>
          <w:rFonts w:hint="eastAsia"/>
        </w:rPr>
        <w:t>（</w:t>
      </w:r>
      <w:r>
        <w:t>绥政办发[2019]56号</w:t>
      </w:r>
      <w:r>
        <w:rPr>
          <w:rFonts w:hint="eastAsia"/>
        </w:rPr>
        <w:t>）</w:t>
      </w:r>
      <w:r>
        <w:t>。</w:t>
      </w:r>
    </w:p>
    <w:p w14:paraId="39A6049D">
      <w:pPr>
        <w:pStyle w:val="6"/>
      </w:pPr>
      <w:r>
        <w:t>1.2.3 其他相关资料</w:t>
      </w:r>
    </w:p>
    <w:p w14:paraId="55A77067">
      <w:pPr>
        <w:ind w:firstLine="480" w:firstLineChars="200"/>
        <w:rPr>
          <w:rFonts w:hint="eastAsia"/>
        </w:rPr>
      </w:pPr>
      <w:r>
        <w:t>（1）《邵阳市</w:t>
      </w:r>
      <w:r>
        <w:rPr>
          <w:rFonts w:hint="eastAsia"/>
        </w:rPr>
        <w:t>绥宁县关峡苗族乡兰溪水饮用水水源地保护区</w:t>
      </w:r>
      <w:r>
        <w:t>划分技术报告》</w:t>
      </w:r>
      <w:r>
        <w:rPr>
          <w:rFonts w:hint="eastAsia"/>
        </w:rPr>
        <w:t>；</w:t>
      </w:r>
    </w:p>
    <w:p w14:paraId="759D66A7">
      <w:pPr>
        <w:ind w:firstLine="480" w:firstLineChars="200"/>
      </w:pPr>
      <w:r>
        <w:rPr>
          <w:rFonts w:hint="eastAsia"/>
        </w:rPr>
        <w:t>（2）《绥宁县关峡苗族乡兰溪水饮用水水源地保护区突发环境事件应急预案》（2020年版）</w:t>
      </w:r>
      <w:r>
        <w:t>。</w:t>
      </w:r>
    </w:p>
    <w:p w14:paraId="63B60AEE">
      <w:pPr>
        <w:pStyle w:val="5"/>
      </w:pPr>
      <w:bookmarkStart w:id="113" w:name="_Toc2092"/>
      <w:bookmarkStart w:id="114" w:name="_Toc8213"/>
      <w:r>
        <w:t>1.3适用范围</w:t>
      </w:r>
      <w:bookmarkEnd w:id="113"/>
      <w:bookmarkEnd w:id="114"/>
    </w:p>
    <w:p w14:paraId="3C6DF1B2">
      <w:pPr>
        <w:ind w:firstLine="480" w:firstLineChars="200"/>
      </w:pPr>
      <w:r>
        <w:rPr>
          <w:u w:val="wave"/>
        </w:rPr>
        <w:t>本应急预案主要针对因固定源、流动源、非点源突发环境事件等3种类型情景导致的水源地保护区突发环境事件。主要适用于水源地保护区边界向</w:t>
      </w:r>
      <w:r>
        <w:rPr>
          <w:rFonts w:hint="eastAsia"/>
          <w:u w:val="wave"/>
        </w:rPr>
        <w:t>关峡苗族乡兰溪水</w:t>
      </w:r>
      <w:r>
        <w:rPr>
          <w:u w:val="wave"/>
        </w:rPr>
        <w:t>水源地保护区</w:t>
      </w:r>
      <w:r>
        <w:rPr>
          <w:rFonts w:hint="eastAsia"/>
          <w:u w:val="wave"/>
        </w:rPr>
        <w:t>取水口至上游发源地（约27Km）</w:t>
      </w:r>
      <w:r>
        <w:rPr>
          <w:u w:val="wave"/>
        </w:rPr>
        <w:t>内及周边汇水区域内的水域和分水岭内的陆域且需要由绥宁县人民政府指导、督促、协调、处理的水源地保护区突发环境事件应急工作。</w:t>
      </w:r>
    </w:p>
    <w:p w14:paraId="0A1DD73A">
      <w:pPr>
        <w:pStyle w:val="6"/>
      </w:pPr>
      <w:r>
        <w:t>1.3.1固定源突发环境事件</w:t>
      </w:r>
    </w:p>
    <w:p w14:paraId="5A20379B">
      <w:pPr>
        <w:ind w:firstLine="480" w:firstLineChars="200"/>
      </w:pPr>
      <w:r>
        <w:t xml:space="preserve">可能发生突发环境事件的污染物排放企业；生产、储存、运输、使用危险化学品的企业；产生、收集、贮存、运输、利用、处置危险废物的企业，以及尾矿库等固定源，因自然灾害、生产安全事故、设备设施故障、违法排污等原因，导致水源地风险物质直排入河道、湖库或渗入土壤造成水质污染的事件。 </w:t>
      </w:r>
    </w:p>
    <w:p w14:paraId="1E2366CD">
      <w:pPr>
        <w:pStyle w:val="6"/>
      </w:pPr>
      <w:r>
        <w:t>1.3.2流动源突发环境事件</w:t>
      </w:r>
    </w:p>
    <w:p w14:paraId="47AAB8AC">
      <w:pPr>
        <w:ind w:firstLine="480" w:firstLineChars="200"/>
      </w:pPr>
      <w:r>
        <w:t>在公路或水路运输过程中由于交通事故、设备故障等原因，导致油品、化学品或其它有毒有害物质进入河道或渗入土壤造成水质污染的事件。</w:t>
      </w:r>
    </w:p>
    <w:p w14:paraId="6C74A1C5">
      <w:pPr>
        <w:pStyle w:val="6"/>
      </w:pPr>
      <w:r>
        <w:t>1.3.3非点源突发环境事件</w:t>
      </w:r>
    </w:p>
    <w:p w14:paraId="5141B206">
      <w:pPr>
        <w:ind w:firstLine="480" w:firstLineChars="200"/>
      </w:pPr>
      <w:r>
        <w:t>主要包括以下两种情形：一是暴雨冲刷畜禽养殖废物、农田或果园土壤，导致大量细菌、致病菌、农药、化肥等污染物随地表或地下径流进入水体造成水质污染；二是闸坝调控等原因导致坝前污水短期集中排放造成水质污染。</w:t>
      </w:r>
    </w:p>
    <w:p w14:paraId="2E4EDB60">
      <w:pPr>
        <w:pStyle w:val="5"/>
      </w:pPr>
      <w:bookmarkStart w:id="115" w:name="_Toc23020"/>
      <w:bookmarkStart w:id="116" w:name="_Toc12354"/>
      <w:r>
        <w:t>1.4应急预案衔接</w:t>
      </w:r>
      <w:bookmarkEnd w:id="115"/>
      <w:bookmarkEnd w:id="116"/>
    </w:p>
    <w:p w14:paraId="6E056607">
      <w:pPr>
        <w:pStyle w:val="6"/>
      </w:pPr>
      <w:r>
        <w:t>1.4.1风险应急预案的衔接</w:t>
      </w:r>
    </w:p>
    <w:p w14:paraId="6E8DA0E8">
      <w:pPr>
        <w:ind w:firstLine="480" w:firstLineChars="200"/>
      </w:pPr>
      <w:r>
        <w:rPr>
          <w:rFonts w:hint="eastAsia"/>
        </w:rPr>
        <w:t>绥宁县关峡苗族乡兰溪水饮用水水源地保护区</w:t>
      </w:r>
      <w:r>
        <w:t>的日常监管由绥宁县一级行政部门负责，在突发环境事件启动外部应急预案时，将由县一级政府部门负责具体处置工作。因此，本部分主要分析本应急预案与绥宁县发布的应急预案的衔接性。</w:t>
      </w:r>
    </w:p>
    <w:p w14:paraId="5FE6FE02">
      <w:pPr>
        <w:ind w:firstLine="480" w:firstLineChars="200"/>
        <w:rPr>
          <w:kern w:val="0"/>
          <w:lang w:val="zh-CN"/>
        </w:rPr>
      </w:pPr>
      <w:r>
        <w:t>（1）</w:t>
      </w:r>
      <w:r>
        <w:rPr>
          <w:kern w:val="0"/>
          <w:lang w:val="zh-CN"/>
        </w:rPr>
        <w:t>应急组织机构、人员的衔接</w:t>
      </w:r>
    </w:p>
    <w:p w14:paraId="0312C664">
      <w:pPr>
        <w:ind w:firstLine="480" w:firstLineChars="200"/>
      </w:pPr>
      <w:r>
        <w:t>当</w:t>
      </w:r>
      <w:r>
        <w:rPr>
          <w:rFonts w:hint="eastAsia"/>
        </w:rPr>
        <w:t>绥宁县关峡苗族乡兰溪水饮用水水源地保护区</w:t>
      </w:r>
      <w:r>
        <w:t>内及其汇水区域内固定源、流动源、非点源发生突发环境事件时，可能对水源地保护区范围内的水质造成影响，水源地保护区负责联络人员应及时承担起与县政府应急组织指挥部的联系工作，及时将事故发生情况及最新进展向指挥机构汇报；相关部门编制环境污染事故报告，并将报告向上级部门汇报。</w:t>
      </w:r>
    </w:p>
    <w:p w14:paraId="1827DEDE">
      <w:pPr>
        <w:ind w:firstLine="480" w:firstLineChars="200"/>
        <w:rPr>
          <w:lang w:val="zh-CN"/>
        </w:rPr>
      </w:pPr>
      <w:r>
        <w:rPr>
          <w:lang w:val="zh-CN"/>
        </w:rPr>
        <w:t>（2）应急救援保障的衔接</w:t>
      </w:r>
    </w:p>
    <w:p w14:paraId="69CECC7C">
      <w:pPr>
        <w:ind w:firstLine="480" w:firstLineChars="200"/>
      </w:pPr>
      <w:r>
        <w:rPr>
          <w:kern w:val="0"/>
          <w:lang w:val="zh-CN"/>
        </w:rPr>
        <w:t>①公共援助力量：</w:t>
      </w:r>
      <w:r>
        <w:t>可以联系绥宁县人民政府、</w:t>
      </w:r>
      <w:r>
        <w:rPr>
          <w:rFonts w:hint="eastAsia"/>
        </w:rPr>
        <w:t>县政府办、</w:t>
      </w:r>
      <w:r>
        <w:t>县农业</w:t>
      </w:r>
      <w:r>
        <w:rPr>
          <w:rFonts w:hint="eastAsia"/>
        </w:rPr>
        <w:t>农村</w:t>
      </w:r>
      <w:r>
        <w:t>水利</w:t>
      </w:r>
      <w:r>
        <w:rPr>
          <w:rFonts w:hint="eastAsia"/>
          <w:lang w:val="en-US" w:eastAsia="zh-CN"/>
        </w:rPr>
        <w:t>局</w:t>
      </w:r>
      <w:r>
        <w:t>、县林业</w:t>
      </w:r>
      <w:r>
        <w:rPr>
          <w:rFonts w:hint="eastAsia"/>
          <w:lang w:val="en-US" w:eastAsia="zh-CN"/>
        </w:rPr>
        <w:t>局</w:t>
      </w:r>
      <w:r>
        <w:t>、</w:t>
      </w:r>
      <w:r>
        <w:rPr>
          <w:rFonts w:hint="eastAsia"/>
        </w:rPr>
        <w:t>邵阳市生态环境局绥宁分局</w:t>
      </w:r>
      <w:r>
        <w:t>、县</w:t>
      </w:r>
      <w:r>
        <w:rPr>
          <w:rFonts w:hint="eastAsia"/>
        </w:rPr>
        <w:t>卫健</w:t>
      </w:r>
      <w:r>
        <w:rPr>
          <w:rFonts w:hint="eastAsia"/>
          <w:lang w:val="en-US" w:eastAsia="zh-CN"/>
        </w:rPr>
        <w:t>局</w:t>
      </w:r>
      <w:r>
        <w:t>、县交通运输局及公安</w:t>
      </w:r>
      <w:r>
        <w:rPr>
          <w:rFonts w:hint="eastAsia"/>
          <w:lang w:val="en-US" w:eastAsia="zh-CN"/>
        </w:rPr>
        <w:t>局</w:t>
      </w:r>
      <w:r>
        <w:t>等相关职责部门，请求救援力量、设备的支持。</w:t>
      </w:r>
    </w:p>
    <w:p w14:paraId="43ADAA5D">
      <w:pPr>
        <w:ind w:firstLine="480" w:firstLineChars="200"/>
        <w:jc w:val="left"/>
        <w:rPr>
          <w:kern w:val="0"/>
          <w:lang w:val="zh-CN"/>
        </w:rPr>
      </w:pPr>
      <w:r>
        <w:rPr>
          <w:kern w:val="0"/>
          <w:lang w:val="zh-CN"/>
        </w:rPr>
        <w:t>②专家援助：水源地保护区建立风险事故救援安全专家库，在紧急情况下，可以联系获取救援支持。</w:t>
      </w:r>
    </w:p>
    <w:p w14:paraId="65F29EAD">
      <w:pPr>
        <w:ind w:firstLine="480" w:firstLineChars="200"/>
        <w:jc w:val="left"/>
        <w:rPr>
          <w:kern w:val="0"/>
          <w:lang w:val="zh-CN"/>
        </w:rPr>
      </w:pPr>
      <w:r>
        <w:rPr>
          <w:kern w:val="0"/>
          <w:lang w:val="zh-CN"/>
        </w:rPr>
        <w:t>（3）公众教育的衔接</w:t>
      </w:r>
    </w:p>
    <w:p w14:paraId="349359B0">
      <w:pPr>
        <w:ind w:firstLine="480" w:firstLineChars="200"/>
      </w:pPr>
      <w:r>
        <w:t>对水源地保护区内及附近的公众开展教育、培训时，应加强与周边公众和相关单位的交流，如发生事故，可更好的疏散人群、防护污染。</w:t>
      </w:r>
    </w:p>
    <w:p w14:paraId="1E13ABA3">
      <w:pPr>
        <w:pStyle w:val="10"/>
        <w:numPr>
          <w:ilvl w:val="0"/>
          <w:numId w:val="0"/>
        </w:numPr>
        <w:ind w:firstLine="480" w:firstLineChars="200"/>
      </w:pPr>
      <w:r>
        <w:rPr>
          <w:rFonts w:hint="eastAsia"/>
          <w:lang w:eastAsia="zh-CN"/>
        </w:rPr>
        <w:t>（</w:t>
      </w:r>
      <w:r>
        <w:rPr>
          <w:rFonts w:hint="eastAsia"/>
          <w:lang w:val="en-US" w:eastAsia="zh-CN"/>
        </w:rPr>
        <w:t>4</w:t>
      </w:r>
      <w:r>
        <w:rPr>
          <w:rFonts w:hint="eastAsia"/>
          <w:lang w:eastAsia="zh-CN"/>
        </w:rPr>
        <w:t>）</w:t>
      </w:r>
      <w:r>
        <w:t>与《绥宁县城市供水事故应急预案》的衔接</w:t>
      </w:r>
    </w:p>
    <w:p w14:paraId="1BFA2D07">
      <w:pPr>
        <w:ind w:firstLine="480" w:firstLineChars="200"/>
        <w:jc w:val="left"/>
        <w:rPr>
          <w:rFonts w:hint="eastAsia" w:hAnsi="宋体"/>
        </w:rPr>
      </w:pPr>
      <w:r>
        <w:t>《绥宁县城市供水事故应急预案》（绥政办发〔2014〕86号）</w:t>
      </w:r>
      <w:r>
        <w:rPr>
          <w:rFonts w:hint="eastAsia"/>
        </w:rPr>
        <w:t>设立了绥宁县城市供水事故应急指挥部，将城市供水事故分为</w:t>
      </w:r>
      <w:r>
        <w:rPr>
          <w:bCs/>
        </w:rPr>
        <w:t>特别重大（Ⅰ级）、重大（Ⅱ级）、较大（Ⅲ级）和一般（Ⅳ级）四</w:t>
      </w:r>
      <w:r>
        <w:rPr>
          <w:rFonts w:hint="eastAsia"/>
          <w:bCs/>
        </w:rPr>
        <w:t>个事故等级。本应急预案与</w:t>
      </w:r>
      <w:r>
        <w:t>《绥宁县城市供水事故应急预案》</w:t>
      </w:r>
      <w:r>
        <w:rPr>
          <w:rFonts w:hint="eastAsia"/>
        </w:rPr>
        <w:t>相互配合，</w:t>
      </w:r>
      <w:r>
        <w:rPr>
          <w:rFonts w:hint="eastAsia" w:hAnsi="宋体"/>
        </w:rPr>
        <w:t>针对突发环境事件发生、发展及污染物迁移的全过程，共同配合做好污染物拦截、信息收集研判、事件遇见和应急响应等工作。</w:t>
      </w:r>
    </w:p>
    <w:p w14:paraId="50E9D298">
      <w:pPr>
        <w:pStyle w:val="16"/>
        <w:numPr>
          <w:ilvl w:val="0"/>
          <w:numId w:val="1"/>
        </w:numPr>
        <w:rPr>
          <w:rFonts w:hint="eastAsia" w:hAnsi="宋体"/>
          <w:u w:val="wave"/>
          <w:lang w:val="en-US" w:eastAsia="zh-CN"/>
        </w:rPr>
      </w:pPr>
      <w:r>
        <w:rPr>
          <w:rFonts w:hint="eastAsia" w:hAnsi="宋体"/>
          <w:u w:val="wave"/>
          <w:lang w:val="en-US" w:eastAsia="zh-CN"/>
        </w:rPr>
        <w:t>与《绥宁县突发环境事件应急预案》的衔接</w:t>
      </w:r>
    </w:p>
    <w:p w14:paraId="2AD1F459">
      <w:pPr>
        <w:numPr>
          <w:ilvl w:val="0"/>
          <w:numId w:val="0"/>
        </w:numPr>
        <w:ind w:firstLine="480" w:firstLineChars="200"/>
        <w:rPr>
          <w:rFonts w:hint="default"/>
          <w:u w:val="wave"/>
          <w:lang w:val="en-US" w:eastAsia="zh-CN"/>
        </w:rPr>
      </w:pPr>
      <w:r>
        <w:rPr>
          <w:rFonts w:hint="default"/>
          <w:u w:val="wave"/>
          <w:lang w:val="en-US" w:eastAsia="zh-CN"/>
        </w:rPr>
        <w:t>《</w:t>
      </w:r>
      <w:r>
        <w:rPr>
          <w:rFonts w:hint="eastAsia"/>
          <w:u w:val="wave"/>
          <w:lang w:val="en-US" w:eastAsia="zh-CN"/>
        </w:rPr>
        <w:t>绥宁</w:t>
      </w:r>
      <w:r>
        <w:rPr>
          <w:rFonts w:hint="default"/>
          <w:u w:val="wave"/>
          <w:lang w:val="en-US" w:eastAsia="zh-CN"/>
        </w:rPr>
        <w:t>县突发环境事件应急预案》适用于</w:t>
      </w:r>
      <w:r>
        <w:rPr>
          <w:rFonts w:hint="eastAsia"/>
          <w:u w:val="wave"/>
          <w:lang w:val="en-US" w:eastAsia="zh-CN"/>
        </w:rPr>
        <w:t>绥宁</w:t>
      </w:r>
      <w:r>
        <w:rPr>
          <w:rFonts w:hint="default"/>
          <w:u w:val="wave"/>
          <w:lang w:val="en-US" w:eastAsia="zh-CN"/>
        </w:rPr>
        <w:t>县行政区域内或发生在县外对本县有较大影响的突发环境事件应对工作。</w:t>
      </w:r>
    </w:p>
    <w:p w14:paraId="205E1E65">
      <w:pPr>
        <w:numPr>
          <w:ilvl w:val="0"/>
          <w:numId w:val="0"/>
        </w:numPr>
        <w:ind w:firstLine="480" w:firstLineChars="200"/>
        <w:rPr>
          <w:rFonts w:hint="default"/>
          <w:u w:val="wave"/>
          <w:lang w:val="en-US" w:eastAsia="zh-CN"/>
        </w:rPr>
      </w:pPr>
      <w:r>
        <w:rPr>
          <w:rFonts w:hint="eastAsia"/>
          <w:u w:val="wave"/>
          <w:lang w:val="en-US" w:eastAsia="zh-CN"/>
        </w:rPr>
        <w:t>县人民政府设立绥宁县突发环境事件应急指挥部，由县人民政府分管副县长任指挥长，县政府办公室分管副主任、市生态环境局绥宁分局局长、县公安局分管副局长任副指挥长，县人武部、县委宣传部、县发改局（县人防办）、县公安局、县民政局、县财政局、市生态环境局绥宁分局、县住房和城乡建设局、县城市管理和综合执法局、县武警中队、县消防救援大队、县委网信办、县应急管理局、县自然资源局、县林业局、县交通运输局、县卫生健康局、县市场监督管理局、县教育局、县农业农村水利局、县水文站、县文化旅游广电体育局、县气象局、国网绥宁供电公司等部门（单位）主要负责人为指挥部成员。</w:t>
      </w:r>
    </w:p>
    <w:p w14:paraId="754EBB37">
      <w:pPr>
        <w:numPr>
          <w:ilvl w:val="0"/>
          <w:numId w:val="0"/>
        </w:numPr>
        <w:ind w:firstLine="480" w:firstLineChars="200"/>
        <w:rPr>
          <w:rFonts w:hint="default"/>
          <w:u w:val="wave"/>
          <w:lang w:val="en-US" w:eastAsia="zh-CN"/>
        </w:rPr>
      </w:pPr>
      <w:r>
        <w:rPr>
          <w:rFonts w:hint="default"/>
          <w:u w:val="wave"/>
          <w:lang w:val="en-US" w:eastAsia="zh-CN"/>
        </w:rPr>
        <w:t>县环境应急指挥部下设办公室，办公室设在市生态环境局绥宁分局，由市生态环境局绥宁分局局长兼任办公室主任。</w:t>
      </w:r>
    </w:p>
    <w:p w14:paraId="1161FC44">
      <w:pPr>
        <w:numPr>
          <w:ilvl w:val="0"/>
          <w:numId w:val="0"/>
        </w:numPr>
        <w:ind w:firstLine="480" w:firstLineChars="200"/>
        <w:rPr>
          <w:rFonts w:hint="default"/>
          <w:u w:val="wave"/>
          <w:lang w:val="en-US" w:eastAsia="zh-CN"/>
        </w:rPr>
      </w:pPr>
      <w:r>
        <w:rPr>
          <w:rFonts w:hint="default"/>
          <w:u w:val="wave"/>
          <w:lang w:val="en-US" w:eastAsia="zh-CN"/>
        </w:rPr>
        <w:t>当水源地发生突发环境事故时，由事故现场负责人通报县突发环境事件应急指挥部，由指挥长即县人民政府分管副县长启动本应急预案。</w:t>
      </w:r>
    </w:p>
    <w:p w14:paraId="6F47BF8A">
      <w:pPr>
        <w:numPr>
          <w:ilvl w:val="0"/>
          <w:numId w:val="0"/>
        </w:numPr>
        <w:bidi w:val="0"/>
        <w:ind w:firstLine="480" w:firstLineChars="200"/>
        <w:rPr>
          <w:rFonts w:hint="eastAsia"/>
          <w:lang w:val="en-US" w:eastAsia="zh-CN"/>
        </w:rPr>
      </w:pPr>
      <w:r>
        <w:rPr>
          <w:rFonts w:hint="eastAsia"/>
          <w:lang w:val="en-US" w:eastAsia="zh-CN"/>
        </w:rPr>
        <w:t>（6）</w:t>
      </w:r>
      <w:r>
        <w:rPr>
          <w:rFonts w:hint="eastAsia"/>
          <w:u w:val="wave"/>
          <w:lang w:val="en-US" w:eastAsia="zh-CN"/>
        </w:rPr>
        <w:t>与《绥宁县虾子溪集中式饮用水水源地保护区突发环境事件应急预案》的衔接</w:t>
      </w:r>
    </w:p>
    <w:p w14:paraId="0E2C6DC9">
      <w:pPr>
        <w:bidi w:val="0"/>
        <w:ind w:firstLine="480" w:firstLineChars="200"/>
        <w:rPr>
          <w:rFonts w:hint="default"/>
          <w:u w:val="wave"/>
          <w:lang w:val="en-US" w:eastAsia="zh-CN"/>
        </w:rPr>
      </w:pPr>
      <w:r>
        <w:rPr>
          <w:rFonts w:hint="default"/>
          <w:u w:val="wave"/>
          <w:lang w:val="en-US" w:eastAsia="zh-CN"/>
        </w:rPr>
        <w:t>绥宁县关峡苗族乡兰溪水饮用水水源地保护区</w:t>
      </w:r>
      <w:r>
        <w:rPr>
          <w:rFonts w:hint="eastAsia"/>
          <w:u w:val="wave"/>
          <w:lang w:val="en-US" w:eastAsia="zh-CN"/>
        </w:rPr>
        <w:t>与县级水源地保护区即绥宁县虾子溪集中式饮用水水源地保护区共用同一套应急组织指挥机构即绥宁县集中式饮用水水源地保护区突发环境事件应急指挥部。且当绥宁县关峡苗族乡兰溪水饮用水水源地保护区发生突发环境事件无法进行供水等情况时，可以由县级水源地采用水罐车等方式进行临时性供水。</w:t>
      </w:r>
    </w:p>
    <w:p w14:paraId="0349CFAE">
      <w:pPr>
        <w:ind w:firstLine="480" w:firstLineChars="200"/>
        <w:jc w:val="left"/>
      </w:pPr>
      <w:r>
        <w:t>（</w:t>
      </w:r>
      <w:r>
        <w:rPr>
          <w:rFonts w:hint="eastAsia"/>
          <w:lang w:val="en-US" w:eastAsia="zh-CN"/>
        </w:rPr>
        <w:t>7</w:t>
      </w:r>
      <w:r>
        <w:t>）与上级突发环境事件应急预案的衔接</w:t>
      </w:r>
    </w:p>
    <w:p w14:paraId="028B41A3">
      <w:pPr>
        <w:ind w:firstLine="480" w:firstLineChars="200"/>
      </w:pPr>
      <w:r>
        <w:t>《湖南省突发环境事件应急预案》是针对湖南省范围内可能发生的突发事件制定的风险防范和应急处置预案，主要内容包括组织机构与职责、预警和报告、应急响应、应急保障、后期处置等。《邵阳市突发环境事件应急预案》是针对邵阳市辖区内可能发生的突发环境污染事件、因资源开发造成的生态破坏事件、危险化学品泄漏和固体废物污染事件等突发环境事件而制定的风险防范和应急处置预案，其主要内容包括应急指挥体系及职责、预防预警机制、应急响应、善后工作、应急保障、监督管理等。《绥宁县突发环境事件应急预案》是针对绥宁县范围内可能发生的突发事件制定的风险防范和应急处置预案，主要内容包括组织机构与职责、预警和报告、应急响应、应急保障、后期处置等。</w:t>
      </w:r>
    </w:p>
    <w:p w14:paraId="1D22D9DE">
      <w:pPr>
        <w:ind w:firstLine="465"/>
        <w:jc w:val="left"/>
      </w:pPr>
      <w:r>
        <w:t>本预案属于《湖南省突发环境事件应急预案》、《邵阳市突发环境事件应急预案》构成体系的组成部分之一，预案在具体实施过程中还应与《湖南省突发环境事件应急预案》、《邵阳市突发环境事件应急预案》、《绥宁县突发环境事件应急预案》进行有效衔接，便于事故发生时进行协助救援及资源共享。</w:t>
      </w:r>
    </w:p>
    <w:p w14:paraId="1C3F5C01">
      <w:pPr>
        <w:pStyle w:val="6"/>
      </w:pPr>
      <w:r>
        <w:t>1.4.2 风险防范措施的衔接</w:t>
      </w:r>
    </w:p>
    <w:p w14:paraId="5F103F41">
      <w:pPr>
        <w:adjustRightInd w:val="0"/>
        <w:snapToGrid w:val="0"/>
        <w:ind w:firstLine="480" w:firstLineChars="200"/>
      </w:pPr>
      <w:r>
        <w:t>当水源地保护区应急救援物资不能满足事故现场需求时，可在应急组织指挥机构协调下向相关部门请求援助，以免风险事故的扩大，同时应该服从上级部门的调度，对其他单位救援请求帮助。</w:t>
      </w:r>
    </w:p>
    <w:p w14:paraId="2900074F">
      <w:pPr>
        <w:pStyle w:val="5"/>
      </w:pPr>
      <w:bookmarkStart w:id="117" w:name="_Toc26450"/>
      <w:bookmarkStart w:id="118" w:name="_Toc22320"/>
      <w:r>
        <w:t>1.5工作原则</w:t>
      </w:r>
      <w:bookmarkEnd w:id="117"/>
      <w:bookmarkEnd w:id="118"/>
    </w:p>
    <w:p w14:paraId="03CB43BE">
      <w:pPr>
        <w:ind w:firstLine="480" w:firstLineChars="200"/>
      </w:pPr>
      <w:r>
        <w:t>（1）坚持以人为本，预防为主的原则。切实履行政府的社会管理和公共服务职能，把保障公众健康和生命财产安全作为首要任务，最大限度地降低水源地保护区突发性污染事件造成的危害。</w:t>
      </w:r>
    </w:p>
    <w:p w14:paraId="5274027B">
      <w:pPr>
        <w:ind w:firstLine="480" w:firstLineChars="200"/>
      </w:pPr>
      <w:r>
        <w:t>（2）坚持预防为先的原则。把应对水源地保护区突发性污染事件的各项工作落实在日常管理之中，加强预防措施，完善信息网络建设，增强预警分析，做好预警演练。</w:t>
      </w:r>
    </w:p>
    <w:p w14:paraId="1F106957">
      <w:pPr>
        <w:ind w:firstLine="480" w:firstLineChars="200"/>
      </w:pPr>
      <w:r>
        <w:t>（3）坚持科学处置的原则。实行条块结合、属地为主、专业处置。建立应急指挥机构，形成分级负责、分类指挥、综合协调的科学应急体系。</w:t>
      </w:r>
    </w:p>
    <w:p w14:paraId="58B11D4C">
      <w:pPr>
        <w:ind w:firstLine="480" w:firstLineChars="200"/>
      </w:pPr>
      <w:r>
        <w:t>（4）坚持依法管理的原则。加强有关法律宣传，维护公众的合法权益，使应对饮用水源保护区突发性污染事件的工作规范化、制度化、法制化。</w:t>
      </w:r>
    </w:p>
    <w:p w14:paraId="13C8993F">
      <w:pPr>
        <w:ind w:firstLine="480" w:firstLineChars="200"/>
      </w:pPr>
      <w:r>
        <w:t>（5）坚持依靠科技优先原则。加强水源地保护区安全科学研究和技术开发，采用先进的监测、预测、预警、预防和应急调度等技术措施。充分发挥专家队伍和专业人员的作用，提高应对水源地保护区突发环境事件的科技水平和指挥能力。</w:t>
      </w:r>
    </w:p>
    <w:p w14:paraId="4D42B3D7">
      <w:pPr>
        <w:ind w:firstLine="480" w:firstLineChars="200"/>
      </w:pPr>
      <w:r>
        <w:t>（6）坚持快速反应协同应对原则。加强应急处置队伍建设，建立联动协调制度，充分发挥各部门的应急力量，形成统一指挥、反应灵敏、功能齐全、协调有序、运转高效的应急管理机制。</w:t>
      </w:r>
    </w:p>
    <w:p w14:paraId="7A873E94">
      <w:pPr>
        <w:pStyle w:val="4"/>
      </w:pPr>
      <w:bookmarkStart w:id="119" w:name="_Toc29888"/>
      <w:bookmarkStart w:id="120" w:name="_Toc7287"/>
      <w:bookmarkStart w:id="121" w:name="_Toc27615"/>
      <w:bookmarkStart w:id="122" w:name="_Toc28482_WPSOffice_Level2"/>
      <w:r>
        <w:t>2应急组织指挥体系构成及职责</w:t>
      </w:r>
      <w:bookmarkEnd w:id="119"/>
      <w:bookmarkEnd w:id="120"/>
      <w:bookmarkEnd w:id="121"/>
      <w:bookmarkEnd w:id="122"/>
    </w:p>
    <w:p w14:paraId="64898C29">
      <w:pPr>
        <w:ind w:firstLine="480"/>
      </w:pPr>
      <w:r>
        <w:rPr>
          <w:rFonts w:hint="eastAsia"/>
          <w:u w:val="wave"/>
          <w:lang w:val="en-US" w:eastAsia="zh-CN"/>
        </w:rPr>
        <w:t>本</w:t>
      </w:r>
      <w:r>
        <w:rPr>
          <w:rFonts w:hint="default"/>
          <w:u w:val="wave"/>
          <w:lang w:val="en-US" w:eastAsia="zh-CN"/>
        </w:rPr>
        <w:t>饮用水源地的日常管理机构</w:t>
      </w:r>
      <w:r>
        <w:rPr>
          <w:rFonts w:hint="eastAsia"/>
          <w:u w:val="wave"/>
          <w:lang w:val="en-US" w:eastAsia="zh-CN"/>
        </w:rPr>
        <w:t>为县农业农村水利局</w:t>
      </w:r>
      <w:r>
        <w:rPr>
          <w:rFonts w:hint="eastAsia"/>
          <w:lang w:val="en-US" w:eastAsia="zh-CN"/>
        </w:rPr>
        <w:t>。</w:t>
      </w:r>
      <w:r>
        <w:t>为了降低或避免特殊情况下水源地保护区突发环境事件所造成的损失，确保有组织、有计划、快速地应对突发环境事件，及时地组织抢险和救援，必须建立环境应急组织机构，并明确应急组织机构的职责，应急组织的建立应遵循应急组织机构不交叉原则。</w:t>
      </w:r>
    </w:p>
    <w:p w14:paraId="70FC0630">
      <w:pPr>
        <w:pStyle w:val="5"/>
      </w:pPr>
      <w:bookmarkStart w:id="123" w:name="_Toc7457"/>
      <w:bookmarkStart w:id="124" w:name="_Toc31210"/>
      <w:r>
        <w:t>2.1应急组织指挥机构</w:t>
      </w:r>
      <w:bookmarkEnd w:id="123"/>
      <w:bookmarkEnd w:id="124"/>
    </w:p>
    <w:p w14:paraId="141A2F99">
      <w:pPr>
        <w:pStyle w:val="75"/>
        <w:ind w:firstLine="480"/>
        <w:rPr>
          <w:color w:val="auto"/>
        </w:rPr>
      </w:pPr>
      <w:r>
        <w:rPr>
          <w:rFonts w:hint="eastAsia"/>
          <w:color w:val="auto"/>
        </w:rPr>
        <w:t>绥宁县关峡苗族乡兰溪水饮用水水源地保护区</w:t>
      </w:r>
      <w:r>
        <w:rPr>
          <w:color w:val="auto"/>
        </w:rPr>
        <w:t>应急组织指挥体系包括</w:t>
      </w:r>
      <w:r>
        <w:rPr>
          <w:rFonts w:hint="eastAsia"/>
          <w:color w:val="auto"/>
        </w:rPr>
        <w:t>绥宁县集中式饮用水水源地保护区</w:t>
      </w:r>
      <w:r>
        <w:rPr>
          <w:color w:val="auto"/>
        </w:rPr>
        <w:t>突发环境事件应急组织指挥部（以下简称“应急组织指挥部”）和现场应急指挥部。</w:t>
      </w:r>
    </w:p>
    <w:p w14:paraId="655837C1">
      <w:pPr>
        <w:pStyle w:val="6"/>
      </w:pPr>
      <w:r>
        <w:t>2.1.1应急组织指挥部</w:t>
      </w:r>
    </w:p>
    <w:p w14:paraId="7F02F83B">
      <w:pPr>
        <w:ind w:firstLine="480" w:firstLineChars="200"/>
      </w:pPr>
      <w:r>
        <w:t>县政府成立</w:t>
      </w:r>
      <w:r>
        <w:rPr>
          <w:rFonts w:hint="eastAsia"/>
        </w:rPr>
        <w:t>绥宁县集中式饮用水水源地保护区</w:t>
      </w:r>
      <w:r>
        <w:t>突发环境事件应急组织指挥部，统一指挥、领导、组织和协调水源地保护区突发环境事件应急工作。</w:t>
      </w:r>
    </w:p>
    <w:p w14:paraId="19AC77E0">
      <w:pPr>
        <w:ind w:firstLine="480" w:firstLineChars="200"/>
      </w:pPr>
      <w:r>
        <w:t>应急组织指挥部内设总指挥、副总指挥、指挥部办公室和专项工作组。专项工作组其成员单位为：</w:t>
      </w:r>
      <w:r>
        <w:rPr>
          <w:rFonts w:hint="eastAsia"/>
        </w:rPr>
        <w:t>县政府办、县应急管理局、</w:t>
      </w:r>
      <w:r>
        <w:t>县委宣传部、市生态环境局绥宁分局、县公安</w:t>
      </w:r>
      <w:r>
        <w:rPr>
          <w:rFonts w:hint="eastAsia"/>
          <w:lang w:val="en-US" w:eastAsia="zh-CN"/>
        </w:rPr>
        <w:t>局</w:t>
      </w:r>
      <w:r>
        <w:t>、县财政</w:t>
      </w:r>
      <w:r>
        <w:rPr>
          <w:rFonts w:hint="eastAsia"/>
          <w:lang w:val="en-US" w:eastAsia="zh-CN"/>
        </w:rPr>
        <w:t>局</w:t>
      </w:r>
      <w:r>
        <w:t>、县发改</w:t>
      </w:r>
      <w:r>
        <w:rPr>
          <w:rFonts w:hint="eastAsia"/>
          <w:lang w:val="en-US" w:eastAsia="zh-CN"/>
        </w:rPr>
        <w:t>局</w:t>
      </w:r>
      <w:r>
        <w:t>、县</w:t>
      </w:r>
      <w:r>
        <w:rPr>
          <w:rFonts w:hint="eastAsia"/>
        </w:rPr>
        <w:t>自然</w:t>
      </w:r>
      <w:r>
        <w:t>资源</w:t>
      </w:r>
      <w:r>
        <w:rPr>
          <w:rFonts w:hint="eastAsia"/>
          <w:lang w:val="en-US" w:eastAsia="zh-CN"/>
        </w:rPr>
        <w:t>局</w:t>
      </w:r>
      <w:r>
        <w:t>、县住建</w:t>
      </w:r>
      <w:r>
        <w:rPr>
          <w:rFonts w:hint="eastAsia"/>
          <w:lang w:val="en-US" w:eastAsia="zh-CN"/>
        </w:rPr>
        <w:t>局</w:t>
      </w:r>
      <w:r>
        <w:t>、县交通运输</w:t>
      </w:r>
      <w:r>
        <w:rPr>
          <w:rFonts w:hint="eastAsia"/>
          <w:lang w:val="en-US" w:eastAsia="zh-CN"/>
        </w:rPr>
        <w:t>局</w:t>
      </w:r>
      <w:r>
        <w:t>、县农业</w:t>
      </w:r>
      <w:r>
        <w:rPr>
          <w:rFonts w:hint="eastAsia"/>
        </w:rPr>
        <w:t>农村</w:t>
      </w:r>
      <w:r>
        <w:t>水利</w:t>
      </w:r>
      <w:r>
        <w:rPr>
          <w:rFonts w:hint="eastAsia"/>
          <w:lang w:val="en-US" w:eastAsia="zh-CN"/>
        </w:rPr>
        <w:t>局</w:t>
      </w:r>
      <w:r>
        <w:t>、县</w:t>
      </w:r>
      <w:r>
        <w:rPr>
          <w:rFonts w:hint="eastAsia"/>
        </w:rPr>
        <w:t>卫健</w:t>
      </w:r>
      <w:r>
        <w:rPr>
          <w:rFonts w:hint="eastAsia"/>
          <w:lang w:val="en-US" w:eastAsia="zh-CN"/>
        </w:rPr>
        <w:t>局</w:t>
      </w:r>
      <w:r>
        <w:t>、县气象</w:t>
      </w:r>
      <w:r>
        <w:rPr>
          <w:rFonts w:hint="eastAsia"/>
          <w:lang w:val="en-US" w:eastAsia="zh-CN"/>
        </w:rPr>
        <w:t>局</w:t>
      </w:r>
      <w:r>
        <w:t>、县</w:t>
      </w:r>
      <w:r>
        <w:rPr>
          <w:rFonts w:hint="eastAsia"/>
        </w:rPr>
        <w:t>商务</w:t>
      </w:r>
      <w:r>
        <w:rPr>
          <w:rFonts w:hint="eastAsia"/>
          <w:lang w:val="en-US" w:eastAsia="zh-CN"/>
        </w:rPr>
        <w:t>局</w:t>
      </w:r>
      <w:r>
        <w:t>、县民政</w:t>
      </w:r>
      <w:r>
        <w:rPr>
          <w:rFonts w:hint="eastAsia"/>
          <w:lang w:val="en-US" w:eastAsia="zh-CN"/>
        </w:rPr>
        <w:t>局</w:t>
      </w:r>
      <w:r>
        <w:rPr>
          <w:rFonts w:hint="eastAsia"/>
        </w:rPr>
        <w:t>、关峡苗族乡政府</w:t>
      </w:r>
      <w:r>
        <w:t>等</w:t>
      </w:r>
      <w:r>
        <w:rPr>
          <w:rFonts w:hint="eastAsia"/>
        </w:rPr>
        <w:t>单位及</w:t>
      </w:r>
      <w:r>
        <w:t>部门</w:t>
      </w:r>
      <w:r>
        <w:rPr>
          <w:rFonts w:hint="eastAsia"/>
        </w:rPr>
        <w:t>，由县政府办牵头。</w:t>
      </w:r>
    </w:p>
    <w:p w14:paraId="4E7DA24A">
      <w:pPr>
        <w:ind w:firstLine="480" w:firstLineChars="200"/>
      </w:pPr>
      <w:r>
        <w:t>应急组织指挥部职责：统一领导水源地保护区突发环境事件的应急处置工作；负责突发环境事件应急处置的组织、培训和技术准备；建立突发环境事件应急处置专家组，咨询科学决策意见；统一协调，提供和解决处置突发环境事件所需的人员、设备、车辆、物资等；负责与上下级和其它相关部门的报告、指示和协调工作；统一对外发布突发环境事件的相关信息。</w:t>
      </w:r>
    </w:p>
    <w:p w14:paraId="65D0419F">
      <w:pPr>
        <w:pStyle w:val="6"/>
      </w:pPr>
      <w:r>
        <w:t>2.1.2现场应急指挥部</w:t>
      </w:r>
    </w:p>
    <w:p w14:paraId="76EF557B">
      <w:pPr>
        <w:ind w:firstLine="480" w:firstLineChars="200"/>
      </w:pPr>
      <w:r>
        <w:t>接到信息报告的绥宁县政府应立即组织</w:t>
      </w:r>
      <w:r>
        <w:rPr>
          <w:rFonts w:hint="eastAsia"/>
        </w:rPr>
        <w:t>县政府办、县应急管理局、市</w:t>
      </w:r>
      <w:r>
        <w:t>生态环境局绥宁分局、县</w:t>
      </w:r>
      <w:r>
        <w:rPr>
          <w:rFonts w:hint="eastAsia"/>
        </w:rPr>
        <w:t>农业农村水利</w:t>
      </w:r>
      <w:r>
        <w:rPr>
          <w:rFonts w:hint="eastAsia"/>
          <w:lang w:val="en-US" w:eastAsia="zh-CN"/>
        </w:rPr>
        <w:t>局</w:t>
      </w:r>
      <w:r>
        <w:t>、县自来水公司、县</w:t>
      </w:r>
      <w:r>
        <w:rPr>
          <w:rFonts w:hint="eastAsia"/>
        </w:rPr>
        <w:t>卫健</w:t>
      </w:r>
      <w:r>
        <w:rPr>
          <w:rFonts w:hint="eastAsia"/>
          <w:lang w:val="en-US" w:eastAsia="zh-CN"/>
        </w:rPr>
        <w:t>局</w:t>
      </w:r>
      <w:r>
        <w:t>、县交通</w:t>
      </w:r>
      <w:r>
        <w:rPr>
          <w:rFonts w:hint="eastAsia"/>
          <w:lang w:val="en-US" w:eastAsia="zh-CN"/>
        </w:rPr>
        <w:t>局</w:t>
      </w:r>
      <w:r>
        <w:t>、县公安</w:t>
      </w:r>
      <w:r>
        <w:rPr>
          <w:rFonts w:hint="eastAsia"/>
          <w:lang w:val="en-US" w:eastAsia="zh-CN"/>
        </w:rPr>
        <w:t>局</w:t>
      </w:r>
      <w:r>
        <w:t>等</w:t>
      </w:r>
      <w:r>
        <w:rPr>
          <w:rFonts w:hint="eastAsia"/>
        </w:rPr>
        <w:t>部门</w:t>
      </w:r>
      <w:r>
        <w:t>及应急专家组中相关人员进行会商，研判水质变化趋势，若判断可能对水源地保护区水质造成影响，应立即通知</w:t>
      </w:r>
      <w:r>
        <w:rPr>
          <w:rFonts w:hint="eastAsia"/>
        </w:rPr>
        <w:t>县应急管理局、</w:t>
      </w:r>
      <w:r>
        <w:t>市生态环境局绥宁分局、县</w:t>
      </w:r>
      <w:r>
        <w:rPr>
          <w:rFonts w:hint="eastAsia"/>
        </w:rPr>
        <w:t>农业农村水利</w:t>
      </w:r>
      <w:r>
        <w:t>、县公安等有关成员单位和职能部门赶赴现场，成立现场应急指挥部，全面负责指挥、组织和协调水源地保护区突发环境事件的应急响应工作。</w:t>
      </w:r>
    </w:p>
    <w:p w14:paraId="6895B8C4">
      <w:pPr>
        <w:ind w:firstLine="480" w:firstLineChars="200"/>
      </w:pPr>
      <w:r>
        <w:t>现场应急指挥部总指挥由分管</w:t>
      </w:r>
      <w:r>
        <w:rPr>
          <w:rFonts w:hint="eastAsia"/>
        </w:rPr>
        <w:t>生态环境</w:t>
      </w:r>
      <w:r>
        <w:t>的副县长担任，由</w:t>
      </w:r>
      <w:r>
        <w:rPr>
          <w:rFonts w:hint="eastAsia"/>
        </w:rPr>
        <w:t>县政府办副主任</w:t>
      </w:r>
      <w:r>
        <w:t>、</w:t>
      </w:r>
      <w:r>
        <w:rPr>
          <w:rFonts w:hint="eastAsia"/>
        </w:rPr>
        <w:t>县应急管理局局长、</w:t>
      </w:r>
      <w:r>
        <w:t xml:space="preserve">市生态环境局绥宁分局主要领导任副总指挥，现场应急指挥部下设应急处置组、应急调查组、应急监测组、应急供水保障组、应急物资保障组、应急专家组和综合组等现场应急工作组，各现场应急工作组建立储备成员库，以备突发环境事件发生时选用。  </w:t>
      </w:r>
    </w:p>
    <w:p w14:paraId="12D2D9BB">
      <w:pPr>
        <w:ind w:firstLine="480" w:firstLineChars="200"/>
      </w:pPr>
      <w:r>
        <w:t xml:space="preserve">以上人员必须明确部门、职务、联系电话和专业特长。发生人事变动、联系方式变更时，务必及时备案更新。 </w:t>
      </w:r>
    </w:p>
    <w:p w14:paraId="4B04030E">
      <w:pPr>
        <w:ind w:firstLine="480" w:firstLineChars="200"/>
      </w:pPr>
      <w:r>
        <w:t>现场应急指挥部职责：</w:t>
      </w:r>
    </w:p>
    <w:p w14:paraId="44E0A2F4">
      <w:pPr>
        <w:numPr>
          <w:ilvl w:val="0"/>
          <w:numId w:val="2"/>
        </w:numPr>
        <w:ind w:firstLine="480" w:firstLineChars="200"/>
      </w:pPr>
      <w:r>
        <w:t>执行应急组织指挥部处置饮用水源地保护区突发环境事件的决策和指令；</w:t>
      </w:r>
    </w:p>
    <w:p w14:paraId="3E6C6EB9">
      <w:pPr>
        <w:numPr>
          <w:ilvl w:val="0"/>
          <w:numId w:val="2"/>
        </w:numPr>
        <w:ind w:firstLine="480" w:firstLineChars="200"/>
      </w:pPr>
      <w:r>
        <w:t>迅速了解污染事故相关情况及已采取的先期处置情况，及时掌握事件发展趋势，研究制定处置方案并组织实施；</w:t>
      </w:r>
    </w:p>
    <w:p w14:paraId="1C877E41">
      <w:pPr>
        <w:numPr>
          <w:ilvl w:val="0"/>
          <w:numId w:val="2"/>
        </w:numPr>
        <w:ind w:firstLine="480" w:firstLineChars="200"/>
      </w:pPr>
      <w:r>
        <w:t>及时将现场的各种重要情况向应急组织指挥部报告；</w:t>
      </w:r>
    </w:p>
    <w:p w14:paraId="55DDE8A0">
      <w:pPr>
        <w:numPr>
          <w:ilvl w:val="0"/>
          <w:numId w:val="2"/>
        </w:numPr>
        <w:ind w:firstLine="480" w:firstLineChars="200"/>
      </w:pPr>
      <w:r>
        <w:t>调度人员、设备、物资等，组织应急小组赶赴现场，指挥应急小组展开行动；</w:t>
      </w:r>
    </w:p>
    <w:p w14:paraId="3E8AC4C5">
      <w:pPr>
        <w:numPr>
          <w:ilvl w:val="0"/>
          <w:numId w:val="2"/>
        </w:numPr>
        <w:ind w:firstLine="480" w:firstLineChars="200"/>
      </w:pPr>
      <w:r>
        <w:t>通知环境监测或卫生（疾控）部门进行监测分析，确定污染程度；</w:t>
      </w:r>
    </w:p>
    <w:p w14:paraId="2989BF09">
      <w:pPr>
        <w:numPr>
          <w:ilvl w:val="0"/>
          <w:numId w:val="2"/>
        </w:numPr>
        <w:ind w:firstLine="480" w:firstLineChars="200"/>
      </w:pPr>
      <w:r>
        <w:t>根据现场调查结果和专家意见，确定事故处置的技术措施；指挥各部门指定人员进行现场调查、取证工作；</w:t>
      </w:r>
    </w:p>
    <w:p w14:paraId="4EED3759">
      <w:pPr>
        <w:numPr>
          <w:ilvl w:val="0"/>
          <w:numId w:val="2"/>
        </w:numPr>
        <w:ind w:firstLine="480" w:firstLineChars="200"/>
      </w:pPr>
      <w:r>
        <w:t>指挥污染区域的警戒工作，指挥污染物的处置工作；</w:t>
      </w:r>
    </w:p>
    <w:p w14:paraId="6EFF1765">
      <w:pPr>
        <w:numPr>
          <w:ilvl w:val="0"/>
          <w:numId w:val="2"/>
        </w:numPr>
        <w:ind w:firstLine="480" w:firstLineChars="200"/>
      </w:pPr>
      <w:r>
        <w:t>负责对外协调沟通、事故分析、信息上报工作；</w:t>
      </w:r>
    </w:p>
    <w:p w14:paraId="7B70849B">
      <w:pPr>
        <w:numPr>
          <w:ilvl w:val="0"/>
          <w:numId w:val="2"/>
        </w:numPr>
        <w:ind w:firstLine="480" w:firstLineChars="200"/>
      </w:pPr>
      <w:r>
        <w:t>调派救援设备器材、人员车辆等。</w:t>
      </w:r>
    </w:p>
    <w:p w14:paraId="45AD1512">
      <w:pPr>
        <w:pStyle w:val="75"/>
        <w:ind w:firstLine="480"/>
        <w:rPr>
          <w:rFonts w:hint="eastAsia"/>
          <w:color w:val="auto"/>
        </w:rPr>
        <w:sectPr>
          <w:headerReference r:id="rId8" w:type="default"/>
          <w:pgSz w:w="11906" w:h="16838"/>
          <w:pgMar w:top="1440" w:right="1800" w:bottom="1440" w:left="1800" w:header="851" w:footer="992" w:gutter="0"/>
          <w:cols w:space="720" w:num="1"/>
          <w:docGrid w:type="lines" w:linePitch="312" w:charSpace="0"/>
        </w:sectPr>
      </w:pPr>
      <w:r>
        <w:rPr>
          <w:color w:val="auto"/>
        </w:rPr>
        <w:t>指挥机构的组成及各部门的具体职责见表</w:t>
      </w:r>
      <w:r>
        <w:rPr>
          <w:rFonts w:hint="eastAsia"/>
          <w:color w:val="auto"/>
        </w:rPr>
        <w:t>3</w:t>
      </w:r>
      <w:r>
        <w:rPr>
          <w:color w:val="auto"/>
        </w:rPr>
        <w:t>-1所示，现场应急专项工作组的组成及职责见表</w:t>
      </w:r>
      <w:r>
        <w:rPr>
          <w:rFonts w:hint="eastAsia"/>
          <w:color w:val="auto"/>
        </w:rPr>
        <w:t>3</w:t>
      </w:r>
      <w:r>
        <w:rPr>
          <w:color w:val="auto"/>
        </w:rPr>
        <w:t>-2</w:t>
      </w:r>
      <w:r>
        <w:rPr>
          <w:rFonts w:hint="eastAsia"/>
          <w:color w:val="auto"/>
        </w:rPr>
        <w:t>。</w:t>
      </w:r>
    </w:p>
    <w:p w14:paraId="19218A08">
      <w:pPr>
        <w:spacing w:line="480" w:lineRule="exact"/>
        <w:jc w:val="center"/>
        <w:rPr>
          <w:b/>
          <w:bCs/>
        </w:rPr>
      </w:pPr>
      <w:r>
        <w:rPr>
          <w:rFonts w:hint="eastAsia"/>
          <w:b/>
          <w:bCs/>
        </w:rPr>
        <w:t>表3</w:t>
      </w:r>
      <w:r>
        <w:rPr>
          <w:b/>
          <w:bCs/>
        </w:rPr>
        <w:t xml:space="preserve">-1 </w:t>
      </w:r>
      <w:r>
        <w:rPr>
          <w:rFonts w:hint="eastAsia"/>
          <w:b/>
          <w:bCs/>
        </w:rPr>
        <w:t>应急组织指挥机构和职责</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379"/>
        <w:gridCol w:w="2881"/>
        <w:gridCol w:w="8313"/>
      </w:tblGrid>
      <w:tr w14:paraId="15E0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369" w:type="dxa"/>
            <w:vAlign w:val="center"/>
          </w:tcPr>
          <w:p w14:paraId="2D5A865D">
            <w:pPr>
              <w:pStyle w:val="74"/>
              <w:adjustRightInd w:val="0"/>
              <w:spacing w:beforeLines="0" w:line="240" w:lineRule="auto"/>
              <w:ind w:left="0" w:leftChars="0" w:firstLine="0" w:firstLineChars="0"/>
              <w:jc w:val="center"/>
              <w:rPr>
                <w:rFonts w:hint="eastAsia"/>
              </w:rPr>
            </w:pPr>
            <w:r>
              <w:rPr>
                <w:rFonts w:hint="eastAsia"/>
              </w:rPr>
              <w:t>应急组织</w:t>
            </w:r>
          </w:p>
          <w:p w14:paraId="5D4C3297">
            <w:pPr>
              <w:pStyle w:val="74"/>
              <w:adjustRightInd w:val="0"/>
              <w:spacing w:beforeLines="0" w:line="240" w:lineRule="auto"/>
              <w:ind w:left="0" w:leftChars="0" w:firstLine="0" w:firstLineChars="0"/>
              <w:jc w:val="center"/>
              <w:rPr>
                <w:rFonts w:hint="eastAsia"/>
              </w:rPr>
            </w:pPr>
            <w:r>
              <w:rPr>
                <w:rFonts w:hint="eastAsia"/>
              </w:rPr>
              <w:t>指挥机构</w:t>
            </w:r>
          </w:p>
        </w:tc>
        <w:tc>
          <w:tcPr>
            <w:tcW w:w="1379" w:type="dxa"/>
            <w:vAlign w:val="center"/>
          </w:tcPr>
          <w:p w14:paraId="73E51C6F">
            <w:pPr>
              <w:pStyle w:val="74"/>
              <w:adjustRightInd w:val="0"/>
              <w:spacing w:beforeLines="0" w:line="240" w:lineRule="auto"/>
              <w:ind w:left="0" w:leftChars="0" w:firstLine="0" w:firstLineChars="0"/>
              <w:jc w:val="center"/>
            </w:pPr>
            <w:r>
              <w:t>主要负责人</w:t>
            </w:r>
          </w:p>
        </w:tc>
        <w:tc>
          <w:tcPr>
            <w:tcW w:w="2881" w:type="dxa"/>
            <w:vAlign w:val="center"/>
          </w:tcPr>
          <w:p w14:paraId="0F1BDDC2">
            <w:pPr>
              <w:pStyle w:val="74"/>
              <w:adjustRightInd w:val="0"/>
              <w:spacing w:beforeLines="0" w:line="240" w:lineRule="auto"/>
              <w:ind w:left="0" w:leftChars="0" w:firstLine="0" w:firstLineChars="0"/>
              <w:jc w:val="center"/>
            </w:pPr>
            <w:r>
              <w:t>日常职位</w:t>
            </w:r>
          </w:p>
        </w:tc>
        <w:tc>
          <w:tcPr>
            <w:tcW w:w="8313" w:type="dxa"/>
            <w:vAlign w:val="center"/>
          </w:tcPr>
          <w:p w14:paraId="54F69D90">
            <w:pPr>
              <w:pStyle w:val="74"/>
              <w:adjustRightInd w:val="0"/>
              <w:spacing w:beforeLines="0" w:line="240" w:lineRule="auto"/>
              <w:ind w:left="0" w:leftChars="0" w:firstLine="0" w:firstLineChars="0"/>
              <w:jc w:val="center"/>
            </w:pPr>
            <w:r>
              <w:t>应急职责</w:t>
            </w:r>
          </w:p>
        </w:tc>
      </w:tr>
      <w:tr w14:paraId="0E75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1369" w:type="dxa"/>
            <w:vAlign w:val="center"/>
          </w:tcPr>
          <w:p w14:paraId="0471B50B">
            <w:pPr>
              <w:pStyle w:val="74"/>
              <w:adjustRightInd w:val="0"/>
              <w:spacing w:beforeLines="0" w:line="240" w:lineRule="auto"/>
              <w:ind w:left="0" w:leftChars="0" w:firstLine="0" w:firstLineChars="0"/>
              <w:jc w:val="center"/>
            </w:pPr>
            <w:r>
              <w:t>总指挥</w:t>
            </w:r>
          </w:p>
        </w:tc>
        <w:tc>
          <w:tcPr>
            <w:tcW w:w="1379" w:type="dxa"/>
            <w:vAlign w:val="center"/>
          </w:tcPr>
          <w:p w14:paraId="4CF17071">
            <w:pPr>
              <w:pStyle w:val="74"/>
              <w:adjustRightInd w:val="0"/>
              <w:spacing w:beforeLines="0" w:line="240" w:lineRule="auto"/>
              <w:ind w:left="0" w:leftChars="0" w:firstLine="0" w:firstLineChars="0"/>
              <w:jc w:val="center"/>
              <w:rPr>
                <w:rFonts w:hint="eastAsia" w:eastAsia="宋体"/>
                <w:lang w:eastAsia="zh-CN"/>
              </w:rPr>
            </w:pPr>
            <w:r>
              <w:rPr>
                <w:rFonts w:hint="eastAsia"/>
                <w:lang w:eastAsia="zh-CN"/>
              </w:rPr>
              <w:t>张</w:t>
            </w:r>
            <w:r>
              <w:rPr>
                <w:rFonts w:hint="eastAsia"/>
                <w:lang w:val="en-US" w:eastAsia="zh-CN"/>
              </w:rPr>
              <w:t xml:space="preserve">  </w:t>
            </w:r>
            <w:r>
              <w:rPr>
                <w:rFonts w:hint="eastAsia"/>
                <w:lang w:eastAsia="zh-CN"/>
              </w:rPr>
              <w:t>昆</w:t>
            </w:r>
          </w:p>
        </w:tc>
        <w:tc>
          <w:tcPr>
            <w:tcW w:w="2881" w:type="dxa"/>
            <w:vAlign w:val="center"/>
          </w:tcPr>
          <w:p w14:paraId="04EE9C9B">
            <w:pPr>
              <w:pStyle w:val="74"/>
              <w:adjustRightInd w:val="0"/>
              <w:spacing w:beforeLines="0" w:line="240" w:lineRule="auto"/>
              <w:ind w:left="0" w:leftChars="0" w:firstLine="0" w:firstLineChars="0"/>
              <w:jc w:val="center"/>
            </w:pPr>
            <w:r>
              <w:t>分管</w:t>
            </w:r>
            <w:r>
              <w:rPr>
                <w:rFonts w:hint="eastAsia"/>
              </w:rPr>
              <w:t>生态环境</w:t>
            </w:r>
            <w:r>
              <w:t>副县长</w:t>
            </w:r>
          </w:p>
        </w:tc>
        <w:tc>
          <w:tcPr>
            <w:tcW w:w="8313" w:type="dxa"/>
            <w:vAlign w:val="center"/>
          </w:tcPr>
          <w:p w14:paraId="5FA74995">
            <w:pPr>
              <w:pStyle w:val="74"/>
              <w:adjustRightInd w:val="0"/>
              <w:spacing w:beforeLines="0" w:line="240" w:lineRule="auto"/>
              <w:ind w:left="0" w:leftChars="0" w:firstLine="0" w:firstLineChars="0"/>
              <w:jc w:val="left"/>
            </w:pPr>
            <w:r>
              <w:t>（1）接受政府的指令和调动；</w:t>
            </w:r>
          </w:p>
          <w:p w14:paraId="36E38969">
            <w:pPr>
              <w:pStyle w:val="74"/>
              <w:adjustRightInd w:val="0"/>
              <w:spacing w:beforeLines="0" w:line="240" w:lineRule="auto"/>
              <w:ind w:left="0" w:leftChars="0" w:firstLine="0" w:firstLineChars="0"/>
              <w:jc w:val="left"/>
            </w:pPr>
            <w:r>
              <w:t>（2）按照预警和应急启动及终止条件决定本预案的启动与终止；</w:t>
            </w:r>
          </w:p>
          <w:p w14:paraId="66ACE64E">
            <w:pPr>
              <w:pStyle w:val="74"/>
              <w:adjustRightInd w:val="0"/>
              <w:spacing w:beforeLines="0" w:line="240" w:lineRule="auto"/>
              <w:ind w:left="0" w:leftChars="0" w:firstLine="0" w:firstLineChars="0"/>
              <w:jc w:val="left"/>
            </w:pPr>
            <w:r>
              <w:t>（3）审核突发环境事件的险情及应急处理进展等情况；</w:t>
            </w:r>
          </w:p>
          <w:p w14:paraId="24D7D53D">
            <w:pPr>
              <w:pStyle w:val="74"/>
              <w:adjustRightInd w:val="0"/>
              <w:spacing w:beforeLines="0" w:line="240" w:lineRule="auto"/>
              <w:ind w:left="0" w:leftChars="0" w:firstLine="0" w:firstLineChars="0"/>
              <w:jc w:val="left"/>
            </w:pPr>
            <w:r>
              <w:t>（4）发生环境事件时，亲自或委托副总指挥赶赴现场进行指挥，批准现场处置方案，组织现场应急处理；</w:t>
            </w:r>
          </w:p>
          <w:p w14:paraId="242D43A2">
            <w:pPr>
              <w:pStyle w:val="74"/>
              <w:adjustRightInd w:val="0"/>
              <w:spacing w:beforeLines="0" w:line="240" w:lineRule="auto"/>
              <w:ind w:left="0" w:leftChars="0" w:firstLine="0" w:firstLineChars="0"/>
              <w:jc w:val="left"/>
            </w:pPr>
            <w:r>
              <w:t>（5）发布现场处置命令。</w:t>
            </w:r>
          </w:p>
        </w:tc>
      </w:tr>
      <w:tr w14:paraId="0803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3" w:hRule="atLeast"/>
          <w:jc w:val="center"/>
        </w:trPr>
        <w:tc>
          <w:tcPr>
            <w:tcW w:w="1369" w:type="dxa"/>
            <w:vAlign w:val="center"/>
          </w:tcPr>
          <w:p w14:paraId="07E62F51">
            <w:pPr>
              <w:pStyle w:val="74"/>
              <w:adjustRightInd w:val="0"/>
              <w:spacing w:beforeLines="0" w:line="240" w:lineRule="auto"/>
              <w:ind w:left="0" w:leftChars="0" w:firstLine="0" w:firstLineChars="0"/>
              <w:jc w:val="center"/>
            </w:pPr>
            <w:r>
              <w:t>副指挥</w:t>
            </w:r>
          </w:p>
        </w:tc>
        <w:tc>
          <w:tcPr>
            <w:tcW w:w="1379" w:type="dxa"/>
            <w:vAlign w:val="center"/>
          </w:tcPr>
          <w:p w14:paraId="73A365E7">
            <w:pPr>
              <w:pStyle w:val="74"/>
              <w:adjustRightInd w:val="0"/>
              <w:spacing w:beforeLines="0" w:line="240" w:lineRule="auto"/>
              <w:ind w:left="0" w:leftChars="0" w:firstLine="0" w:firstLineChars="0"/>
              <w:jc w:val="center"/>
              <w:rPr>
                <w:rFonts w:hint="eastAsia" w:eastAsia="宋体"/>
                <w:lang w:eastAsia="zh-CN"/>
              </w:rPr>
            </w:pPr>
            <w:r>
              <w:rPr>
                <w:rFonts w:hint="eastAsia"/>
                <w:lang w:eastAsia="zh-CN"/>
              </w:rPr>
              <w:t>徐邦东</w:t>
            </w:r>
          </w:p>
          <w:p w14:paraId="11697B60">
            <w:pPr>
              <w:pStyle w:val="74"/>
              <w:adjustRightInd w:val="0"/>
              <w:spacing w:beforeLines="0" w:line="240" w:lineRule="auto"/>
              <w:ind w:left="0" w:leftChars="0" w:firstLine="0" w:firstLineChars="0"/>
              <w:jc w:val="center"/>
              <w:rPr>
                <w:rFonts w:hint="eastAsia"/>
              </w:rPr>
            </w:pPr>
            <w:r>
              <w:rPr>
                <w:rFonts w:hint="eastAsia"/>
              </w:rPr>
              <w:t>袁惠雄</w:t>
            </w:r>
          </w:p>
          <w:p w14:paraId="618CCA82">
            <w:pPr>
              <w:pStyle w:val="74"/>
              <w:adjustRightInd w:val="0"/>
              <w:spacing w:beforeLines="0" w:line="240" w:lineRule="auto"/>
              <w:ind w:left="0" w:leftChars="0" w:firstLine="0" w:firstLineChars="0"/>
              <w:jc w:val="center"/>
              <w:rPr>
                <w:rFonts w:hint="eastAsia"/>
              </w:rPr>
            </w:pPr>
            <w:r>
              <w:rPr>
                <w:rFonts w:hint="eastAsia"/>
              </w:rPr>
              <w:t>莫  俊</w:t>
            </w:r>
          </w:p>
        </w:tc>
        <w:tc>
          <w:tcPr>
            <w:tcW w:w="2881" w:type="dxa"/>
            <w:vAlign w:val="center"/>
          </w:tcPr>
          <w:p w14:paraId="1B56E676">
            <w:pPr>
              <w:pStyle w:val="74"/>
              <w:adjustRightInd w:val="0"/>
              <w:spacing w:beforeLines="0" w:line="240" w:lineRule="auto"/>
              <w:ind w:left="0" w:leftChars="0" w:firstLine="0" w:firstLineChars="0"/>
              <w:jc w:val="center"/>
            </w:pPr>
            <w:r>
              <w:rPr>
                <w:rFonts w:hint="eastAsia"/>
              </w:rPr>
              <w:t>县政府办副主任</w:t>
            </w:r>
          </w:p>
          <w:p w14:paraId="5FAEF587">
            <w:pPr>
              <w:pStyle w:val="74"/>
              <w:adjustRightInd w:val="0"/>
              <w:spacing w:beforeLines="0" w:line="240" w:lineRule="auto"/>
              <w:ind w:left="0" w:leftChars="0" w:firstLine="0" w:firstLineChars="0"/>
              <w:jc w:val="center"/>
            </w:pPr>
            <w:r>
              <w:t>市生态环境局绥宁分局</w:t>
            </w:r>
            <w:r>
              <w:rPr>
                <w:rFonts w:hint="eastAsia"/>
              </w:rPr>
              <w:t>局</w:t>
            </w:r>
            <w:r>
              <w:t>长</w:t>
            </w:r>
          </w:p>
          <w:p w14:paraId="33FEE0E3">
            <w:pPr>
              <w:pStyle w:val="74"/>
              <w:adjustRightInd w:val="0"/>
              <w:spacing w:beforeLines="0" w:line="240" w:lineRule="auto"/>
              <w:ind w:left="0" w:leftChars="0" w:firstLine="0" w:firstLineChars="0"/>
              <w:jc w:val="center"/>
            </w:pPr>
            <w:r>
              <w:t>县</w:t>
            </w:r>
            <w:r>
              <w:rPr>
                <w:rFonts w:hint="eastAsia"/>
              </w:rPr>
              <w:t>应急管理局局长</w:t>
            </w:r>
          </w:p>
        </w:tc>
        <w:tc>
          <w:tcPr>
            <w:tcW w:w="8313" w:type="dxa"/>
            <w:vAlign w:val="center"/>
          </w:tcPr>
          <w:p w14:paraId="19299F3A">
            <w:pPr>
              <w:pStyle w:val="74"/>
              <w:adjustRightInd w:val="0"/>
              <w:spacing w:beforeLines="0" w:line="240" w:lineRule="auto"/>
              <w:ind w:left="0" w:leftChars="0" w:firstLine="0" w:firstLineChars="0"/>
              <w:jc w:val="left"/>
            </w:pPr>
            <w:r>
              <w:t>（1）协助总指挥组织和指挥应急任务；</w:t>
            </w:r>
          </w:p>
          <w:p w14:paraId="6FDC045F">
            <w:pPr>
              <w:pStyle w:val="74"/>
              <w:adjustRightInd w:val="0"/>
              <w:spacing w:beforeLines="0" w:line="240" w:lineRule="auto"/>
              <w:ind w:left="0" w:leftChars="0" w:firstLine="0" w:firstLineChars="0"/>
              <w:jc w:val="left"/>
            </w:pPr>
            <w:r>
              <w:t>（2）事故现场应急指挥和协调；</w:t>
            </w:r>
          </w:p>
          <w:p w14:paraId="0B3767C2">
            <w:pPr>
              <w:pStyle w:val="74"/>
              <w:adjustRightInd w:val="0"/>
              <w:spacing w:beforeLines="0" w:line="240" w:lineRule="auto"/>
              <w:ind w:left="0" w:leftChars="0" w:firstLine="0" w:firstLineChars="0"/>
              <w:jc w:val="left"/>
            </w:pPr>
            <w:r>
              <w:t>（3）及时向场外人员通报应急信息；</w:t>
            </w:r>
          </w:p>
          <w:p w14:paraId="7AAFDA01">
            <w:pPr>
              <w:pStyle w:val="74"/>
              <w:adjustRightInd w:val="0"/>
              <w:spacing w:beforeLines="0" w:line="240" w:lineRule="auto"/>
              <w:ind w:left="0" w:leftChars="0" w:firstLine="0" w:firstLineChars="0"/>
              <w:jc w:val="left"/>
            </w:pPr>
            <w:r>
              <w:t>（4）对应急行动提出建议；</w:t>
            </w:r>
          </w:p>
          <w:p w14:paraId="1E97D3BF">
            <w:pPr>
              <w:pStyle w:val="74"/>
              <w:adjustRightInd w:val="0"/>
              <w:spacing w:beforeLines="0" w:line="240" w:lineRule="auto"/>
              <w:ind w:left="0" w:leftChars="0" w:firstLine="0" w:firstLineChars="0"/>
              <w:jc w:val="left"/>
            </w:pPr>
            <w:r>
              <w:t>（5）负责停止取水后公众日常饮用水调度；</w:t>
            </w:r>
          </w:p>
          <w:p w14:paraId="72A14277">
            <w:pPr>
              <w:pStyle w:val="74"/>
              <w:adjustRightInd w:val="0"/>
              <w:spacing w:beforeLines="0" w:line="240" w:lineRule="auto"/>
              <w:ind w:left="0" w:leftChars="0" w:firstLine="0" w:firstLineChars="0"/>
              <w:jc w:val="left"/>
            </w:pPr>
            <w:r>
              <w:t>（6）控制现场出现的紧急情况；</w:t>
            </w:r>
          </w:p>
          <w:p w14:paraId="5FC36B93">
            <w:pPr>
              <w:pStyle w:val="74"/>
              <w:adjustRightInd w:val="0"/>
              <w:spacing w:beforeLines="0" w:line="240" w:lineRule="auto"/>
              <w:ind w:left="0" w:leftChars="0" w:firstLine="0" w:firstLineChars="0"/>
              <w:jc w:val="left"/>
            </w:pPr>
            <w:r>
              <w:t>（7）指挥现协调场应急行动与场外操作。</w:t>
            </w:r>
          </w:p>
        </w:tc>
      </w:tr>
      <w:tr w14:paraId="356B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Align w:val="center"/>
          </w:tcPr>
          <w:p w14:paraId="4FB2D932">
            <w:pPr>
              <w:pStyle w:val="74"/>
              <w:adjustRightInd w:val="0"/>
              <w:spacing w:beforeLines="0" w:line="240" w:lineRule="auto"/>
              <w:ind w:left="0" w:leftChars="0" w:firstLine="0" w:firstLineChars="0"/>
              <w:jc w:val="center"/>
            </w:pPr>
            <w:r>
              <w:t>协调办公室</w:t>
            </w:r>
          </w:p>
        </w:tc>
        <w:tc>
          <w:tcPr>
            <w:tcW w:w="1379" w:type="dxa"/>
            <w:vAlign w:val="center"/>
          </w:tcPr>
          <w:p w14:paraId="2B2EA8ED">
            <w:pPr>
              <w:pStyle w:val="74"/>
              <w:adjustRightInd w:val="0"/>
              <w:spacing w:beforeLines="0" w:line="240" w:lineRule="auto"/>
              <w:ind w:left="0" w:leftChars="0" w:firstLine="0" w:firstLineChars="0"/>
              <w:jc w:val="center"/>
            </w:pPr>
            <w:r>
              <w:rPr>
                <w:rFonts w:hint="eastAsia"/>
              </w:rPr>
              <w:t>唐小芳</w:t>
            </w:r>
          </w:p>
        </w:tc>
        <w:tc>
          <w:tcPr>
            <w:tcW w:w="2881" w:type="dxa"/>
            <w:vAlign w:val="center"/>
          </w:tcPr>
          <w:p w14:paraId="6E02E25A">
            <w:pPr>
              <w:pStyle w:val="74"/>
              <w:adjustRightInd w:val="0"/>
              <w:spacing w:beforeLines="0" w:line="240" w:lineRule="auto"/>
              <w:ind w:left="0" w:leftChars="0" w:firstLine="0" w:firstLineChars="0"/>
              <w:jc w:val="center"/>
              <w:rPr>
                <w:rFonts w:hint="eastAsia"/>
              </w:rPr>
            </w:pPr>
            <w:r>
              <w:t>市生态环境局绥宁分局</w:t>
            </w:r>
          </w:p>
          <w:p w14:paraId="527B4DE5">
            <w:pPr>
              <w:pStyle w:val="74"/>
              <w:adjustRightInd w:val="0"/>
              <w:spacing w:beforeLines="0" w:line="240" w:lineRule="auto"/>
              <w:ind w:left="0" w:leftChars="0" w:firstLine="0" w:firstLineChars="0"/>
              <w:jc w:val="center"/>
            </w:pPr>
            <w:r>
              <w:rPr>
                <w:rFonts w:hint="eastAsia"/>
              </w:rPr>
              <w:t>副局长</w:t>
            </w:r>
          </w:p>
        </w:tc>
        <w:tc>
          <w:tcPr>
            <w:tcW w:w="8313" w:type="dxa"/>
            <w:vAlign w:val="center"/>
          </w:tcPr>
          <w:p w14:paraId="24D70D5D">
            <w:pPr>
              <w:pStyle w:val="74"/>
              <w:adjustRightInd w:val="0"/>
              <w:spacing w:beforeLines="0" w:line="240" w:lineRule="auto"/>
              <w:ind w:left="0" w:leftChars="0" w:firstLine="0" w:firstLineChars="0"/>
              <w:jc w:val="left"/>
            </w:pPr>
            <w:r>
              <w:t>（1）上传下达指挥安排的应急任务；</w:t>
            </w:r>
          </w:p>
          <w:p w14:paraId="05FA28F6">
            <w:pPr>
              <w:pStyle w:val="74"/>
              <w:adjustRightInd w:val="0"/>
              <w:spacing w:beforeLines="0" w:line="240" w:lineRule="auto"/>
              <w:ind w:left="0" w:leftChars="0" w:firstLine="0" w:firstLineChars="0"/>
              <w:jc w:val="left"/>
            </w:pPr>
            <w:r>
              <w:t>（2）负责人员配置、资源分配、应急队伍的调动；</w:t>
            </w:r>
          </w:p>
          <w:p w14:paraId="3F298FF4">
            <w:pPr>
              <w:pStyle w:val="74"/>
              <w:adjustRightInd w:val="0"/>
              <w:spacing w:beforeLines="0" w:line="240" w:lineRule="auto"/>
              <w:ind w:left="0" w:leftChars="0" w:firstLine="0" w:firstLineChars="0"/>
              <w:jc w:val="left"/>
            </w:pPr>
            <w:r>
              <w:t>（3）事故信息的上报，并与相关的外部应急部门、组织和机构进行联络；</w:t>
            </w:r>
          </w:p>
          <w:p w14:paraId="37833169">
            <w:pPr>
              <w:pStyle w:val="74"/>
              <w:adjustRightInd w:val="0"/>
              <w:spacing w:beforeLines="0" w:line="240" w:lineRule="auto"/>
              <w:ind w:left="0" w:leftChars="0" w:firstLine="0" w:firstLineChars="0"/>
              <w:jc w:val="left"/>
            </w:pPr>
            <w:r>
              <w:t>（4）保护事故发生后的相关数据</w:t>
            </w:r>
            <w:r>
              <w:rPr>
                <w:rFonts w:hint="eastAsia"/>
              </w:rPr>
              <w:t>；</w:t>
            </w:r>
          </w:p>
          <w:p w14:paraId="33EDD9B5">
            <w:pPr>
              <w:pStyle w:val="74"/>
              <w:adjustRightInd w:val="0"/>
              <w:spacing w:beforeLines="0" w:line="240" w:lineRule="auto"/>
              <w:ind w:left="0" w:leftChars="0" w:firstLine="0" w:firstLineChars="0"/>
              <w:jc w:val="left"/>
            </w:pPr>
            <w:r>
              <w:rPr>
                <w:rFonts w:hint="eastAsia"/>
              </w:rPr>
              <w:t>（5）</w:t>
            </w:r>
            <w:r>
              <w:t>协助处置因企业生产事故、违法排污等导致的饮用水水源突发环境事件。</w:t>
            </w:r>
          </w:p>
        </w:tc>
      </w:tr>
      <w:tr w14:paraId="3D89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Merge w:val="restart"/>
            <w:vAlign w:val="center"/>
          </w:tcPr>
          <w:p w14:paraId="3D9E56E1">
            <w:pPr>
              <w:pStyle w:val="74"/>
              <w:adjustRightInd w:val="0"/>
              <w:spacing w:beforeLines="0" w:line="240" w:lineRule="auto"/>
              <w:ind w:left="0" w:leftChars="0" w:firstLine="0" w:firstLineChars="0"/>
              <w:jc w:val="center"/>
            </w:pPr>
            <w:r>
              <w:t>专项工作组</w:t>
            </w:r>
          </w:p>
        </w:tc>
        <w:tc>
          <w:tcPr>
            <w:tcW w:w="1379" w:type="dxa"/>
            <w:vAlign w:val="center"/>
          </w:tcPr>
          <w:p w14:paraId="349E5E78">
            <w:pPr>
              <w:pStyle w:val="74"/>
              <w:adjustRightInd w:val="0"/>
              <w:spacing w:beforeLines="0" w:line="240" w:lineRule="auto"/>
              <w:ind w:left="0" w:leftChars="0" w:firstLine="0" w:firstLineChars="0"/>
              <w:jc w:val="center"/>
            </w:pPr>
            <w:r>
              <w:t>蒲  军</w:t>
            </w:r>
          </w:p>
        </w:tc>
        <w:tc>
          <w:tcPr>
            <w:tcW w:w="2881" w:type="dxa"/>
            <w:vAlign w:val="center"/>
          </w:tcPr>
          <w:p w14:paraId="4C6D6B56">
            <w:pPr>
              <w:pStyle w:val="74"/>
              <w:adjustRightInd w:val="0"/>
              <w:spacing w:beforeLines="0" w:line="240" w:lineRule="auto"/>
              <w:ind w:left="0" w:leftChars="0" w:firstLine="0" w:firstLineChars="0"/>
              <w:jc w:val="center"/>
            </w:pPr>
            <w:r>
              <w:rPr>
                <w:rFonts w:hint="eastAsia"/>
              </w:rPr>
              <w:t>县公安局副局长</w:t>
            </w:r>
          </w:p>
        </w:tc>
        <w:tc>
          <w:tcPr>
            <w:tcW w:w="8313" w:type="dxa"/>
            <w:vAlign w:val="center"/>
          </w:tcPr>
          <w:p w14:paraId="65B31285">
            <w:pPr>
              <w:pStyle w:val="74"/>
              <w:adjustRightInd w:val="0"/>
              <w:spacing w:beforeLines="0" w:line="240" w:lineRule="auto"/>
              <w:ind w:left="0" w:leftChars="0" w:firstLine="0" w:firstLineChars="0"/>
              <w:jc w:val="left"/>
            </w:pPr>
            <w:r>
              <w:t>查处导致饮用水水源突发环境事件的违法行为。</w:t>
            </w:r>
          </w:p>
        </w:tc>
      </w:tr>
      <w:tr w14:paraId="2941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Merge w:val="continue"/>
            <w:vAlign w:val="center"/>
          </w:tcPr>
          <w:p w14:paraId="6C20C6B9">
            <w:pPr>
              <w:pStyle w:val="74"/>
              <w:adjustRightInd w:val="0"/>
              <w:spacing w:beforeLines="0" w:line="240" w:lineRule="auto"/>
              <w:ind w:left="0" w:leftChars="0" w:firstLine="0" w:firstLineChars="0"/>
              <w:jc w:val="center"/>
            </w:pPr>
          </w:p>
        </w:tc>
        <w:tc>
          <w:tcPr>
            <w:tcW w:w="1379" w:type="dxa"/>
            <w:vAlign w:val="center"/>
          </w:tcPr>
          <w:p w14:paraId="119F04E7">
            <w:pPr>
              <w:pStyle w:val="74"/>
              <w:adjustRightInd w:val="0"/>
              <w:spacing w:beforeLines="0" w:line="240" w:lineRule="auto"/>
              <w:ind w:left="0" w:leftChars="0" w:firstLine="0" w:firstLineChars="0"/>
              <w:jc w:val="center"/>
            </w:pPr>
            <w:r>
              <w:t>沈忠华</w:t>
            </w:r>
          </w:p>
        </w:tc>
        <w:tc>
          <w:tcPr>
            <w:tcW w:w="2881" w:type="dxa"/>
            <w:vAlign w:val="center"/>
          </w:tcPr>
          <w:p w14:paraId="6ED21451">
            <w:pPr>
              <w:pStyle w:val="74"/>
              <w:adjustRightInd w:val="0"/>
              <w:spacing w:beforeLines="0" w:line="240" w:lineRule="auto"/>
              <w:ind w:left="0" w:leftChars="0" w:firstLine="0" w:firstLineChars="0"/>
              <w:jc w:val="center"/>
            </w:pPr>
            <w:r>
              <w:rPr>
                <w:rFonts w:hint="eastAsia"/>
              </w:rPr>
              <w:t>县财政局副局长</w:t>
            </w:r>
          </w:p>
        </w:tc>
        <w:tc>
          <w:tcPr>
            <w:tcW w:w="8313" w:type="dxa"/>
            <w:vAlign w:val="center"/>
          </w:tcPr>
          <w:p w14:paraId="2E61D227">
            <w:pPr>
              <w:pStyle w:val="74"/>
              <w:adjustRightInd w:val="0"/>
              <w:spacing w:beforeLines="0" w:line="240" w:lineRule="auto"/>
              <w:ind w:left="0" w:leftChars="0" w:firstLine="0" w:firstLineChars="0"/>
              <w:jc w:val="left"/>
            </w:pPr>
            <w:r>
              <w:t>负责饮用水源突发环境事件应急处置资金</w:t>
            </w:r>
            <w:r>
              <w:rPr>
                <w:rFonts w:hint="eastAsia"/>
                <w:lang w:val="en-US" w:eastAsia="zh-CN"/>
              </w:rPr>
              <w:t>筹措</w:t>
            </w:r>
            <w:r>
              <w:t>和报销</w:t>
            </w:r>
            <w:r>
              <w:rPr>
                <w:rFonts w:hint="eastAsia"/>
              </w:rPr>
              <w:t>及</w:t>
            </w:r>
            <w:r>
              <w:rPr>
                <w:rFonts w:hint="eastAsia"/>
                <w:lang w:val="en-US" w:eastAsia="zh-CN"/>
              </w:rPr>
              <w:t>配合</w:t>
            </w:r>
            <w:r>
              <w:t>应急物资的购买、调配应急物资等。</w:t>
            </w:r>
          </w:p>
        </w:tc>
      </w:tr>
      <w:tr w14:paraId="0449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Merge w:val="continue"/>
            <w:vAlign w:val="center"/>
          </w:tcPr>
          <w:p w14:paraId="7295D415">
            <w:pPr>
              <w:pStyle w:val="74"/>
              <w:adjustRightInd w:val="0"/>
              <w:spacing w:beforeLines="0" w:line="240" w:lineRule="auto"/>
              <w:ind w:left="0" w:leftChars="0" w:firstLine="0" w:firstLineChars="0"/>
              <w:jc w:val="center"/>
            </w:pPr>
          </w:p>
        </w:tc>
        <w:tc>
          <w:tcPr>
            <w:tcW w:w="1379" w:type="dxa"/>
            <w:vAlign w:val="center"/>
          </w:tcPr>
          <w:p w14:paraId="2FDF9EE2">
            <w:pPr>
              <w:pStyle w:val="74"/>
              <w:adjustRightInd w:val="0"/>
              <w:spacing w:beforeLines="0" w:line="240" w:lineRule="auto"/>
              <w:ind w:left="0" w:leftChars="0" w:firstLine="0" w:firstLineChars="0"/>
              <w:jc w:val="center"/>
            </w:pPr>
            <w:r>
              <w:rPr>
                <w:rFonts w:hint="eastAsia"/>
              </w:rPr>
              <w:t>尹燕斌</w:t>
            </w:r>
          </w:p>
        </w:tc>
        <w:tc>
          <w:tcPr>
            <w:tcW w:w="2881" w:type="dxa"/>
            <w:vAlign w:val="center"/>
          </w:tcPr>
          <w:p w14:paraId="32CE0169">
            <w:pPr>
              <w:pStyle w:val="74"/>
              <w:adjustRightInd w:val="0"/>
              <w:spacing w:beforeLines="0" w:line="240" w:lineRule="auto"/>
              <w:ind w:left="0" w:leftChars="0" w:firstLine="0" w:firstLineChars="0"/>
              <w:jc w:val="center"/>
            </w:pPr>
            <w:r>
              <w:t>县自然资源局</w:t>
            </w:r>
            <w:r>
              <w:rPr>
                <w:rFonts w:hint="eastAsia"/>
              </w:rPr>
              <w:t>副局长</w:t>
            </w:r>
          </w:p>
        </w:tc>
        <w:tc>
          <w:tcPr>
            <w:tcW w:w="8313" w:type="dxa"/>
            <w:vAlign w:val="center"/>
          </w:tcPr>
          <w:p w14:paraId="1975365F">
            <w:pPr>
              <w:pStyle w:val="74"/>
              <w:adjustRightInd w:val="0"/>
              <w:spacing w:beforeLines="0" w:line="240" w:lineRule="auto"/>
              <w:ind w:left="0" w:leftChars="0" w:firstLine="0" w:firstLineChars="0"/>
              <w:jc w:val="left"/>
            </w:pPr>
            <w:r>
              <w:t>安排饮用水水源突发环境事件处置场地。</w:t>
            </w:r>
          </w:p>
        </w:tc>
      </w:tr>
      <w:tr w14:paraId="7261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Merge w:val="continue"/>
            <w:vAlign w:val="center"/>
          </w:tcPr>
          <w:p w14:paraId="17075530">
            <w:pPr>
              <w:pStyle w:val="74"/>
              <w:adjustRightInd w:val="0"/>
              <w:spacing w:beforeLines="0" w:line="240" w:lineRule="auto"/>
              <w:ind w:left="0" w:leftChars="0" w:firstLine="0" w:firstLineChars="0"/>
              <w:jc w:val="center"/>
            </w:pPr>
          </w:p>
        </w:tc>
        <w:tc>
          <w:tcPr>
            <w:tcW w:w="1379" w:type="dxa"/>
            <w:vAlign w:val="center"/>
          </w:tcPr>
          <w:p w14:paraId="76F2C860">
            <w:pPr>
              <w:pStyle w:val="74"/>
              <w:adjustRightInd w:val="0"/>
              <w:spacing w:beforeLines="0" w:line="240" w:lineRule="auto"/>
              <w:ind w:left="0" w:leftChars="0" w:firstLine="0" w:firstLineChars="0"/>
              <w:jc w:val="center"/>
              <w:rPr>
                <w:rFonts w:hint="eastAsia"/>
              </w:rPr>
            </w:pPr>
            <w:r>
              <w:rPr>
                <w:rFonts w:hint="eastAsia"/>
              </w:rPr>
              <w:t>唐小芳</w:t>
            </w:r>
          </w:p>
        </w:tc>
        <w:tc>
          <w:tcPr>
            <w:tcW w:w="2881" w:type="dxa"/>
            <w:vAlign w:val="center"/>
          </w:tcPr>
          <w:p w14:paraId="03D5AF33">
            <w:pPr>
              <w:pStyle w:val="74"/>
              <w:adjustRightInd w:val="0"/>
              <w:spacing w:beforeLines="0" w:line="240" w:lineRule="auto"/>
              <w:ind w:left="0" w:leftChars="0" w:firstLine="0" w:firstLineChars="0"/>
              <w:jc w:val="center"/>
            </w:pPr>
            <w:r>
              <w:t>绥宁生态环境分局</w:t>
            </w:r>
            <w:r>
              <w:rPr>
                <w:rFonts w:hint="eastAsia"/>
              </w:rPr>
              <w:t>副</w:t>
            </w:r>
            <w:r>
              <w:t>局长</w:t>
            </w:r>
          </w:p>
        </w:tc>
        <w:tc>
          <w:tcPr>
            <w:tcW w:w="8313" w:type="dxa"/>
            <w:vAlign w:val="center"/>
          </w:tcPr>
          <w:p w14:paraId="117F0854">
            <w:pPr>
              <w:pStyle w:val="74"/>
              <w:adjustRightInd w:val="0"/>
              <w:spacing w:beforeLines="0" w:line="240" w:lineRule="auto"/>
              <w:ind w:left="0" w:leftChars="0" w:firstLine="0" w:firstLineChars="0"/>
              <w:jc w:val="left"/>
            </w:pPr>
            <w:r>
              <w:t>负责应急监测、水源地污染物削减处置等工作。</w:t>
            </w:r>
          </w:p>
        </w:tc>
      </w:tr>
      <w:tr w14:paraId="034D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Merge w:val="continue"/>
            <w:vAlign w:val="center"/>
          </w:tcPr>
          <w:p w14:paraId="33FA53C3">
            <w:pPr>
              <w:pStyle w:val="74"/>
              <w:adjustRightInd w:val="0"/>
              <w:spacing w:beforeLines="0" w:line="240" w:lineRule="auto"/>
              <w:ind w:left="0" w:leftChars="0" w:firstLine="0" w:firstLineChars="0"/>
              <w:jc w:val="center"/>
            </w:pPr>
          </w:p>
        </w:tc>
        <w:tc>
          <w:tcPr>
            <w:tcW w:w="1379" w:type="dxa"/>
            <w:vMerge w:val="restart"/>
            <w:vAlign w:val="center"/>
          </w:tcPr>
          <w:p w14:paraId="52DF0616">
            <w:pPr>
              <w:pStyle w:val="74"/>
              <w:adjustRightInd w:val="0"/>
              <w:spacing w:beforeLines="0" w:line="240" w:lineRule="auto"/>
              <w:ind w:left="0" w:leftChars="0" w:firstLine="0" w:firstLineChars="0"/>
              <w:jc w:val="center"/>
            </w:pPr>
            <w:r>
              <w:fldChar w:fldCharType="begin"/>
            </w:r>
            <w:r>
              <w:instrText xml:space="preserve"> HYPERLINK "javascript:;" </w:instrText>
            </w:r>
            <w:r>
              <w:fldChar w:fldCharType="separate"/>
            </w:r>
            <w:r>
              <w:t>向先泽</w:t>
            </w:r>
            <w:r>
              <w:fldChar w:fldCharType="end"/>
            </w:r>
          </w:p>
        </w:tc>
        <w:tc>
          <w:tcPr>
            <w:tcW w:w="2881" w:type="dxa"/>
            <w:vMerge w:val="restart"/>
            <w:vAlign w:val="center"/>
          </w:tcPr>
          <w:p w14:paraId="13B7A38E">
            <w:pPr>
              <w:pStyle w:val="74"/>
              <w:adjustRightInd w:val="0"/>
              <w:spacing w:beforeLines="0" w:line="240" w:lineRule="auto"/>
              <w:ind w:left="0" w:leftChars="0" w:firstLine="0" w:firstLineChars="0"/>
              <w:jc w:val="center"/>
            </w:pPr>
            <w:r>
              <w:t>县农业农村水利局副局长</w:t>
            </w:r>
          </w:p>
        </w:tc>
        <w:tc>
          <w:tcPr>
            <w:tcW w:w="8313" w:type="dxa"/>
            <w:vAlign w:val="center"/>
          </w:tcPr>
          <w:p w14:paraId="1C246624">
            <w:pPr>
              <w:pStyle w:val="74"/>
              <w:adjustRightInd w:val="0"/>
              <w:spacing w:beforeLines="0" w:line="240" w:lineRule="auto"/>
              <w:ind w:left="0" w:leftChars="0" w:firstLine="0" w:firstLineChars="0"/>
              <w:jc w:val="left"/>
            </w:pPr>
            <w:r>
              <w:t>协助河道污染应急处理，参与水环境事件应急处置工作。</w:t>
            </w:r>
          </w:p>
        </w:tc>
      </w:tr>
      <w:tr w14:paraId="1153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Merge w:val="continue"/>
            <w:vAlign w:val="center"/>
          </w:tcPr>
          <w:p w14:paraId="1B73910F">
            <w:pPr>
              <w:pStyle w:val="74"/>
              <w:adjustRightInd w:val="0"/>
              <w:spacing w:beforeLines="0" w:line="240" w:lineRule="auto"/>
              <w:ind w:left="0" w:leftChars="0" w:firstLine="0" w:firstLineChars="0"/>
              <w:jc w:val="center"/>
            </w:pPr>
          </w:p>
        </w:tc>
        <w:tc>
          <w:tcPr>
            <w:tcW w:w="1379" w:type="dxa"/>
            <w:vMerge w:val="continue"/>
            <w:vAlign w:val="center"/>
          </w:tcPr>
          <w:p w14:paraId="48C7C4DB">
            <w:pPr>
              <w:pStyle w:val="74"/>
              <w:adjustRightInd w:val="0"/>
              <w:spacing w:beforeLines="0" w:line="240" w:lineRule="auto"/>
              <w:ind w:left="0" w:leftChars="0" w:firstLine="0" w:firstLineChars="0"/>
              <w:jc w:val="center"/>
            </w:pPr>
          </w:p>
        </w:tc>
        <w:tc>
          <w:tcPr>
            <w:tcW w:w="2881" w:type="dxa"/>
            <w:vMerge w:val="continue"/>
            <w:vAlign w:val="center"/>
          </w:tcPr>
          <w:p w14:paraId="642B37CF">
            <w:pPr>
              <w:pStyle w:val="74"/>
              <w:adjustRightInd w:val="0"/>
              <w:spacing w:beforeLines="0" w:line="240" w:lineRule="auto"/>
              <w:ind w:left="0" w:leftChars="0" w:firstLine="0" w:firstLineChars="0"/>
              <w:jc w:val="center"/>
            </w:pPr>
          </w:p>
        </w:tc>
        <w:tc>
          <w:tcPr>
            <w:tcW w:w="8313" w:type="dxa"/>
            <w:vAlign w:val="center"/>
          </w:tcPr>
          <w:p w14:paraId="6235BDB9">
            <w:pPr>
              <w:pStyle w:val="74"/>
              <w:adjustRightInd w:val="0"/>
              <w:spacing w:beforeLines="0" w:line="240" w:lineRule="auto"/>
              <w:ind w:left="0" w:leftChars="0" w:firstLine="0" w:firstLineChars="0"/>
              <w:jc w:val="left"/>
            </w:pPr>
            <w:r>
              <w:t>配合处置因农业面源、渔业导致的饮用水水源突发环境事件。对于综合功能的饮用水水源地，在事故影响状态下停止饮用水水源内农灌水取用</w:t>
            </w:r>
          </w:p>
        </w:tc>
      </w:tr>
      <w:tr w14:paraId="1043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Merge w:val="continue"/>
            <w:vAlign w:val="center"/>
          </w:tcPr>
          <w:p w14:paraId="72E2AC3B">
            <w:pPr>
              <w:pStyle w:val="74"/>
              <w:adjustRightInd w:val="0"/>
              <w:spacing w:beforeLines="0" w:line="240" w:lineRule="auto"/>
              <w:ind w:left="0" w:leftChars="0" w:firstLine="0" w:firstLineChars="0"/>
              <w:jc w:val="center"/>
            </w:pPr>
          </w:p>
        </w:tc>
        <w:tc>
          <w:tcPr>
            <w:tcW w:w="1379" w:type="dxa"/>
            <w:vAlign w:val="center"/>
          </w:tcPr>
          <w:p w14:paraId="16924CBC">
            <w:pPr>
              <w:pStyle w:val="74"/>
              <w:adjustRightInd w:val="0"/>
              <w:spacing w:beforeLines="0" w:line="240" w:lineRule="auto"/>
              <w:ind w:left="0" w:leftChars="0" w:firstLine="0" w:firstLineChars="0"/>
              <w:jc w:val="center"/>
            </w:pPr>
            <w:r>
              <w:rPr>
                <w:rFonts w:hint="eastAsia"/>
              </w:rPr>
              <w:t>袁永新</w:t>
            </w:r>
          </w:p>
        </w:tc>
        <w:tc>
          <w:tcPr>
            <w:tcW w:w="2881" w:type="dxa"/>
            <w:vAlign w:val="center"/>
          </w:tcPr>
          <w:p w14:paraId="0815805C">
            <w:pPr>
              <w:pStyle w:val="74"/>
              <w:adjustRightInd w:val="0"/>
              <w:spacing w:beforeLines="0" w:line="240" w:lineRule="auto"/>
              <w:ind w:left="0" w:leftChars="0" w:firstLine="0" w:firstLineChars="0"/>
              <w:jc w:val="center"/>
            </w:pPr>
            <w:r>
              <w:rPr>
                <w:rFonts w:hint="eastAsia"/>
              </w:rPr>
              <w:t>县住房和城乡建设局副局长</w:t>
            </w:r>
          </w:p>
        </w:tc>
        <w:tc>
          <w:tcPr>
            <w:tcW w:w="8313" w:type="dxa"/>
            <w:vAlign w:val="center"/>
          </w:tcPr>
          <w:p w14:paraId="31AD8A4E">
            <w:pPr>
              <w:pStyle w:val="74"/>
              <w:adjustRightInd w:val="0"/>
              <w:spacing w:beforeLines="0" w:line="240" w:lineRule="auto"/>
              <w:ind w:left="0" w:leftChars="0" w:firstLine="0" w:firstLineChars="0"/>
              <w:jc w:val="left"/>
            </w:pPr>
            <w:r>
              <w:t>负责应急响应过程中的水厂应对工作，执行水厂停止取水等应急工作安排。</w:t>
            </w:r>
          </w:p>
        </w:tc>
      </w:tr>
      <w:tr w14:paraId="7EBE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Merge w:val="continue"/>
            <w:vAlign w:val="center"/>
          </w:tcPr>
          <w:p w14:paraId="372DA027">
            <w:pPr>
              <w:pStyle w:val="74"/>
              <w:adjustRightInd w:val="0"/>
              <w:spacing w:beforeLines="0" w:line="240" w:lineRule="auto"/>
              <w:ind w:left="0" w:leftChars="0" w:firstLine="0" w:firstLineChars="0"/>
              <w:jc w:val="center"/>
            </w:pPr>
          </w:p>
        </w:tc>
        <w:tc>
          <w:tcPr>
            <w:tcW w:w="1379" w:type="dxa"/>
            <w:vAlign w:val="center"/>
          </w:tcPr>
          <w:p w14:paraId="6E0923BF">
            <w:pPr>
              <w:pStyle w:val="74"/>
              <w:adjustRightInd w:val="0"/>
              <w:spacing w:beforeLines="0" w:line="240" w:lineRule="auto"/>
              <w:ind w:left="0" w:leftChars="0" w:firstLine="0" w:firstLineChars="0"/>
              <w:jc w:val="center"/>
            </w:pPr>
            <w:r>
              <w:rPr>
                <w:rFonts w:hint="eastAsia"/>
              </w:rPr>
              <w:t>彭 炜</w:t>
            </w:r>
          </w:p>
        </w:tc>
        <w:tc>
          <w:tcPr>
            <w:tcW w:w="2881" w:type="dxa"/>
            <w:vAlign w:val="center"/>
          </w:tcPr>
          <w:p w14:paraId="363D6AFC">
            <w:pPr>
              <w:pStyle w:val="74"/>
              <w:adjustRightInd w:val="0"/>
              <w:spacing w:beforeLines="0" w:line="240" w:lineRule="auto"/>
              <w:ind w:left="0" w:leftChars="0" w:firstLine="0" w:firstLineChars="0"/>
              <w:jc w:val="center"/>
              <w:rPr>
                <w:rFonts w:hint="eastAsia" w:eastAsia="宋体"/>
                <w:lang w:eastAsia="zh-CN"/>
              </w:rPr>
            </w:pPr>
            <w:r>
              <w:rPr>
                <w:rFonts w:hint="eastAsia"/>
              </w:rPr>
              <w:t>县交通运输局</w:t>
            </w:r>
            <w:r>
              <w:rPr>
                <w:rFonts w:hint="eastAsia"/>
                <w:lang w:val="en-US" w:eastAsia="zh-CN"/>
              </w:rPr>
              <w:t>总工程师</w:t>
            </w:r>
          </w:p>
        </w:tc>
        <w:tc>
          <w:tcPr>
            <w:tcW w:w="8313" w:type="dxa"/>
            <w:vAlign w:val="center"/>
          </w:tcPr>
          <w:p w14:paraId="0E3B886C">
            <w:pPr>
              <w:pStyle w:val="74"/>
              <w:adjustRightInd w:val="0"/>
              <w:spacing w:beforeLines="0" w:line="240" w:lineRule="auto"/>
              <w:ind w:left="0" w:leftChars="0" w:firstLine="0" w:firstLineChars="0"/>
              <w:jc w:val="left"/>
            </w:pPr>
            <w:r>
              <w:t>协助处置交通事故导致的饮用水水源突发环境事件，并在事故发生后，及时启用道路桥梁附近建设的应急防护工程 设施，在其它类型的事故过程中，确保应急物资运输车辆快速通行</w:t>
            </w:r>
          </w:p>
        </w:tc>
      </w:tr>
      <w:tr w14:paraId="343A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Merge w:val="continue"/>
            <w:vAlign w:val="center"/>
          </w:tcPr>
          <w:p w14:paraId="302C54B0">
            <w:pPr>
              <w:pStyle w:val="74"/>
              <w:adjustRightInd w:val="0"/>
              <w:spacing w:beforeLines="0" w:line="240" w:lineRule="auto"/>
              <w:ind w:left="0" w:leftChars="0" w:firstLine="0" w:firstLineChars="0"/>
              <w:jc w:val="center"/>
            </w:pPr>
          </w:p>
        </w:tc>
        <w:tc>
          <w:tcPr>
            <w:tcW w:w="1379" w:type="dxa"/>
            <w:vAlign w:val="center"/>
          </w:tcPr>
          <w:p w14:paraId="5C741FA5">
            <w:pPr>
              <w:pStyle w:val="74"/>
              <w:adjustRightInd w:val="0"/>
              <w:spacing w:beforeLines="0" w:line="240" w:lineRule="auto"/>
              <w:ind w:left="0" w:leftChars="0" w:firstLine="0" w:firstLineChars="0"/>
              <w:jc w:val="center"/>
            </w:pPr>
            <w:r>
              <w:rPr>
                <w:rFonts w:hint="eastAsia"/>
              </w:rPr>
              <w:t>杨清莲</w:t>
            </w:r>
          </w:p>
        </w:tc>
        <w:tc>
          <w:tcPr>
            <w:tcW w:w="2881" w:type="dxa"/>
            <w:vAlign w:val="center"/>
          </w:tcPr>
          <w:p w14:paraId="1EBFE472">
            <w:pPr>
              <w:pStyle w:val="74"/>
              <w:adjustRightInd w:val="0"/>
              <w:spacing w:beforeLines="0" w:line="240" w:lineRule="auto"/>
              <w:ind w:left="0" w:leftChars="0" w:firstLine="0" w:firstLineChars="0"/>
              <w:jc w:val="center"/>
            </w:pPr>
            <w:r>
              <w:t>县卫生健康局副局长</w:t>
            </w:r>
          </w:p>
        </w:tc>
        <w:tc>
          <w:tcPr>
            <w:tcW w:w="8313" w:type="dxa"/>
            <w:vAlign w:val="center"/>
          </w:tcPr>
          <w:p w14:paraId="76D13752">
            <w:pPr>
              <w:pStyle w:val="74"/>
              <w:adjustRightInd w:val="0"/>
              <w:spacing w:beforeLines="0" w:line="240" w:lineRule="auto"/>
              <w:ind w:left="0" w:leftChars="0" w:firstLine="0" w:firstLineChars="0"/>
              <w:jc w:val="left"/>
            </w:pPr>
            <w:r>
              <w:t>负责管网末梢水水质应急监测，确保事故发生后，居民饮水卫生安全。</w:t>
            </w:r>
          </w:p>
        </w:tc>
      </w:tr>
      <w:tr w14:paraId="19D4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Merge w:val="continue"/>
            <w:vAlign w:val="center"/>
          </w:tcPr>
          <w:p w14:paraId="135C0E56">
            <w:pPr>
              <w:pStyle w:val="74"/>
              <w:adjustRightInd w:val="0"/>
              <w:spacing w:beforeLines="0" w:line="240" w:lineRule="auto"/>
              <w:ind w:left="0" w:leftChars="0" w:firstLine="0" w:firstLineChars="0"/>
              <w:jc w:val="center"/>
            </w:pPr>
          </w:p>
        </w:tc>
        <w:tc>
          <w:tcPr>
            <w:tcW w:w="1379" w:type="dxa"/>
            <w:vAlign w:val="center"/>
          </w:tcPr>
          <w:p w14:paraId="52F7D5CC">
            <w:pPr>
              <w:pStyle w:val="74"/>
              <w:adjustRightInd w:val="0"/>
              <w:spacing w:beforeLines="0" w:line="240" w:lineRule="auto"/>
              <w:ind w:left="0" w:leftChars="0" w:firstLine="0" w:firstLineChars="0"/>
              <w:jc w:val="center"/>
              <w:rPr>
                <w:rFonts w:hint="eastAsia"/>
              </w:rPr>
            </w:pPr>
            <w:r>
              <w:rPr>
                <w:rFonts w:hint="eastAsia"/>
                <w:lang w:val="en-US" w:eastAsia="zh-CN"/>
              </w:rPr>
              <w:t>刘冬梅</w:t>
            </w:r>
            <w:r>
              <w:rPr>
                <w:rFonts w:hint="eastAsia"/>
              </w:rPr>
              <w:t xml:space="preserve"> </w:t>
            </w:r>
          </w:p>
        </w:tc>
        <w:tc>
          <w:tcPr>
            <w:tcW w:w="2881" w:type="dxa"/>
            <w:vAlign w:val="center"/>
          </w:tcPr>
          <w:p w14:paraId="37BE84B8">
            <w:pPr>
              <w:pStyle w:val="74"/>
              <w:adjustRightInd w:val="0"/>
              <w:spacing w:beforeLines="0" w:line="240" w:lineRule="auto"/>
              <w:ind w:left="0" w:leftChars="0" w:firstLine="0" w:firstLineChars="0"/>
              <w:jc w:val="center"/>
              <w:rPr>
                <w:rFonts w:hint="eastAsia"/>
              </w:rPr>
            </w:pPr>
            <w:r>
              <w:rPr>
                <w:rFonts w:hint="eastAsia"/>
              </w:rPr>
              <w:t>县气象局副局长</w:t>
            </w:r>
          </w:p>
        </w:tc>
        <w:tc>
          <w:tcPr>
            <w:tcW w:w="8313" w:type="dxa"/>
            <w:vAlign w:val="center"/>
          </w:tcPr>
          <w:p w14:paraId="0F33C436">
            <w:pPr>
              <w:pStyle w:val="74"/>
              <w:adjustRightInd w:val="0"/>
              <w:spacing w:beforeLines="0" w:line="240" w:lineRule="auto"/>
              <w:ind w:left="0" w:leftChars="0" w:firstLine="0" w:firstLineChars="0"/>
              <w:jc w:val="left"/>
            </w:pPr>
            <w:r>
              <w:t>负责事故状态下饮用水水源地内气象信息共享。</w:t>
            </w:r>
          </w:p>
        </w:tc>
      </w:tr>
      <w:tr w14:paraId="7AF6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Merge w:val="continue"/>
            <w:vAlign w:val="center"/>
          </w:tcPr>
          <w:p w14:paraId="35FBB7B9">
            <w:pPr>
              <w:pStyle w:val="74"/>
              <w:adjustRightInd w:val="0"/>
              <w:spacing w:beforeLines="0" w:line="240" w:lineRule="auto"/>
              <w:ind w:left="0" w:leftChars="0" w:firstLine="0" w:firstLineChars="0"/>
              <w:jc w:val="center"/>
            </w:pPr>
          </w:p>
        </w:tc>
        <w:tc>
          <w:tcPr>
            <w:tcW w:w="1379" w:type="dxa"/>
            <w:vAlign w:val="center"/>
          </w:tcPr>
          <w:p w14:paraId="5BB10D09">
            <w:pPr>
              <w:pStyle w:val="74"/>
              <w:adjustRightInd w:val="0"/>
              <w:spacing w:beforeLines="0" w:line="240" w:lineRule="auto"/>
              <w:ind w:left="0" w:leftChars="0" w:firstLine="0" w:firstLineChars="0"/>
              <w:jc w:val="center"/>
              <w:rPr>
                <w:rFonts w:hint="eastAsia"/>
              </w:rPr>
            </w:pPr>
            <w:r>
              <w:rPr>
                <w:rFonts w:hint="eastAsia"/>
                <w:lang w:val="en-US" w:eastAsia="zh-CN"/>
              </w:rPr>
              <w:t>胡海英</w:t>
            </w:r>
          </w:p>
        </w:tc>
        <w:tc>
          <w:tcPr>
            <w:tcW w:w="2881" w:type="dxa"/>
            <w:vAlign w:val="center"/>
          </w:tcPr>
          <w:p w14:paraId="6F447892">
            <w:pPr>
              <w:pStyle w:val="74"/>
              <w:adjustRightInd w:val="0"/>
              <w:spacing w:beforeLines="0" w:line="240" w:lineRule="auto"/>
              <w:ind w:left="0" w:leftChars="0" w:firstLine="0" w:firstLineChars="0"/>
              <w:jc w:val="center"/>
              <w:rPr>
                <w:rFonts w:hint="eastAsia"/>
              </w:rPr>
            </w:pPr>
            <w:r>
              <w:rPr>
                <w:rFonts w:hint="eastAsia"/>
              </w:rPr>
              <w:t>县委宣传部</w:t>
            </w:r>
            <w:r>
              <w:rPr>
                <w:rFonts w:hint="eastAsia"/>
                <w:lang w:val="en-US" w:eastAsia="zh-CN"/>
              </w:rPr>
              <w:t>常务</w:t>
            </w:r>
            <w:r>
              <w:rPr>
                <w:rFonts w:hint="eastAsia"/>
              </w:rPr>
              <w:t>副部长</w:t>
            </w:r>
          </w:p>
        </w:tc>
        <w:tc>
          <w:tcPr>
            <w:tcW w:w="8313" w:type="dxa"/>
            <w:vAlign w:val="center"/>
          </w:tcPr>
          <w:p w14:paraId="7EB7E3DF">
            <w:pPr>
              <w:pStyle w:val="74"/>
              <w:adjustRightInd w:val="0"/>
              <w:spacing w:beforeLines="0" w:line="240" w:lineRule="auto"/>
              <w:ind w:left="0" w:leftChars="0" w:firstLine="0" w:firstLineChars="0"/>
              <w:jc w:val="left"/>
            </w:pPr>
            <w:r>
              <w:t>应急职责：协调召开新闻发布会，及时发布突发事件进展情况及处置情况，正确引导社会舆论。</w:t>
            </w:r>
          </w:p>
        </w:tc>
      </w:tr>
      <w:tr w14:paraId="2CFB4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Merge w:val="continue"/>
            <w:vAlign w:val="center"/>
          </w:tcPr>
          <w:p w14:paraId="1CB579FF">
            <w:pPr>
              <w:pStyle w:val="74"/>
              <w:adjustRightInd w:val="0"/>
              <w:spacing w:beforeLines="0" w:line="240" w:lineRule="auto"/>
              <w:ind w:left="0" w:leftChars="0" w:firstLine="0" w:firstLineChars="0"/>
              <w:jc w:val="center"/>
            </w:pPr>
          </w:p>
        </w:tc>
        <w:tc>
          <w:tcPr>
            <w:tcW w:w="1379" w:type="dxa"/>
            <w:vAlign w:val="center"/>
          </w:tcPr>
          <w:p w14:paraId="56B888E7">
            <w:pPr>
              <w:pStyle w:val="74"/>
              <w:adjustRightInd w:val="0"/>
              <w:spacing w:beforeLines="0" w:line="240" w:lineRule="auto"/>
              <w:ind w:left="0" w:leftChars="0" w:firstLine="0" w:firstLineChars="0"/>
              <w:jc w:val="center"/>
              <w:rPr>
                <w:rFonts w:hint="eastAsia"/>
              </w:rPr>
            </w:pPr>
            <w:r>
              <w:rPr>
                <w:rFonts w:hint="eastAsia"/>
              </w:rPr>
              <w:t xml:space="preserve">唐中魁   </w:t>
            </w:r>
          </w:p>
        </w:tc>
        <w:tc>
          <w:tcPr>
            <w:tcW w:w="2881" w:type="dxa"/>
            <w:vAlign w:val="center"/>
          </w:tcPr>
          <w:p w14:paraId="586DB4D5">
            <w:pPr>
              <w:pStyle w:val="74"/>
              <w:adjustRightInd w:val="0"/>
              <w:spacing w:beforeLines="0" w:line="240" w:lineRule="auto"/>
              <w:ind w:left="0" w:leftChars="0" w:firstLine="0" w:firstLineChars="0"/>
              <w:jc w:val="center"/>
              <w:rPr>
                <w:rFonts w:hint="eastAsia"/>
              </w:rPr>
            </w:pPr>
            <w:r>
              <w:rPr>
                <w:rFonts w:hint="eastAsia"/>
              </w:rPr>
              <w:t>县发展和改革局副局长</w:t>
            </w:r>
          </w:p>
        </w:tc>
        <w:tc>
          <w:tcPr>
            <w:tcW w:w="8313" w:type="dxa"/>
            <w:vAlign w:val="center"/>
          </w:tcPr>
          <w:p w14:paraId="5A74C105">
            <w:pPr>
              <w:pStyle w:val="74"/>
              <w:adjustRightInd w:val="0"/>
              <w:spacing w:beforeLines="0" w:line="240" w:lineRule="auto"/>
              <w:ind w:left="0" w:leftChars="0" w:firstLine="0" w:firstLineChars="0"/>
              <w:jc w:val="left"/>
              <w:rPr>
                <w:rFonts w:hint="eastAsia" w:eastAsia="宋体"/>
                <w:lang w:eastAsia="zh-CN"/>
              </w:rPr>
            </w:pPr>
            <w:r>
              <w:t>应急职责：负责饮用水源突发环境事件应急过程中商品饮用水的现场监管。保障事故应急响应过程中通信畅通工作</w:t>
            </w:r>
            <w:r>
              <w:rPr>
                <w:rFonts w:hint="eastAsia"/>
                <w:lang w:eastAsia="zh-CN"/>
              </w:rPr>
              <w:t>。</w:t>
            </w:r>
          </w:p>
        </w:tc>
      </w:tr>
      <w:tr w14:paraId="0F31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9" w:type="dxa"/>
            <w:vMerge w:val="continue"/>
            <w:vAlign w:val="center"/>
          </w:tcPr>
          <w:p w14:paraId="4D49726D">
            <w:pPr>
              <w:pStyle w:val="74"/>
              <w:adjustRightInd w:val="0"/>
              <w:spacing w:beforeLines="0" w:line="240" w:lineRule="auto"/>
              <w:ind w:left="0" w:leftChars="0" w:firstLine="0" w:firstLineChars="0"/>
              <w:jc w:val="center"/>
            </w:pPr>
          </w:p>
        </w:tc>
        <w:tc>
          <w:tcPr>
            <w:tcW w:w="1379" w:type="dxa"/>
            <w:vAlign w:val="center"/>
          </w:tcPr>
          <w:p w14:paraId="35A523CE">
            <w:pPr>
              <w:pStyle w:val="74"/>
              <w:adjustRightInd w:val="0"/>
              <w:spacing w:beforeLines="0" w:line="240" w:lineRule="auto"/>
              <w:ind w:left="0" w:leftChars="0" w:firstLine="0" w:firstLineChars="0"/>
              <w:jc w:val="center"/>
              <w:rPr>
                <w:rFonts w:hint="eastAsia"/>
              </w:rPr>
            </w:pPr>
            <w:r>
              <w:rPr>
                <w:rFonts w:hint="eastAsia"/>
                <w:lang w:eastAsia="zh-CN"/>
              </w:rPr>
              <w:t>唐向荣</w:t>
            </w:r>
            <w:r>
              <w:rPr>
                <w:rFonts w:hint="eastAsia"/>
              </w:rPr>
              <w:t xml:space="preserve"> </w:t>
            </w:r>
          </w:p>
        </w:tc>
        <w:tc>
          <w:tcPr>
            <w:tcW w:w="2881" w:type="dxa"/>
            <w:vAlign w:val="center"/>
          </w:tcPr>
          <w:p w14:paraId="05997B4A">
            <w:pPr>
              <w:pStyle w:val="74"/>
              <w:adjustRightInd w:val="0"/>
              <w:spacing w:beforeLines="0" w:line="240" w:lineRule="auto"/>
              <w:ind w:left="0" w:leftChars="0" w:firstLine="0" w:firstLineChars="0"/>
              <w:jc w:val="center"/>
              <w:rPr>
                <w:rFonts w:hint="eastAsia" w:eastAsia="宋体"/>
                <w:lang w:eastAsia="zh-CN"/>
              </w:rPr>
            </w:pPr>
            <w:r>
              <w:rPr>
                <w:rFonts w:hint="eastAsia"/>
                <w:lang w:eastAsia="zh-CN"/>
              </w:rPr>
              <w:t>关峡</w:t>
            </w:r>
            <w:r>
              <w:rPr>
                <w:rFonts w:hint="eastAsia"/>
              </w:rPr>
              <w:t>水厂</w:t>
            </w:r>
            <w:r>
              <w:rPr>
                <w:rFonts w:hint="eastAsia"/>
                <w:lang w:eastAsia="zh-CN"/>
              </w:rPr>
              <w:t>负责人</w:t>
            </w:r>
          </w:p>
        </w:tc>
        <w:tc>
          <w:tcPr>
            <w:tcW w:w="8313" w:type="dxa"/>
            <w:vAlign w:val="center"/>
          </w:tcPr>
          <w:p w14:paraId="45BF4170">
            <w:pPr>
              <w:pStyle w:val="74"/>
              <w:adjustRightInd w:val="0"/>
              <w:spacing w:beforeLines="0" w:line="240" w:lineRule="auto"/>
              <w:ind w:left="0" w:leftChars="0" w:firstLine="0" w:firstLineChars="0"/>
              <w:jc w:val="left"/>
            </w:pPr>
            <w:r>
              <w:t>应急职责：及时采取停水、减压供水、改路供水等措施，做好相关应急工作；通知相关居民停止停水、用水、储备饮用水；通知相关工业采取轮产、限产、停产等手段，减少自来水的消耗。</w:t>
            </w:r>
          </w:p>
        </w:tc>
      </w:tr>
      <w:tr w14:paraId="678F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369" w:type="dxa"/>
            <w:vMerge w:val="continue"/>
            <w:vAlign w:val="center"/>
          </w:tcPr>
          <w:p w14:paraId="1D0FBC2A">
            <w:pPr>
              <w:pStyle w:val="74"/>
              <w:adjustRightInd w:val="0"/>
              <w:spacing w:beforeLines="0" w:line="240" w:lineRule="auto"/>
              <w:ind w:left="0" w:leftChars="0" w:firstLine="0" w:firstLineChars="0"/>
              <w:jc w:val="center"/>
            </w:pPr>
          </w:p>
        </w:tc>
        <w:tc>
          <w:tcPr>
            <w:tcW w:w="1379" w:type="dxa"/>
            <w:vAlign w:val="center"/>
          </w:tcPr>
          <w:p w14:paraId="39E63014">
            <w:pPr>
              <w:pStyle w:val="74"/>
              <w:adjustRightInd w:val="0"/>
              <w:spacing w:beforeLines="0" w:line="240" w:lineRule="auto"/>
              <w:ind w:left="0" w:leftChars="0" w:firstLine="0" w:firstLineChars="0"/>
              <w:jc w:val="center"/>
              <w:rPr>
                <w:rFonts w:hint="eastAsia"/>
              </w:rPr>
            </w:pPr>
            <w:r>
              <w:rPr>
                <w:rFonts w:hint="eastAsia"/>
              </w:rPr>
              <w:t xml:space="preserve">林章昱   </w:t>
            </w:r>
          </w:p>
        </w:tc>
        <w:tc>
          <w:tcPr>
            <w:tcW w:w="2881" w:type="dxa"/>
            <w:vAlign w:val="center"/>
          </w:tcPr>
          <w:p w14:paraId="753F44CB">
            <w:pPr>
              <w:pStyle w:val="74"/>
              <w:adjustRightInd w:val="0"/>
              <w:spacing w:beforeLines="0" w:line="240" w:lineRule="auto"/>
              <w:ind w:left="0" w:leftChars="0" w:firstLine="0" w:firstLineChars="0"/>
              <w:jc w:val="center"/>
              <w:rPr>
                <w:rFonts w:hint="eastAsia"/>
              </w:rPr>
            </w:pPr>
            <w:r>
              <w:rPr>
                <w:rFonts w:hint="eastAsia"/>
              </w:rPr>
              <w:t>县民政局副局长</w:t>
            </w:r>
          </w:p>
        </w:tc>
        <w:tc>
          <w:tcPr>
            <w:tcW w:w="8313" w:type="dxa"/>
            <w:vAlign w:val="center"/>
          </w:tcPr>
          <w:p w14:paraId="33829D1B">
            <w:pPr>
              <w:pStyle w:val="74"/>
              <w:adjustRightInd w:val="0"/>
              <w:spacing w:beforeLines="0" w:line="240" w:lineRule="auto"/>
              <w:ind w:left="0" w:leftChars="0" w:firstLine="0" w:firstLineChars="0"/>
              <w:jc w:val="left"/>
            </w:pPr>
            <w:r>
              <w:t>应急职责：负责根据事故危害和受损程度，做好符合救援条件的困难群众的生活救助工作；配合作好死亡人员的遗体处理工作。参照自然灾害救助应急预案做好相关工作。</w:t>
            </w:r>
          </w:p>
        </w:tc>
      </w:tr>
      <w:tr w14:paraId="74E6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1369" w:type="dxa"/>
            <w:vMerge w:val="continue"/>
            <w:vAlign w:val="center"/>
          </w:tcPr>
          <w:p w14:paraId="157A1CCB">
            <w:pPr>
              <w:pStyle w:val="74"/>
              <w:adjustRightInd w:val="0"/>
              <w:spacing w:beforeLines="0" w:line="240" w:lineRule="auto"/>
              <w:ind w:left="0" w:leftChars="0" w:firstLine="0" w:firstLineChars="0"/>
              <w:jc w:val="center"/>
            </w:pPr>
          </w:p>
        </w:tc>
        <w:tc>
          <w:tcPr>
            <w:tcW w:w="1379" w:type="dxa"/>
            <w:vAlign w:val="center"/>
          </w:tcPr>
          <w:p w14:paraId="4927ADB8">
            <w:pPr>
              <w:pStyle w:val="74"/>
              <w:adjustRightInd w:val="0"/>
              <w:spacing w:beforeLines="0" w:line="240" w:lineRule="auto"/>
              <w:ind w:left="0" w:leftChars="0" w:firstLine="0" w:firstLineChars="0"/>
              <w:jc w:val="center"/>
            </w:pPr>
            <w:r>
              <w:rPr>
                <w:rFonts w:hint="eastAsia"/>
              </w:rPr>
              <w:t>万年宏</w:t>
            </w:r>
          </w:p>
        </w:tc>
        <w:tc>
          <w:tcPr>
            <w:tcW w:w="2881" w:type="dxa"/>
            <w:vAlign w:val="center"/>
          </w:tcPr>
          <w:p w14:paraId="6C92C260">
            <w:pPr>
              <w:pStyle w:val="74"/>
              <w:adjustRightInd w:val="0"/>
              <w:spacing w:beforeLines="0" w:line="240" w:lineRule="auto"/>
              <w:ind w:left="0" w:leftChars="0" w:firstLine="0" w:firstLineChars="0"/>
              <w:jc w:val="center"/>
            </w:pPr>
            <w:r>
              <w:rPr>
                <w:rFonts w:hint="eastAsia"/>
              </w:rPr>
              <w:t>关峡苗族乡乡长</w:t>
            </w:r>
          </w:p>
        </w:tc>
        <w:tc>
          <w:tcPr>
            <w:tcW w:w="8313" w:type="dxa"/>
            <w:vAlign w:val="center"/>
          </w:tcPr>
          <w:p w14:paraId="2DAF743C">
            <w:pPr>
              <w:pStyle w:val="74"/>
              <w:adjustRightInd w:val="0"/>
              <w:spacing w:beforeLines="0" w:line="240" w:lineRule="auto"/>
              <w:ind w:left="0" w:leftChars="0" w:firstLine="0" w:firstLineChars="0"/>
              <w:jc w:val="left"/>
              <w:rPr>
                <w:rFonts w:hint="eastAsia"/>
              </w:rPr>
            </w:pPr>
            <w:r>
              <w:rPr>
                <w:rFonts w:hint="eastAsia"/>
              </w:rPr>
              <w:t>应急职责：</w:t>
            </w:r>
          </w:p>
          <w:p w14:paraId="058F10A3">
            <w:pPr>
              <w:pStyle w:val="74"/>
              <w:adjustRightInd w:val="0"/>
              <w:spacing w:beforeLines="0" w:line="240" w:lineRule="auto"/>
              <w:ind w:left="0" w:leftChars="0" w:firstLine="0" w:firstLineChars="0"/>
              <w:jc w:val="left"/>
            </w:pPr>
            <w:r>
              <w:rPr>
                <w:rFonts w:hint="eastAsia"/>
              </w:rPr>
              <w:t>（1）</w:t>
            </w:r>
            <w:r>
              <w:t>协助调集应急物资，负责协调解决事故应急处置所需当地的人员、设备、车辆、物资等，组织发动当地群众投入救援工作</w:t>
            </w:r>
            <w:r>
              <w:rPr>
                <w:rFonts w:hint="eastAsia"/>
              </w:rPr>
              <w:t>；</w:t>
            </w:r>
          </w:p>
          <w:p w14:paraId="4BFD0833">
            <w:pPr>
              <w:pStyle w:val="74"/>
              <w:adjustRightInd w:val="0"/>
              <w:spacing w:beforeLines="0" w:line="240" w:lineRule="auto"/>
              <w:ind w:left="0" w:leftChars="0" w:firstLine="0" w:firstLineChars="0"/>
              <w:jc w:val="left"/>
            </w:pPr>
            <w:r>
              <w:rPr>
                <w:rFonts w:hint="eastAsia"/>
              </w:rPr>
              <w:t>（2）</w:t>
            </w:r>
            <w:r>
              <w:t>协同相关部门分析污染事故原因，</w:t>
            </w:r>
            <w:r>
              <w:rPr>
                <w:rFonts w:hint="eastAsia"/>
                <w:lang w:val="en-US" w:eastAsia="zh-CN"/>
              </w:rPr>
              <w:t>协助调查</w:t>
            </w:r>
            <w:r>
              <w:t>排污单位</w:t>
            </w:r>
            <w:r>
              <w:rPr>
                <w:rFonts w:hint="eastAsia"/>
              </w:rPr>
              <w:t>；</w:t>
            </w:r>
          </w:p>
          <w:p w14:paraId="5ACF2054">
            <w:pPr>
              <w:pStyle w:val="74"/>
              <w:adjustRightInd w:val="0"/>
              <w:spacing w:beforeLines="0" w:line="240" w:lineRule="auto"/>
              <w:ind w:left="0" w:leftChars="0" w:firstLine="0" w:firstLineChars="0"/>
              <w:jc w:val="left"/>
            </w:pPr>
            <w:r>
              <w:rPr>
                <w:rFonts w:hint="eastAsia"/>
              </w:rPr>
              <w:t>（3）</w:t>
            </w:r>
            <w:r>
              <w:t>启用应急（备用）水源和改路供水方案，保障城乡饮用水安全</w:t>
            </w:r>
            <w:r>
              <w:rPr>
                <w:rFonts w:hint="eastAsia"/>
              </w:rPr>
              <w:t>；</w:t>
            </w:r>
          </w:p>
          <w:p w14:paraId="55CADBC0">
            <w:pPr>
              <w:pStyle w:val="74"/>
              <w:adjustRightInd w:val="0"/>
              <w:spacing w:beforeLines="0" w:line="240" w:lineRule="auto"/>
              <w:ind w:left="0" w:leftChars="0" w:firstLine="0" w:firstLineChars="0"/>
              <w:jc w:val="left"/>
            </w:pPr>
            <w:r>
              <w:rPr>
                <w:rFonts w:hint="eastAsia"/>
              </w:rPr>
              <w:t>（4）</w:t>
            </w:r>
            <w:r>
              <w:t>负责通知污染区域内群众停止取水。</w:t>
            </w:r>
          </w:p>
        </w:tc>
      </w:tr>
      <w:tr w14:paraId="5D73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69" w:type="dxa"/>
            <w:vMerge w:val="continue"/>
            <w:vAlign w:val="center"/>
          </w:tcPr>
          <w:p w14:paraId="270C4DED">
            <w:pPr>
              <w:pStyle w:val="74"/>
              <w:adjustRightInd w:val="0"/>
              <w:spacing w:beforeLines="0" w:line="240" w:lineRule="auto"/>
              <w:ind w:left="0" w:leftChars="0" w:firstLine="0" w:firstLineChars="0"/>
              <w:jc w:val="center"/>
            </w:pPr>
          </w:p>
        </w:tc>
        <w:tc>
          <w:tcPr>
            <w:tcW w:w="1379" w:type="dxa"/>
            <w:vAlign w:val="center"/>
          </w:tcPr>
          <w:p w14:paraId="67DC15FA">
            <w:pPr>
              <w:pStyle w:val="74"/>
              <w:adjustRightInd w:val="0"/>
              <w:spacing w:beforeLines="0" w:line="240" w:lineRule="auto"/>
              <w:ind w:left="0" w:leftChars="0" w:firstLine="0" w:firstLineChars="0"/>
              <w:jc w:val="center"/>
              <w:rPr>
                <w:rFonts w:hint="default" w:eastAsia="宋体"/>
                <w:lang w:val="en-US" w:eastAsia="zh-CN"/>
              </w:rPr>
            </w:pPr>
            <w:r>
              <w:rPr>
                <w:rFonts w:hint="eastAsia"/>
                <w:lang w:val="en-US" w:eastAsia="zh-CN"/>
              </w:rPr>
              <w:t>匡能胜</w:t>
            </w:r>
          </w:p>
        </w:tc>
        <w:tc>
          <w:tcPr>
            <w:tcW w:w="2881" w:type="dxa"/>
            <w:vAlign w:val="center"/>
          </w:tcPr>
          <w:p w14:paraId="737F1C3E">
            <w:pPr>
              <w:pStyle w:val="74"/>
              <w:adjustRightInd w:val="0"/>
              <w:spacing w:beforeLines="0" w:line="240" w:lineRule="auto"/>
              <w:ind w:left="0" w:leftChars="0" w:firstLine="0" w:firstLineChars="0"/>
              <w:jc w:val="center"/>
            </w:pPr>
            <w:r>
              <w:rPr>
                <w:rFonts w:hint="eastAsia"/>
              </w:rPr>
              <w:t>县商务局副局长</w:t>
            </w:r>
          </w:p>
        </w:tc>
        <w:tc>
          <w:tcPr>
            <w:tcW w:w="8313" w:type="dxa"/>
            <w:vAlign w:val="center"/>
          </w:tcPr>
          <w:p w14:paraId="0D033CFA">
            <w:pPr>
              <w:pStyle w:val="74"/>
              <w:adjustRightInd w:val="0"/>
              <w:spacing w:beforeLines="0" w:line="240" w:lineRule="auto"/>
              <w:ind w:left="0" w:leftChars="0" w:firstLine="0" w:firstLineChars="0"/>
              <w:jc w:val="left"/>
            </w:pPr>
            <w:r>
              <w:t>应急职责：负责饮用水源突发环境事件应急过程中罐装饮用水的</w:t>
            </w:r>
            <w:r>
              <w:rPr>
                <w:rFonts w:hint="eastAsia"/>
                <w:lang w:val="en-US" w:eastAsia="zh-CN"/>
              </w:rPr>
              <w:t>现场</w:t>
            </w:r>
            <w:r>
              <w:t>供应、配送、调度。</w:t>
            </w:r>
          </w:p>
        </w:tc>
      </w:tr>
    </w:tbl>
    <w:p w14:paraId="3A0120EE">
      <w:pPr>
        <w:pStyle w:val="75"/>
        <w:rPr>
          <w:color w:val="auto"/>
        </w:rPr>
        <w:sectPr>
          <w:pgSz w:w="16838" w:h="11906" w:orient="landscape"/>
          <w:pgMar w:top="1800" w:right="1440" w:bottom="1800" w:left="1440" w:header="851" w:footer="992" w:gutter="0"/>
          <w:cols w:space="720" w:num="1"/>
          <w:docGrid w:type="lines" w:linePitch="312" w:charSpace="0"/>
        </w:sectPr>
      </w:pPr>
    </w:p>
    <w:p w14:paraId="7E1BE395">
      <w:pPr>
        <w:spacing w:line="480" w:lineRule="exact"/>
        <w:jc w:val="center"/>
      </w:pPr>
      <w:r>
        <w:rPr>
          <w:rFonts w:hint="eastAsia"/>
          <w:b/>
          <w:bCs/>
        </w:rPr>
        <w:t>表3-2 现场应急工作组人员组成及职责</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4752"/>
        <w:gridCol w:w="7303"/>
      </w:tblGrid>
      <w:tr w14:paraId="302A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3" w:type="dxa"/>
            <w:vAlign w:val="center"/>
          </w:tcPr>
          <w:p w14:paraId="6AA0C9F6">
            <w:pPr>
              <w:pStyle w:val="74"/>
              <w:adjustRightInd w:val="0"/>
              <w:spacing w:beforeLines="0" w:line="240" w:lineRule="auto"/>
              <w:ind w:left="0" w:leftChars="0" w:firstLine="0" w:firstLineChars="0"/>
              <w:jc w:val="center"/>
              <w:rPr>
                <w:rFonts w:hint="eastAsia"/>
              </w:rPr>
            </w:pPr>
            <w:r>
              <w:rPr>
                <w:rFonts w:hint="eastAsia"/>
              </w:rPr>
              <w:t>应急组织机构</w:t>
            </w:r>
          </w:p>
        </w:tc>
        <w:tc>
          <w:tcPr>
            <w:tcW w:w="4752" w:type="dxa"/>
            <w:vAlign w:val="center"/>
          </w:tcPr>
          <w:p w14:paraId="3481BB12">
            <w:pPr>
              <w:pStyle w:val="74"/>
              <w:adjustRightInd w:val="0"/>
              <w:spacing w:beforeLines="0" w:line="240" w:lineRule="auto"/>
              <w:ind w:left="0" w:leftChars="0" w:firstLine="0" w:firstLineChars="0"/>
              <w:jc w:val="center"/>
              <w:rPr>
                <w:rFonts w:hint="eastAsia"/>
              </w:rPr>
            </w:pPr>
            <w:r>
              <w:rPr>
                <w:rFonts w:hint="eastAsia"/>
              </w:rPr>
              <w:t>人员组成</w:t>
            </w:r>
          </w:p>
        </w:tc>
        <w:tc>
          <w:tcPr>
            <w:tcW w:w="7303" w:type="dxa"/>
            <w:vAlign w:val="center"/>
          </w:tcPr>
          <w:p w14:paraId="25B5EF8B">
            <w:pPr>
              <w:pStyle w:val="74"/>
              <w:adjustRightInd w:val="0"/>
              <w:spacing w:beforeLines="0" w:line="240" w:lineRule="auto"/>
              <w:ind w:left="0" w:leftChars="0" w:firstLine="0" w:firstLineChars="0"/>
              <w:jc w:val="center"/>
              <w:rPr>
                <w:rFonts w:hint="eastAsia"/>
              </w:rPr>
            </w:pPr>
            <w:r>
              <w:rPr>
                <w:rFonts w:hint="eastAsia"/>
              </w:rPr>
              <w:t>应急职责</w:t>
            </w:r>
          </w:p>
        </w:tc>
      </w:tr>
      <w:tr w14:paraId="517A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633" w:type="dxa"/>
            <w:vAlign w:val="center"/>
          </w:tcPr>
          <w:p w14:paraId="447CD009">
            <w:pPr>
              <w:pStyle w:val="74"/>
              <w:adjustRightInd w:val="0"/>
              <w:spacing w:beforeLines="0" w:line="240" w:lineRule="auto"/>
              <w:ind w:left="0" w:leftChars="0" w:firstLine="0" w:firstLineChars="0"/>
              <w:jc w:val="center"/>
              <w:rPr>
                <w:rFonts w:hint="eastAsia"/>
              </w:rPr>
            </w:pPr>
            <w:r>
              <w:rPr>
                <w:rFonts w:hint="eastAsia"/>
              </w:rPr>
              <w:t>应急处置组</w:t>
            </w:r>
          </w:p>
        </w:tc>
        <w:tc>
          <w:tcPr>
            <w:tcW w:w="4752" w:type="dxa"/>
            <w:vAlign w:val="center"/>
          </w:tcPr>
          <w:p w14:paraId="4E2DF933">
            <w:pPr>
              <w:pStyle w:val="74"/>
              <w:adjustRightInd w:val="0"/>
              <w:spacing w:beforeLines="0" w:line="240" w:lineRule="auto"/>
              <w:ind w:left="0" w:leftChars="0" w:firstLine="0" w:firstLineChars="0"/>
              <w:rPr>
                <w:rFonts w:hint="eastAsia"/>
              </w:rPr>
            </w:pPr>
            <w:r>
              <w:t>由熟悉饮用水水源地状况或水体应急处置修复工作的人员组成，从县</w:t>
            </w:r>
            <w:r>
              <w:rPr>
                <w:rFonts w:hint="eastAsia"/>
                <w:lang w:val="en-US" w:eastAsia="zh-CN"/>
              </w:rPr>
              <w:t>农水</w:t>
            </w:r>
            <w:r>
              <w:t>、</w:t>
            </w:r>
            <w:r>
              <w:rPr>
                <w:rFonts w:hint="eastAsia"/>
                <w:lang w:val="en-US" w:eastAsia="zh-CN"/>
              </w:rPr>
              <w:t>县农业农村水利局</w:t>
            </w:r>
            <w:r>
              <w:t>、县住建、</w:t>
            </w:r>
            <w:r>
              <w:rPr>
                <w:rFonts w:hint="eastAsia"/>
              </w:rPr>
              <w:t>关峡苗族乡政府</w:t>
            </w:r>
            <w:r>
              <w:rPr>
                <w:rFonts w:hint="eastAsia"/>
                <w:lang w:eastAsia="zh-CN"/>
              </w:rPr>
              <w:t>、</w:t>
            </w:r>
            <w:r>
              <w:rPr>
                <w:rFonts w:hint="eastAsia"/>
                <w:lang w:val="en-US" w:eastAsia="zh-CN"/>
              </w:rPr>
              <w:t>产业园区管委会</w:t>
            </w:r>
            <w:r>
              <w:t>等部门（单位）或外部救援力量中选择成员。</w:t>
            </w:r>
          </w:p>
        </w:tc>
        <w:tc>
          <w:tcPr>
            <w:tcW w:w="7303" w:type="dxa"/>
            <w:vAlign w:val="center"/>
          </w:tcPr>
          <w:p w14:paraId="030078BE">
            <w:pPr>
              <w:pStyle w:val="74"/>
              <w:adjustRightInd w:val="0"/>
              <w:spacing w:beforeLines="0" w:line="240" w:lineRule="auto"/>
              <w:ind w:left="0" w:leftChars="0" w:firstLine="0" w:firstLineChars="0"/>
              <w:rPr>
                <w:rFonts w:hint="eastAsia"/>
              </w:rPr>
            </w:pPr>
            <w:r>
              <w:t>负责紧急状态下现场污染物消除、围堵和削减等各项工作；负责泄露污染物的收集、转运和异地处置；根据事故变化及时向指挥部报告，以便统筹调度各方面人力、物力加强处置工作。</w:t>
            </w:r>
          </w:p>
        </w:tc>
      </w:tr>
      <w:tr w14:paraId="23E5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633" w:type="dxa"/>
            <w:vAlign w:val="center"/>
          </w:tcPr>
          <w:p w14:paraId="7E3F02E5">
            <w:pPr>
              <w:pStyle w:val="74"/>
              <w:adjustRightInd w:val="0"/>
              <w:spacing w:beforeLines="0" w:line="240" w:lineRule="auto"/>
              <w:ind w:left="0" w:leftChars="0" w:firstLine="0" w:firstLineChars="0"/>
              <w:jc w:val="center"/>
              <w:rPr>
                <w:rFonts w:hint="eastAsia"/>
              </w:rPr>
            </w:pPr>
            <w:r>
              <w:rPr>
                <w:rFonts w:hint="eastAsia"/>
              </w:rPr>
              <w:t>应急监测组</w:t>
            </w:r>
          </w:p>
        </w:tc>
        <w:tc>
          <w:tcPr>
            <w:tcW w:w="4752" w:type="dxa"/>
            <w:vAlign w:val="center"/>
          </w:tcPr>
          <w:p w14:paraId="627FB768">
            <w:pPr>
              <w:pStyle w:val="74"/>
              <w:adjustRightInd w:val="0"/>
              <w:spacing w:beforeLines="0" w:line="240" w:lineRule="auto"/>
              <w:ind w:left="0" w:leftChars="0" w:firstLine="0" w:firstLineChars="0"/>
              <w:rPr>
                <w:rFonts w:hint="eastAsia"/>
              </w:rPr>
            </w:pPr>
            <w:r>
              <w:t>由市生态环境局绥宁分局、县住房和城乡建设局、县</w:t>
            </w:r>
            <w:r>
              <w:rPr>
                <w:rFonts w:hint="eastAsia"/>
              </w:rPr>
              <w:t>卫健</w:t>
            </w:r>
            <w:r>
              <w:t>局、县</w:t>
            </w:r>
            <w:r>
              <w:rPr>
                <w:rFonts w:hint="eastAsia"/>
              </w:rPr>
              <w:t>农业农村</w:t>
            </w:r>
            <w:r>
              <w:t>水利局等部门或第三方监测机构人员组成。</w:t>
            </w:r>
          </w:p>
        </w:tc>
        <w:tc>
          <w:tcPr>
            <w:tcW w:w="7303" w:type="dxa"/>
            <w:vAlign w:val="center"/>
          </w:tcPr>
          <w:p w14:paraId="251EC481">
            <w:pPr>
              <w:pStyle w:val="74"/>
              <w:adjustRightInd w:val="0"/>
              <w:spacing w:beforeLines="0" w:line="240" w:lineRule="auto"/>
              <w:ind w:left="0" w:leftChars="0" w:firstLine="0" w:firstLineChars="0"/>
              <w:rPr>
                <w:rFonts w:hint="eastAsia"/>
              </w:rPr>
            </w:pPr>
            <w:r>
              <w:t>负责对事故状态下的水源、水厂和用户取水口的水质监测，为水厂应对决策提供依据；在污染团下游、上游分别设置断面进行监测，分析污染团迁移速率、方向和流量、浓度变化等，为应急处置提供依据。</w:t>
            </w:r>
          </w:p>
        </w:tc>
      </w:tr>
      <w:tr w14:paraId="10A3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633" w:type="dxa"/>
            <w:vAlign w:val="center"/>
          </w:tcPr>
          <w:p w14:paraId="48764732">
            <w:pPr>
              <w:pStyle w:val="74"/>
              <w:adjustRightInd w:val="0"/>
              <w:spacing w:beforeLines="0" w:line="240" w:lineRule="auto"/>
              <w:ind w:left="0" w:leftChars="0" w:firstLine="0" w:firstLineChars="0"/>
              <w:jc w:val="center"/>
              <w:rPr>
                <w:rFonts w:hint="eastAsia"/>
              </w:rPr>
            </w:pPr>
            <w:r>
              <w:rPr>
                <w:rFonts w:hint="eastAsia"/>
              </w:rPr>
              <w:t>应急物资保障组</w:t>
            </w:r>
          </w:p>
        </w:tc>
        <w:tc>
          <w:tcPr>
            <w:tcW w:w="4752" w:type="dxa"/>
            <w:vAlign w:val="center"/>
          </w:tcPr>
          <w:p w14:paraId="35D8AD6C">
            <w:pPr>
              <w:pStyle w:val="74"/>
              <w:adjustRightInd w:val="0"/>
              <w:spacing w:beforeLines="0" w:line="240" w:lineRule="auto"/>
              <w:ind w:left="0" w:leftChars="0" w:firstLine="0" w:firstLineChars="0"/>
              <w:rPr>
                <w:rFonts w:hint="eastAsia"/>
              </w:rPr>
            </w:pPr>
            <w:r>
              <w:t>由县发展和改革局、县</w:t>
            </w:r>
            <w:r>
              <w:rPr>
                <w:rFonts w:hint="eastAsia"/>
                <w:lang w:val="en-US" w:eastAsia="zh-CN"/>
              </w:rPr>
              <w:t>应急管理</w:t>
            </w:r>
            <w:r>
              <w:t>局、市生态环境局绥宁分局、县住房和城乡建设局、县</w:t>
            </w:r>
            <w:r>
              <w:rPr>
                <w:rFonts w:hint="eastAsia"/>
                <w:lang w:val="en-US" w:eastAsia="zh-CN"/>
              </w:rPr>
              <w:t>交通运输</w:t>
            </w:r>
            <w:r>
              <w:t>局、</w:t>
            </w:r>
            <w:r>
              <w:rPr>
                <w:rFonts w:hint="eastAsia"/>
                <w:lang w:val="en-US" w:eastAsia="zh-CN"/>
              </w:rPr>
              <w:t>产业园区管委会、</w:t>
            </w:r>
            <w:r>
              <w:t>县</w:t>
            </w:r>
            <w:r>
              <w:rPr>
                <w:rFonts w:hint="eastAsia"/>
                <w:lang w:val="en-US" w:eastAsia="zh-CN"/>
              </w:rPr>
              <w:t>关峡水厂</w:t>
            </w:r>
            <w:r>
              <w:t>等部门从日常负责应急物资管理的人员中选择。</w:t>
            </w:r>
          </w:p>
        </w:tc>
        <w:tc>
          <w:tcPr>
            <w:tcW w:w="7303" w:type="dxa"/>
            <w:vAlign w:val="center"/>
          </w:tcPr>
          <w:p w14:paraId="2DBF2423">
            <w:pPr>
              <w:pStyle w:val="74"/>
              <w:adjustRightInd w:val="0"/>
              <w:spacing w:beforeLines="0" w:line="240" w:lineRule="auto"/>
              <w:ind w:left="0" w:leftChars="0" w:firstLine="0" w:firstLineChars="0"/>
              <w:rPr>
                <w:rFonts w:hint="eastAsia"/>
              </w:rPr>
            </w:pPr>
            <w:r>
              <w:t>负责车辆的安排和调配；为救援行动提供物质保障（包括污染物吸附、中和的材料及药剂，挖掘或设置临时围堰的器材，监测器材和指挥通信器材等）；负责应急时的后勤保障工作；负责善后处置工作，包括征用物资补偿，救援费用的支付。</w:t>
            </w:r>
          </w:p>
        </w:tc>
      </w:tr>
      <w:tr w14:paraId="5A83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633" w:type="dxa"/>
            <w:vAlign w:val="center"/>
          </w:tcPr>
          <w:p w14:paraId="22208EF6">
            <w:pPr>
              <w:pStyle w:val="74"/>
              <w:adjustRightInd w:val="0"/>
              <w:spacing w:beforeLines="0" w:line="240" w:lineRule="auto"/>
              <w:ind w:left="0" w:leftChars="0" w:firstLine="0" w:firstLineChars="0"/>
              <w:jc w:val="center"/>
              <w:rPr>
                <w:rFonts w:hint="eastAsia"/>
              </w:rPr>
            </w:pPr>
            <w:r>
              <w:rPr>
                <w:rFonts w:hint="eastAsia"/>
              </w:rPr>
              <w:t>应急供水保障组</w:t>
            </w:r>
          </w:p>
        </w:tc>
        <w:tc>
          <w:tcPr>
            <w:tcW w:w="4752" w:type="dxa"/>
            <w:vAlign w:val="center"/>
          </w:tcPr>
          <w:p w14:paraId="12838CC0">
            <w:pPr>
              <w:pStyle w:val="74"/>
              <w:adjustRightInd w:val="0"/>
              <w:spacing w:beforeLines="0" w:line="240" w:lineRule="auto"/>
              <w:ind w:left="0" w:leftChars="0" w:firstLine="0" w:firstLineChars="0"/>
            </w:pPr>
            <w:r>
              <w:t>由县</w:t>
            </w:r>
            <w:r>
              <w:rPr>
                <w:rFonts w:hint="eastAsia"/>
              </w:rPr>
              <w:t>农业农村</w:t>
            </w:r>
            <w:r>
              <w:t>水利局、市生态环境局绥宁分局、县住房和城乡建设局、县</w:t>
            </w:r>
            <w:r>
              <w:rPr>
                <w:rFonts w:hint="eastAsia"/>
              </w:rPr>
              <w:t>卫健</w:t>
            </w:r>
            <w:r>
              <w:t>局、县商务局等部门从日常负责供水管理管理的人员中选择。</w:t>
            </w:r>
          </w:p>
        </w:tc>
        <w:tc>
          <w:tcPr>
            <w:tcW w:w="7303" w:type="dxa"/>
            <w:vAlign w:val="center"/>
          </w:tcPr>
          <w:p w14:paraId="5E524638">
            <w:pPr>
              <w:pStyle w:val="74"/>
              <w:adjustRightInd w:val="0"/>
              <w:spacing w:beforeLines="0" w:line="240" w:lineRule="auto"/>
              <w:ind w:left="0" w:leftChars="0" w:firstLine="0" w:firstLineChars="0"/>
            </w:pPr>
            <w:r>
              <w:t>（1）当水源地突发环境事件时造成水源地停止供水，保障人民群众日常生活用水；</w:t>
            </w:r>
          </w:p>
          <w:p w14:paraId="6CE589D0">
            <w:pPr>
              <w:pStyle w:val="74"/>
              <w:adjustRightInd w:val="0"/>
              <w:spacing w:beforeLines="0" w:line="240" w:lineRule="auto"/>
              <w:ind w:left="0" w:leftChars="0" w:firstLine="0" w:firstLineChars="0"/>
            </w:pPr>
            <w:r>
              <w:t>（2）参与相关培训及演练，熟悉应急工作；</w:t>
            </w:r>
          </w:p>
          <w:p w14:paraId="08378047">
            <w:pPr>
              <w:pStyle w:val="74"/>
              <w:adjustRightInd w:val="0"/>
              <w:spacing w:beforeLines="0" w:line="240" w:lineRule="auto"/>
              <w:ind w:left="0" w:leftChars="0" w:firstLine="0" w:firstLineChars="0"/>
            </w:pPr>
            <w:r>
              <w:t>（</w:t>
            </w:r>
            <w:r>
              <w:rPr>
                <w:rFonts w:hint="eastAsia"/>
              </w:rPr>
              <w:t>3</w:t>
            </w:r>
            <w:r>
              <w:t>）同时保障处理环境事件过程中的用水。</w:t>
            </w:r>
          </w:p>
        </w:tc>
      </w:tr>
      <w:tr w14:paraId="0D69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633" w:type="dxa"/>
            <w:vAlign w:val="center"/>
          </w:tcPr>
          <w:p w14:paraId="7A183C45">
            <w:pPr>
              <w:pStyle w:val="74"/>
              <w:adjustRightInd w:val="0"/>
              <w:spacing w:beforeLines="0" w:line="240" w:lineRule="auto"/>
              <w:ind w:left="0" w:leftChars="0" w:firstLine="0" w:firstLineChars="0"/>
              <w:jc w:val="center"/>
              <w:rPr>
                <w:rFonts w:hint="eastAsia"/>
              </w:rPr>
            </w:pPr>
            <w:r>
              <w:rPr>
                <w:rFonts w:hint="eastAsia"/>
              </w:rPr>
              <w:t>综合组</w:t>
            </w:r>
          </w:p>
        </w:tc>
        <w:tc>
          <w:tcPr>
            <w:tcW w:w="4752" w:type="dxa"/>
            <w:vAlign w:val="center"/>
          </w:tcPr>
          <w:p w14:paraId="7901EA3F">
            <w:pPr>
              <w:pStyle w:val="74"/>
              <w:adjustRightInd w:val="0"/>
              <w:spacing w:beforeLines="0" w:line="240" w:lineRule="auto"/>
              <w:ind w:left="0" w:leftChars="0" w:firstLine="0" w:firstLineChars="0"/>
            </w:pPr>
            <w:r>
              <w:t>由县委宣传部、市生态环境局绥宁分局等部门从日常负责信息发布的人员中选择。</w:t>
            </w:r>
          </w:p>
        </w:tc>
        <w:tc>
          <w:tcPr>
            <w:tcW w:w="7303" w:type="dxa"/>
            <w:vAlign w:val="center"/>
          </w:tcPr>
          <w:p w14:paraId="4745000E">
            <w:pPr>
              <w:pStyle w:val="74"/>
              <w:adjustRightInd w:val="0"/>
              <w:spacing w:beforeLines="0" w:line="240" w:lineRule="auto"/>
              <w:ind w:left="0" w:leftChars="0" w:firstLine="0" w:firstLineChars="0"/>
            </w:pPr>
            <w:r>
              <w:t>信息沟通交流、舆情监测与应对、新闻稿拟定等，负责事故信息报告、通报和发布等。</w:t>
            </w:r>
          </w:p>
        </w:tc>
      </w:tr>
      <w:tr w14:paraId="0DA4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33" w:type="dxa"/>
            <w:vAlign w:val="center"/>
          </w:tcPr>
          <w:p w14:paraId="2A84743E">
            <w:pPr>
              <w:pStyle w:val="74"/>
              <w:adjustRightInd w:val="0"/>
              <w:spacing w:beforeLines="0" w:line="240" w:lineRule="auto"/>
              <w:ind w:left="0" w:leftChars="0" w:firstLine="0" w:firstLineChars="0"/>
              <w:jc w:val="center"/>
              <w:rPr>
                <w:rFonts w:hint="eastAsia"/>
              </w:rPr>
            </w:pPr>
            <w:r>
              <w:rPr>
                <w:rFonts w:hint="eastAsia"/>
              </w:rPr>
              <w:t>应急专家组</w:t>
            </w:r>
          </w:p>
        </w:tc>
        <w:tc>
          <w:tcPr>
            <w:tcW w:w="4752" w:type="dxa"/>
            <w:vAlign w:val="center"/>
          </w:tcPr>
          <w:p w14:paraId="68B98CC2">
            <w:pPr>
              <w:pStyle w:val="74"/>
              <w:adjustRightInd w:val="0"/>
              <w:spacing w:beforeLines="0" w:line="240" w:lineRule="auto"/>
              <w:ind w:left="0" w:leftChars="0" w:firstLine="0" w:firstLineChars="0"/>
              <w:rPr>
                <w:rFonts w:hint="eastAsia"/>
              </w:rPr>
            </w:pPr>
            <w:r>
              <w:t>饮用水水源地管理、水体修复、环境保护和饮水卫生安全等方面的专家。从市生态环境局绥宁分局、县住房和城乡建设局、县</w:t>
            </w:r>
            <w:r>
              <w:rPr>
                <w:rFonts w:hint="eastAsia"/>
              </w:rPr>
              <w:t>卫健</w:t>
            </w:r>
            <w:r>
              <w:t>局、县农业</w:t>
            </w:r>
            <w:r>
              <w:rPr>
                <w:rFonts w:hint="eastAsia"/>
              </w:rPr>
              <w:t>农村</w:t>
            </w:r>
            <w:r>
              <w:t>水利局相关部门或市内、省内高校专家选择。</w:t>
            </w:r>
          </w:p>
        </w:tc>
        <w:tc>
          <w:tcPr>
            <w:tcW w:w="7303" w:type="dxa"/>
            <w:vAlign w:val="center"/>
          </w:tcPr>
          <w:p w14:paraId="36041F4A">
            <w:pPr>
              <w:pStyle w:val="74"/>
              <w:adjustRightInd w:val="0"/>
              <w:spacing w:beforeLines="0" w:line="240" w:lineRule="auto"/>
              <w:ind w:left="0" w:leftChars="0" w:firstLine="0" w:firstLineChars="0"/>
              <w:rPr>
                <w:rFonts w:hint="eastAsia"/>
              </w:rPr>
            </w:pPr>
            <w:r>
              <w:rPr>
                <w:rFonts w:hint="eastAsia"/>
              </w:rPr>
              <w:t>专家组由环境监测、危险化学品、环境评估专家等组成。水源地突发环境事件发生后，迅速成立救援应急专家组。专家组为现场环境救援应急指挥部应急决策提供专业咨询和技术支持；对事发现场信息进行综合分析和研究，综合评估水污染事件，预测其发展趋势，提出启动和终止应急预案的建议、应急处置措施和环境安全建议；提出指导、调整和评估应急处理措施建议和意见；参与水源地突发环境事件的总结评估并提交评估报告；在日常工作中为各级生态环境部门、应急中心、生态环境监测站提供工作咨询。</w:t>
            </w:r>
          </w:p>
        </w:tc>
      </w:tr>
    </w:tbl>
    <w:p w14:paraId="0ADC2799">
      <w:pPr>
        <w:pStyle w:val="75"/>
        <w:rPr>
          <w:color w:val="auto"/>
        </w:rPr>
        <w:sectPr>
          <w:pgSz w:w="16838" w:h="11906" w:orient="landscape"/>
          <w:pgMar w:top="1800" w:right="1440" w:bottom="1800" w:left="1440" w:header="851" w:footer="992" w:gutter="0"/>
          <w:cols w:space="720" w:num="1"/>
          <w:docGrid w:type="lines" w:linePitch="312" w:charSpace="0"/>
        </w:sectPr>
      </w:pPr>
    </w:p>
    <w:p w14:paraId="32A5BD03">
      <w:pPr>
        <w:pStyle w:val="4"/>
      </w:pPr>
      <w:bookmarkStart w:id="125" w:name="_Toc9554_WPSOffice_Level2"/>
      <w:bookmarkStart w:id="126" w:name="_Toc17208"/>
      <w:bookmarkStart w:id="127" w:name="_Toc28765"/>
      <w:bookmarkStart w:id="128" w:name="_Toc22247"/>
      <w:r>
        <w:t>3应急响应</w:t>
      </w:r>
      <w:bookmarkEnd w:id="125"/>
      <w:bookmarkEnd w:id="126"/>
      <w:bookmarkEnd w:id="127"/>
      <w:bookmarkEnd w:id="128"/>
    </w:p>
    <w:p w14:paraId="539806A6">
      <w:pPr>
        <w:ind w:firstLine="480" w:firstLineChars="200"/>
        <w:rPr>
          <w:bCs/>
        </w:rPr>
      </w:pPr>
      <w:r>
        <w:rPr>
          <w:bCs/>
        </w:rPr>
        <w:t>应急响应包括信息收集与研判、预警、信息报告与通报、事态研判、应急处置、物资调集及应急设施启用、舆情监测与信息发布、响应终止等方面的具体内容。</w:t>
      </w:r>
    </w:p>
    <w:p w14:paraId="1E45CAB3">
      <w:pPr>
        <w:jc w:val="center"/>
      </w:pPr>
      <w:r>
        <w:object>
          <v:shape id="_x0000_i1026" o:spt="75" type="#_x0000_t75" style="height:549.7pt;width:392.55pt;" o:ole="t" filled="f" o:preferrelative="t" stroked="f" coordsize="21600,21600">
            <v:path/>
            <v:fill on="f" focussize="0,0"/>
            <v:stroke on="f" joinstyle="miter"/>
            <v:imagedata r:id="rId29" o:title=""/>
            <o:lock v:ext="edit" aspectratio="t"/>
            <w10:wrap type="none"/>
            <w10:anchorlock/>
          </v:shape>
          <o:OLEObject Type="Embed" ProgID="Visio.Drawing.11" ShapeID="_x0000_i1026" DrawAspect="Content" ObjectID="_1468075726" r:id="rId28">
            <o:LockedField>false</o:LockedField>
          </o:OLEObject>
        </w:object>
      </w:r>
    </w:p>
    <w:p w14:paraId="6E76F6BB">
      <w:pPr>
        <w:jc w:val="center"/>
        <w:rPr>
          <w:rFonts w:eastAsia="黑体"/>
        </w:rPr>
      </w:pPr>
      <w:r>
        <w:t xml:space="preserve"> </w:t>
      </w:r>
      <w:r>
        <w:rPr>
          <w:rFonts w:eastAsia="黑体"/>
          <w:b/>
          <w:bCs/>
          <w:sz w:val="21"/>
          <w:szCs w:val="21"/>
        </w:rPr>
        <w:t>图3-</w:t>
      </w:r>
      <w:r>
        <w:rPr>
          <w:rFonts w:hint="eastAsia" w:eastAsia="黑体"/>
          <w:b/>
          <w:bCs/>
          <w:sz w:val="21"/>
          <w:szCs w:val="21"/>
        </w:rPr>
        <w:t>1</w:t>
      </w:r>
      <w:r>
        <w:rPr>
          <w:rFonts w:eastAsia="黑体"/>
          <w:b/>
          <w:bCs/>
          <w:sz w:val="21"/>
          <w:szCs w:val="21"/>
        </w:rPr>
        <w:t xml:space="preserve"> 水源地保护区突发环境事件应急响应工作路线图</w:t>
      </w:r>
    </w:p>
    <w:p w14:paraId="78443A57">
      <w:pPr>
        <w:pStyle w:val="5"/>
      </w:pPr>
      <w:bookmarkStart w:id="129" w:name="_Toc23557"/>
      <w:bookmarkStart w:id="130" w:name="_Toc13387"/>
      <w:r>
        <w:t>3.1信息收集和研判</w:t>
      </w:r>
      <w:bookmarkEnd w:id="129"/>
      <w:bookmarkEnd w:id="130"/>
    </w:p>
    <w:p w14:paraId="658EC578">
      <w:pPr>
        <w:pStyle w:val="6"/>
      </w:pPr>
      <w:r>
        <w:t>3.1.1信息收集</w:t>
      </w:r>
    </w:p>
    <w:p w14:paraId="78848929">
      <w:pPr>
        <w:ind w:firstLine="480" w:firstLineChars="200"/>
        <w:rPr>
          <w:bCs/>
        </w:rPr>
      </w:pPr>
      <w:r>
        <w:rPr>
          <w:bCs/>
        </w:rPr>
        <w:t>责任单位：</w:t>
      </w:r>
      <w:r>
        <w:rPr>
          <w:rFonts w:hint="eastAsia"/>
          <w:bCs/>
        </w:rPr>
        <w:t>县政府办、县应急管理局、</w:t>
      </w:r>
      <w:r>
        <w:rPr>
          <w:bCs/>
        </w:rPr>
        <w:t>县公安局、</w:t>
      </w:r>
      <w:r>
        <w:rPr>
          <w:rFonts w:hint="eastAsia"/>
          <w:bCs/>
        </w:rPr>
        <w:t>县应急管理局、</w:t>
      </w:r>
      <w:r>
        <w:rPr>
          <w:bCs/>
        </w:rPr>
        <w:t>市生态环境局绥宁分局、县</w:t>
      </w:r>
      <w:r>
        <w:rPr>
          <w:rFonts w:hint="eastAsia"/>
          <w:bCs/>
        </w:rPr>
        <w:t>卫健</w:t>
      </w:r>
      <w:r>
        <w:rPr>
          <w:bCs/>
        </w:rPr>
        <w:t>局、县住建局、县交通运输局、县农业</w:t>
      </w:r>
      <w:r>
        <w:rPr>
          <w:rFonts w:hint="eastAsia"/>
          <w:bCs/>
        </w:rPr>
        <w:t>农村</w:t>
      </w:r>
      <w:r>
        <w:rPr>
          <w:bCs/>
        </w:rPr>
        <w:t>水利局、</w:t>
      </w:r>
      <w:r>
        <w:rPr>
          <w:rFonts w:hint="eastAsia" w:ascii="Times New Roman" w:eastAsia="宋体"/>
          <w:bCs/>
          <w:lang w:val="en-US" w:eastAsia="zh-CN"/>
        </w:rPr>
        <w:t>乡政府</w:t>
      </w:r>
      <w:r>
        <w:rPr>
          <w:rFonts w:hint="eastAsia"/>
          <w:bCs/>
        </w:rPr>
        <w:t>等</w:t>
      </w:r>
      <w:r>
        <w:rPr>
          <w:bCs/>
        </w:rPr>
        <w:t xml:space="preserve">。 </w:t>
      </w:r>
    </w:p>
    <w:p w14:paraId="0CDF687F">
      <w:pPr>
        <w:ind w:firstLine="480" w:firstLineChars="200"/>
        <w:rPr>
          <w:bCs/>
        </w:rPr>
      </w:pPr>
      <w:r>
        <w:rPr>
          <w:bCs/>
        </w:rPr>
        <w:t xml:space="preserve">信息收集范围应与水源地调查范围保持一致。信息来源包括但不限于以下途径： </w:t>
      </w:r>
    </w:p>
    <w:p w14:paraId="15FD234E">
      <w:pPr>
        <w:numPr>
          <w:ilvl w:val="0"/>
          <w:numId w:val="3"/>
        </w:numPr>
        <w:ind w:firstLine="480" w:firstLineChars="200"/>
        <w:rPr>
          <w:bCs/>
        </w:rPr>
      </w:pPr>
      <w:r>
        <w:t>绥宁县政府、</w:t>
      </w:r>
      <w:r>
        <w:rPr>
          <w:rFonts w:hint="eastAsia"/>
        </w:rPr>
        <w:t>县应急管理局</w:t>
      </w:r>
      <w:r>
        <w:t>应设立24小时应急值班室，向社会公开应急电话，随时接报突发环境事件信息，即时做好下情上报，上情下达。</w:t>
      </w:r>
    </w:p>
    <w:p w14:paraId="55AA950E">
      <w:pPr>
        <w:ind w:firstLine="480" w:firstLineChars="200"/>
        <w:rPr>
          <w:bCs/>
        </w:rPr>
      </w:pPr>
      <w:r>
        <w:rPr>
          <w:bCs/>
        </w:rPr>
        <w:t>（2）</w:t>
      </w:r>
      <w:r>
        <w:rPr>
          <w:rFonts w:hint="eastAsia"/>
          <w:bCs/>
        </w:rPr>
        <w:t>关峡苗族乡人民政府</w:t>
      </w:r>
      <w:r>
        <w:rPr>
          <w:bCs/>
        </w:rPr>
        <w:t>、</w:t>
      </w:r>
      <w:r>
        <w:rPr>
          <w:rFonts w:hint="eastAsia"/>
          <w:bCs/>
        </w:rPr>
        <w:t>插柳村村委会</w:t>
      </w:r>
      <w:r>
        <w:rPr>
          <w:bCs/>
        </w:rPr>
        <w:t>、市生态环境局绥宁分局、县住房和城乡建设局、县</w:t>
      </w:r>
      <w:r>
        <w:rPr>
          <w:rFonts w:hint="eastAsia"/>
          <w:bCs/>
        </w:rPr>
        <w:t>农业农村</w:t>
      </w:r>
      <w:r>
        <w:rPr>
          <w:bCs/>
        </w:rPr>
        <w:t xml:space="preserve">水利局等单位和部门，可通过水源地或水厂水质监督性监测与在线监测等日常监管渠道获取水质变化信息，也可以通过集成水文气象、地形地貌、污染排放、防护措施等信息开展水质快速预测预警，获取水质预警信息； </w:t>
      </w:r>
    </w:p>
    <w:p w14:paraId="0AD887F3">
      <w:pPr>
        <w:ind w:firstLine="480" w:firstLineChars="200"/>
        <w:rPr>
          <w:bCs/>
        </w:rPr>
      </w:pPr>
      <w:r>
        <w:rPr>
          <w:bCs/>
        </w:rPr>
        <w:t xml:space="preserve">（3）市生态环境局绥宁分局可通过水源地主要风险源监控获取固定源异常排放的信息，也可通过12369热线获取突发环境事件信息； </w:t>
      </w:r>
    </w:p>
    <w:p w14:paraId="0CC9DAC5">
      <w:pPr>
        <w:ind w:firstLine="480" w:firstLineChars="200"/>
        <w:rPr>
          <w:bCs/>
        </w:rPr>
      </w:pPr>
      <w:r>
        <w:rPr>
          <w:bCs/>
        </w:rPr>
        <w:t>（4）县公安局、县交通运输局可通过车辆事故报警获取流动源事故信息；县</w:t>
      </w:r>
      <w:r>
        <w:rPr>
          <w:rFonts w:hint="eastAsia"/>
          <w:bCs/>
        </w:rPr>
        <w:t>农业农村</w:t>
      </w:r>
      <w:r>
        <w:rPr>
          <w:bCs/>
        </w:rPr>
        <w:t xml:space="preserve">水利局可通过藻类密度变化的监测获得水华事件的信息； </w:t>
      </w:r>
    </w:p>
    <w:p w14:paraId="14977238">
      <w:pPr>
        <w:ind w:firstLine="480" w:firstLineChars="200"/>
        <w:rPr>
          <w:bCs/>
        </w:rPr>
      </w:pPr>
      <w:r>
        <w:rPr>
          <w:bCs/>
        </w:rPr>
        <w:t>（5）通过本级政府不同部门之间建立的信息收集与共享渠道，收集信息。</w:t>
      </w:r>
    </w:p>
    <w:p w14:paraId="13F8D210">
      <w:pPr>
        <w:rPr>
          <w:bCs/>
        </w:rPr>
      </w:pPr>
      <w:r>
        <w:rPr>
          <w:bCs/>
        </w:rPr>
        <w:t>水源地保护区应急信息接报标准化格式文本见附件1</w:t>
      </w:r>
      <w:r>
        <w:rPr>
          <w:rFonts w:hint="eastAsia"/>
          <w:bCs/>
        </w:rPr>
        <w:t>3</w:t>
      </w:r>
      <w:r>
        <w:rPr>
          <w:bCs/>
        </w:rPr>
        <w:t>。</w:t>
      </w:r>
    </w:p>
    <w:p w14:paraId="774311AE">
      <w:pPr>
        <w:pStyle w:val="6"/>
      </w:pPr>
      <w:r>
        <w:t>3.1.2信息研判与会商</w:t>
      </w:r>
    </w:p>
    <w:p w14:paraId="575D5FA9">
      <w:pPr>
        <w:ind w:firstLine="480" w:firstLineChars="200"/>
        <w:rPr>
          <w:bCs/>
        </w:rPr>
      </w:pPr>
      <w:r>
        <w:rPr>
          <w:bCs/>
        </w:rPr>
        <w:t>责任单位：</w:t>
      </w:r>
      <w:r>
        <w:rPr>
          <w:rFonts w:hint="eastAsia"/>
          <w:bCs/>
        </w:rPr>
        <w:t>县政府办、县应急管理局、</w:t>
      </w:r>
      <w:r>
        <w:rPr>
          <w:bCs/>
        </w:rPr>
        <w:t>市生态环境局绥宁分局、县</w:t>
      </w:r>
      <w:r>
        <w:rPr>
          <w:rFonts w:hint="eastAsia"/>
          <w:bCs/>
        </w:rPr>
        <w:t>卫健</w:t>
      </w:r>
      <w:r>
        <w:rPr>
          <w:bCs/>
        </w:rPr>
        <w:t>局</w:t>
      </w:r>
      <w:r>
        <w:rPr>
          <w:rFonts w:hint="eastAsia" w:eastAsia="宋体"/>
          <w:bCs/>
          <w:lang w:eastAsia="zh-CN"/>
        </w:rPr>
        <w:t>、</w:t>
      </w:r>
      <w:r>
        <w:rPr>
          <w:rFonts w:hint="eastAsia" w:ascii="Times New Roman" w:eastAsia="宋体"/>
          <w:bCs/>
          <w:lang w:val="en-US" w:eastAsia="zh-CN"/>
        </w:rPr>
        <w:t>县农水局</w:t>
      </w:r>
      <w:r>
        <w:rPr>
          <w:bCs/>
        </w:rPr>
        <w:t>等部门。</w:t>
      </w:r>
    </w:p>
    <w:p w14:paraId="1FE4A737">
      <w:pPr>
        <w:ind w:firstLine="480" w:firstLineChars="200"/>
        <w:rPr>
          <w:bCs/>
        </w:rPr>
      </w:pPr>
      <w:r>
        <w:rPr>
          <w:bCs/>
        </w:rPr>
        <w:t>通过日常监控首次发现风险源或水质异常信息或通过群众举报、相关单位报告获得事故信息的，第一时间获取信息的部门，应负责信息真实性的核实，并通过进一步收集信息，研判水质变化趋势。必要时，应根据预案情景和部门职责，及时通报相关部门共同开展上述工作，同时将有关信息报告至绥宁县人民政府。</w:t>
      </w:r>
    </w:p>
    <w:p w14:paraId="6C6ABF9F">
      <w:pPr>
        <w:ind w:firstLine="480" w:firstLineChars="200"/>
        <w:rPr>
          <w:bCs/>
        </w:rPr>
      </w:pPr>
      <w:r>
        <w:rPr>
          <w:bCs/>
        </w:rPr>
        <w:t>接到信息报告的绥宁县政府应立即组织</w:t>
      </w:r>
      <w:r>
        <w:rPr>
          <w:rFonts w:hint="eastAsia"/>
          <w:bCs/>
        </w:rPr>
        <w:t>县政府办、</w:t>
      </w:r>
      <w:r>
        <w:rPr>
          <w:rFonts w:hint="eastAsia" w:ascii="Times New Roman" w:eastAsia="宋体"/>
          <w:bCs/>
          <w:lang w:val="en-US" w:eastAsia="zh-CN"/>
        </w:rPr>
        <w:t>县应急管理局、</w:t>
      </w:r>
      <w:r>
        <w:rPr>
          <w:bCs/>
        </w:rPr>
        <w:t>市生态环境局绥宁分局、县</w:t>
      </w:r>
      <w:r>
        <w:rPr>
          <w:rFonts w:hint="eastAsia"/>
          <w:bCs/>
        </w:rPr>
        <w:t>农业农村水利</w:t>
      </w:r>
      <w:r>
        <w:rPr>
          <w:bCs/>
        </w:rPr>
        <w:t>局、县</w:t>
      </w:r>
      <w:r>
        <w:rPr>
          <w:rFonts w:hint="eastAsia"/>
          <w:bCs/>
        </w:rPr>
        <w:t>卫健</w:t>
      </w:r>
      <w:r>
        <w:rPr>
          <w:bCs/>
        </w:rPr>
        <w:t>局等及应急专家组中相关人员进行会商，研判水质变化趋势，若判断可能对水源地保护区水质造成影响，应立即通知</w:t>
      </w:r>
      <w:r>
        <w:rPr>
          <w:rFonts w:hint="eastAsia"/>
          <w:bCs/>
        </w:rPr>
        <w:t>县应急管理局、</w:t>
      </w:r>
      <w:r>
        <w:rPr>
          <w:bCs/>
        </w:rPr>
        <w:t>市生态环境局绥宁分局、县</w:t>
      </w:r>
      <w:r>
        <w:rPr>
          <w:rFonts w:hint="eastAsia"/>
          <w:bCs/>
        </w:rPr>
        <w:t>农业农村水利</w:t>
      </w:r>
      <w:r>
        <w:rPr>
          <w:bCs/>
        </w:rPr>
        <w:t>局、县公安局等有关成员单位和职能部门赶赴现场，成立现场应急指挥部，全面负责指挥、组织和协调水源地保护区突发环境事件的应急响应工作。</w:t>
      </w:r>
    </w:p>
    <w:p w14:paraId="3D1895F7">
      <w:pPr>
        <w:pStyle w:val="5"/>
      </w:pPr>
      <w:bookmarkStart w:id="131" w:name="_Toc9239"/>
      <w:bookmarkStart w:id="132" w:name="_Toc29194"/>
      <w:r>
        <w:t>3.2预警</w:t>
      </w:r>
      <w:bookmarkEnd w:id="131"/>
      <w:bookmarkEnd w:id="132"/>
    </w:p>
    <w:p w14:paraId="563BD294">
      <w:pPr>
        <w:pStyle w:val="6"/>
      </w:pPr>
      <w:r>
        <w:t>3.2.1预警分级</w:t>
      </w:r>
    </w:p>
    <w:p w14:paraId="6157B296">
      <w:pPr>
        <w:ind w:firstLine="480" w:firstLineChars="200"/>
        <w:rPr>
          <w:bCs/>
        </w:rPr>
      </w:pPr>
      <w:r>
        <w:rPr>
          <w:bCs/>
        </w:rPr>
        <w:t>责任部门：应急组织指挥部</w:t>
      </w:r>
      <w:r>
        <w:rPr>
          <w:rFonts w:hint="eastAsia"/>
        </w:rPr>
        <w:t>/县应急管理局</w:t>
      </w:r>
      <w:r>
        <w:rPr>
          <w:bCs/>
        </w:rPr>
        <w:t xml:space="preserve">  </w:t>
      </w:r>
    </w:p>
    <w:p w14:paraId="0BAD0EAA">
      <w:pPr>
        <w:ind w:firstLine="480" w:firstLineChars="200"/>
        <w:rPr>
          <w:rFonts w:hint="eastAsia"/>
          <w:bCs/>
        </w:rPr>
      </w:pPr>
      <w:r>
        <w:rPr>
          <w:rFonts w:hint="eastAsia"/>
          <w:bCs/>
        </w:rPr>
        <w:t>为提高效率、简化程序，各地可根据水源地重要性、污染物的危害性、事态的紧急程度、采取的响应措施以及对取水可能造成的影响等实际情况，简化水源地应急预案的预警级别。</w:t>
      </w:r>
    </w:p>
    <w:p w14:paraId="5414299B">
      <w:pPr>
        <w:ind w:firstLine="480" w:firstLineChars="200"/>
        <w:rPr>
          <w:rFonts w:hint="eastAsia"/>
          <w:bCs/>
        </w:rPr>
      </w:pPr>
      <w:r>
        <w:rPr>
          <w:bCs/>
        </w:rPr>
        <w:t>按照集中式饮用水源突发事件严重性和紧急程度，</w:t>
      </w:r>
      <w:r>
        <w:rPr>
          <w:rFonts w:hint="eastAsia"/>
          <w:bCs/>
        </w:rPr>
        <w:t>预警分为红色预警与橙色预警两级</w:t>
      </w:r>
      <w:r>
        <w:rPr>
          <w:rFonts w:hint="eastAsia" w:eastAsia="宋体"/>
          <w:bCs/>
          <w:lang w:eastAsia="zh-CN"/>
        </w:rPr>
        <w:t>，</w:t>
      </w:r>
      <w:r>
        <w:rPr>
          <w:rFonts w:hint="eastAsia" w:ascii="Times New Roman" w:eastAsia="宋体"/>
          <w:bCs/>
          <w:lang w:val="en-US" w:eastAsia="zh-CN"/>
        </w:rPr>
        <w:t>红色预警为最高等级预警</w:t>
      </w:r>
      <w:r>
        <w:rPr>
          <w:rFonts w:hint="eastAsia"/>
          <w:bCs/>
        </w:rPr>
        <w:t>。</w:t>
      </w:r>
    </w:p>
    <w:p w14:paraId="7779CD13">
      <w:pPr>
        <w:ind w:firstLine="482" w:firstLineChars="200"/>
        <w:rPr>
          <w:rFonts w:hint="eastAsia"/>
          <w:bCs/>
        </w:rPr>
      </w:pPr>
      <w:r>
        <w:rPr>
          <w:rFonts w:hint="eastAsia"/>
          <w:b/>
        </w:rPr>
        <w:t>红色预警：</w:t>
      </w:r>
      <w:r>
        <w:rPr>
          <w:rFonts w:hint="eastAsia"/>
          <w:bCs/>
        </w:rPr>
        <w:t>当污染物出现在绥宁县关峡水厂</w:t>
      </w:r>
      <w:r>
        <w:rPr>
          <w:bCs/>
        </w:rPr>
        <w:t>取水口河段饮用水水源</w:t>
      </w:r>
      <w:r>
        <w:rPr>
          <w:rFonts w:hint="eastAsia"/>
          <w:bCs/>
        </w:rPr>
        <w:t>地</w:t>
      </w:r>
      <w:r>
        <w:rPr>
          <w:bCs/>
        </w:rPr>
        <w:t>保护区</w:t>
      </w:r>
      <w:r>
        <w:rPr>
          <w:rFonts w:hint="eastAsia"/>
          <w:bCs/>
        </w:rPr>
        <w:t>周边或其上游，且应急专家组经研判认为该污染物对绥宁县关峡水厂</w:t>
      </w:r>
      <w:r>
        <w:rPr>
          <w:bCs/>
        </w:rPr>
        <w:t>取水口河段饮用水水源</w:t>
      </w:r>
      <w:r>
        <w:rPr>
          <w:rFonts w:hint="eastAsia"/>
          <w:bCs/>
        </w:rPr>
        <w:t>地</w:t>
      </w:r>
      <w:r>
        <w:rPr>
          <w:bCs/>
        </w:rPr>
        <w:t>保护区</w:t>
      </w:r>
      <w:r>
        <w:rPr>
          <w:rFonts w:hint="eastAsia"/>
          <w:bCs/>
        </w:rPr>
        <w:t>水质影响可能较大，甚至可能影响关峡水厂取水时即为红色预警。</w:t>
      </w:r>
    </w:p>
    <w:p w14:paraId="1C0D4C51">
      <w:pPr>
        <w:ind w:firstLine="482" w:firstLineChars="200"/>
        <w:rPr>
          <w:rFonts w:hint="eastAsia"/>
          <w:bCs/>
        </w:rPr>
      </w:pPr>
      <w:r>
        <w:rPr>
          <w:rFonts w:hint="eastAsia"/>
          <w:b/>
        </w:rPr>
        <w:t>橙色预警：</w:t>
      </w:r>
      <w:r>
        <w:rPr>
          <w:rFonts w:hint="eastAsia"/>
          <w:bCs/>
        </w:rPr>
        <w:t>当污染物迁移至绥宁县关峡水厂</w:t>
      </w:r>
      <w:r>
        <w:rPr>
          <w:bCs/>
        </w:rPr>
        <w:t>取水口河段饮用水水源</w:t>
      </w:r>
      <w:r>
        <w:rPr>
          <w:rFonts w:hint="eastAsia"/>
          <w:bCs/>
        </w:rPr>
        <w:t>地</w:t>
      </w:r>
      <w:r>
        <w:rPr>
          <w:bCs/>
        </w:rPr>
        <w:t>保护区</w:t>
      </w:r>
      <w:r>
        <w:rPr>
          <w:rFonts w:hint="eastAsia"/>
          <w:bCs/>
        </w:rPr>
        <w:t>向上游上溯24小时流程范围内的水域时，但水源保护区或兰溪上游尚未受到污染，或是污染物已进入兰溪上游，但应急专家组经研判认为对水源地水质影响可能较小，可能不影响取水时即为橙色预警。</w:t>
      </w:r>
    </w:p>
    <w:p w14:paraId="6423B817">
      <w:pPr>
        <w:ind w:firstLine="480" w:firstLineChars="200"/>
        <w:rPr>
          <w:bCs/>
        </w:rPr>
      </w:pPr>
      <w:r>
        <w:rPr>
          <w:rFonts w:hint="eastAsia"/>
          <w:kern w:val="0"/>
        </w:rPr>
        <w:t>发布预警，即应采取预警行动或同时采取应急措施。发布橙色预警时，仅采取预警行动；发布红色预警时，在采取预警行动的同时，应启动应急措施。</w:t>
      </w:r>
    </w:p>
    <w:p w14:paraId="23CD7E43">
      <w:pPr>
        <w:pStyle w:val="6"/>
      </w:pPr>
      <w:r>
        <w:t>3.2.2预警的启动条件</w:t>
      </w:r>
    </w:p>
    <w:p w14:paraId="66ED9F46">
      <w:pPr>
        <w:ind w:firstLine="480" w:firstLineChars="200"/>
        <w:rPr>
          <w:rFonts w:hint="eastAsia"/>
          <w:bCs/>
        </w:rPr>
      </w:pPr>
      <w:r>
        <w:rPr>
          <w:rFonts w:hint="eastAsia"/>
          <w:bCs/>
        </w:rPr>
        <w:t>当发生下列情形时，应立即启动红色预警。</w:t>
      </w:r>
    </w:p>
    <w:p w14:paraId="250594C8">
      <w:pPr>
        <w:ind w:firstLine="480" w:firstLineChars="200"/>
        <w:rPr>
          <w:rFonts w:hint="eastAsia"/>
          <w:bCs/>
        </w:rPr>
      </w:pPr>
      <w:r>
        <w:rPr>
          <w:rFonts w:hint="eastAsia"/>
          <w:bCs/>
        </w:rPr>
        <w:t>（1）通过信息报告发现，在绥宁县关峡水厂兰溪取水河段一级、二级保护区内发生突发环境事件；</w:t>
      </w:r>
    </w:p>
    <w:p w14:paraId="193AB84C">
      <w:pPr>
        <w:ind w:firstLine="480" w:firstLineChars="200"/>
        <w:rPr>
          <w:rFonts w:hint="eastAsia"/>
          <w:bCs/>
        </w:rPr>
      </w:pPr>
      <w:r>
        <w:rPr>
          <w:rFonts w:hint="eastAsia"/>
          <w:bCs/>
        </w:rPr>
        <w:t>（2）通过信息报告发现，在绥宁县关峡水厂兰溪取水河段二级保护区上游汇水区域4小时（即约7.2km）流程范围内发生固定源、流动源、非点源突发环境事件，或污染物已扩散至距离水源保护区上游水体的直线距离不足100m的陆域或水域；</w:t>
      </w:r>
    </w:p>
    <w:p w14:paraId="7206E363">
      <w:pPr>
        <w:ind w:firstLine="480" w:firstLineChars="200"/>
        <w:rPr>
          <w:rFonts w:hint="eastAsia"/>
          <w:bCs/>
        </w:rPr>
      </w:pPr>
      <w:r>
        <w:rPr>
          <w:rFonts w:hint="eastAsia"/>
          <w:bCs/>
        </w:rPr>
        <w:t>（3）通过信息报告发现，在绥宁县关峡水厂兰溪取水河段二级保护区上游8小时（即约14.4km）流程范围内发生发生固定源、流动源、非点源突发环境事件，或污染物已扩散至距离水源保护区上游水体的直线距离不足200m的陆域或水域，经水质监测和信息研判，判断污染物迁移至取水口位置时，相应指标浓度仍会超标的；</w:t>
      </w:r>
    </w:p>
    <w:p w14:paraId="5BA9EEF1">
      <w:pPr>
        <w:ind w:firstLine="480" w:firstLineChars="200"/>
        <w:rPr>
          <w:rFonts w:hint="eastAsia"/>
          <w:bCs/>
        </w:rPr>
      </w:pPr>
      <w:r>
        <w:rPr>
          <w:rFonts w:hint="eastAsia"/>
          <w:bCs/>
        </w:rPr>
        <w:t>（4）通过水质监测点发现，水源保护区或兰溪上游理化指标异常：</w:t>
      </w:r>
    </w:p>
    <w:p w14:paraId="1DFE0033">
      <w:pPr>
        <w:ind w:firstLine="480" w:firstLineChars="200"/>
        <w:rPr>
          <w:rFonts w:hint="eastAsia"/>
          <w:bCs/>
        </w:rPr>
      </w:pPr>
      <w:r>
        <w:rPr>
          <w:rFonts w:hint="eastAsia"/>
          <w:bCs/>
        </w:rPr>
        <w:fldChar w:fldCharType="begin"/>
      </w:r>
      <w:r>
        <w:rPr>
          <w:rFonts w:hint="eastAsia"/>
          <w:bCs/>
        </w:rPr>
        <w:instrText xml:space="preserve"> = 1 \* GB3 </w:instrText>
      </w:r>
      <w:r>
        <w:rPr>
          <w:rFonts w:hint="eastAsia"/>
          <w:bCs/>
        </w:rPr>
        <w:fldChar w:fldCharType="separate"/>
      </w:r>
      <w:r>
        <w:rPr>
          <w:rFonts w:hint="eastAsia"/>
          <w:bCs/>
        </w:rPr>
        <w:t>①</w:t>
      </w:r>
      <w:r>
        <w:rPr>
          <w:rFonts w:hint="eastAsia"/>
          <w:bCs/>
        </w:rPr>
        <w:fldChar w:fldCharType="end"/>
      </w:r>
      <w:r>
        <w:rPr>
          <w:rFonts w:hint="eastAsia"/>
          <w:bCs/>
        </w:rPr>
        <w:t>在二级保护区上游8小时流程范围内（即约14.4km），出现水质监测指标、有毒有害物质或生物综合毒性异常，且污染物浓度持续升高的；</w:t>
      </w:r>
    </w:p>
    <w:p w14:paraId="58F4E7BC">
      <w:pPr>
        <w:ind w:firstLine="480" w:firstLineChars="200"/>
        <w:rPr>
          <w:rFonts w:hint="eastAsia"/>
          <w:bCs/>
        </w:rPr>
      </w:pPr>
      <w:r>
        <w:rPr>
          <w:bCs/>
        </w:rPr>
        <w:t>②</w:t>
      </w:r>
      <w:r>
        <w:rPr>
          <w:rFonts w:hint="eastAsia"/>
          <w:bCs/>
        </w:rPr>
        <w:t>在二级保护区上游4小时流程范围内（即约7.2km），出现水质监测指标、有毒有害物质或生物综合毒性异常的；</w:t>
      </w:r>
    </w:p>
    <w:p w14:paraId="2D699ECC">
      <w:pPr>
        <w:ind w:firstLine="480" w:firstLineChars="200"/>
        <w:rPr>
          <w:rFonts w:hint="eastAsia"/>
          <w:bCs/>
        </w:rPr>
      </w:pPr>
      <w:r>
        <w:rPr>
          <w:rFonts w:hint="eastAsia"/>
          <w:bCs/>
        </w:rPr>
        <w:t>（5）通过监测发现，水源保护区或兰溪上游感官性状异常，即水体出现异常颜色或气味的；</w:t>
      </w:r>
    </w:p>
    <w:p w14:paraId="0BA5599F">
      <w:pPr>
        <w:ind w:firstLine="480" w:firstLineChars="200"/>
        <w:rPr>
          <w:rFonts w:hint="eastAsia"/>
          <w:bCs/>
        </w:rPr>
      </w:pPr>
      <w:r>
        <w:rPr>
          <w:rFonts w:hint="eastAsia"/>
          <w:bCs/>
        </w:rPr>
        <w:t>（6）通过监测发现，水源保护区或兰溪上游生态指标异常，即水面出现大面积死鱼或生物综合毒性异常并经实验室监测后确认的；</w:t>
      </w:r>
    </w:p>
    <w:p w14:paraId="22C4340D">
      <w:pPr>
        <w:pStyle w:val="10"/>
        <w:ind w:firstLine="480" w:firstLineChars="200"/>
        <w:rPr>
          <w:rFonts w:hint="eastAsia"/>
          <w:bCs/>
        </w:rPr>
      </w:pPr>
      <w:r>
        <w:rPr>
          <w:rFonts w:hint="eastAsia"/>
          <w:bCs/>
        </w:rPr>
        <w:t>（7）调查范围内固定风险源生产设备出现较大破损、发生火灾时，并有消防废水流入水源地保护区风险的；</w:t>
      </w:r>
    </w:p>
    <w:p w14:paraId="5F15A38C">
      <w:pPr>
        <w:pStyle w:val="10"/>
        <w:ind w:firstLine="480" w:firstLineChars="200"/>
        <w:rPr>
          <w:rFonts w:hint="eastAsia"/>
          <w:bCs/>
        </w:rPr>
      </w:pPr>
      <w:r>
        <w:rPr>
          <w:rFonts w:hint="eastAsia"/>
          <w:bCs/>
        </w:rPr>
        <w:t>（8）保护区内或上游S248省道出现油品、危化品运输车辆倾覆，油品、危化品有流入关峡水厂风险的；</w:t>
      </w:r>
    </w:p>
    <w:p w14:paraId="2B770EE1">
      <w:pPr>
        <w:ind w:firstLine="480" w:firstLineChars="200"/>
        <w:rPr>
          <w:bCs/>
        </w:rPr>
      </w:pPr>
      <w:r>
        <w:rPr>
          <w:bCs/>
        </w:rPr>
        <w:t>橙色预警，在下列情形中可作为预警启动条件：</w:t>
      </w:r>
    </w:p>
    <w:p w14:paraId="0C82D578">
      <w:pPr>
        <w:ind w:firstLine="480" w:firstLineChars="200"/>
        <w:rPr>
          <w:bCs/>
        </w:rPr>
      </w:pPr>
      <w:r>
        <w:rPr>
          <w:bCs/>
        </w:rPr>
        <w:t>（1）通过信息报告发现，</w:t>
      </w:r>
      <w:r>
        <w:rPr>
          <w:rFonts w:hint="eastAsia"/>
          <w:bCs/>
        </w:rPr>
        <w:t>在绥宁县关峡水厂取水河段</w:t>
      </w:r>
      <w:r>
        <w:rPr>
          <w:bCs/>
        </w:rPr>
        <w:t>一级、二级保护区外发生突发环境事件，并可能对保护区造成影响。</w:t>
      </w:r>
    </w:p>
    <w:p w14:paraId="797490E5">
      <w:pPr>
        <w:ind w:firstLine="480" w:firstLineChars="200"/>
        <w:rPr>
          <w:bCs/>
        </w:rPr>
      </w:pPr>
      <w:r>
        <w:rPr>
          <w:bCs/>
        </w:rPr>
        <w:t>（2）通过信息报告发现，对</w:t>
      </w:r>
      <w:r>
        <w:rPr>
          <w:rFonts w:hint="eastAsia"/>
          <w:bCs/>
        </w:rPr>
        <w:t>在绥宁县自来水厂关峡水厂取水河段</w:t>
      </w:r>
      <w:r>
        <w:rPr>
          <w:bCs/>
        </w:rPr>
        <w:t>二级保护区上游8小时流程范围</w:t>
      </w:r>
      <w:r>
        <w:rPr>
          <w:rFonts w:hint="eastAsia"/>
          <w:bCs/>
        </w:rPr>
        <w:t>（约14.4km）</w:t>
      </w:r>
      <w:r>
        <w:rPr>
          <w:bCs/>
        </w:rPr>
        <w:t>内发生流动源、非点源、突发火灾突发环境事件</w:t>
      </w:r>
      <w:r>
        <w:rPr>
          <w:rFonts w:hint="eastAsia"/>
          <w:bCs/>
        </w:rPr>
        <w:t>。</w:t>
      </w:r>
    </w:p>
    <w:p w14:paraId="1310C8C4">
      <w:pPr>
        <w:pStyle w:val="10"/>
        <w:ind w:firstLine="480" w:firstLineChars="200"/>
      </w:pPr>
      <w:r>
        <w:rPr>
          <w:bCs/>
        </w:rPr>
        <w:t>（3）通过监测发现，水源保护区或</w:t>
      </w:r>
      <w:r>
        <w:rPr>
          <w:rFonts w:hint="eastAsia"/>
          <w:bCs/>
        </w:rPr>
        <w:t>关峡水厂</w:t>
      </w:r>
      <w:r>
        <w:rPr>
          <w:bCs/>
        </w:rPr>
        <w:t>上游理化指标异常，主要表现为：在二级保护区上游8小时流程范围</w:t>
      </w:r>
      <w:r>
        <w:rPr>
          <w:rFonts w:hint="eastAsia"/>
          <w:bCs/>
        </w:rPr>
        <w:t>（约14.4km）</w:t>
      </w:r>
      <w:r>
        <w:rPr>
          <w:bCs/>
        </w:rPr>
        <w:t>内，出现水质监测指标、有毒有害物质或生物综合毒性异常，且污染物浓度持续升高，对饮用水源造成影响的</w:t>
      </w:r>
      <w:r>
        <w:rPr>
          <w:rFonts w:hint="eastAsia"/>
          <w:bCs/>
        </w:rPr>
        <w:t>。</w:t>
      </w:r>
    </w:p>
    <w:p w14:paraId="2D2823F8">
      <w:pPr>
        <w:pStyle w:val="6"/>
      </w:pPr>
      <w:r>
        <w:t>3.2.3发布预警和预警级别调整</w:t>
      </w:r>
    </w:p>
    <w:p w14:paraId="61DC0887">
      <w:pPr>
        <w:ind w:firstLine="480"/>
      </w:pPr>
      <w:r>
        <w:t>责任单位：应急组织指挥部</w:t>
      </w:r>
    </w:p>
    <w:p w14:paraId="78A69C94">
      <w:pPr>
        <w:ind w:firstLine="480" w:firstLineChars="200"/>
        <w:rPr>
          <w:rFonts w:hint="eastAsia"/>
          <w:bCs/>
        </w:rPr>
      </w:pPr>
      <w:r>
        <w:rPr>
          <w:rFonts w:hint="eastAsia"/>
          <w:bCs/>
        </w:rPr>
        <w:t>邵阳市生态环境局绥宁分局</w:t>
      </w:r>
      <w:r>
        <w:rPr>
          <w:rFonts w:hAnsi="宋体"/>
        </w:rPr>
        <w:t>研判可能发生突发环境事件时，应当及时向</w:t>
      </w:r>
      <w:r>
        <w:rPr>
          <w:rFonts w:hint="eastAsia" w:hAnsi="宋体"/>
        </w:rPr>
        <w:t>绥宁县</w:t>
      </w:r>
      <w:r>
        <w:rPr>
          <w:rFonts w:hAnsi="宋体"/>
        </w:rPr>
        <w:t>人民政府提出预警信息发布建议，同时通报同级相关部门和单位。</w:t>
      </w:r>
      <w:r>
        <w:rPr>
          <w:rFonts w:hint="eastAsia"/>
          <w:bCs/>
        </w:rPr>
        <w:t>红色、橙色预警信息均由邵阳市生态环境局绥宁分局报请绥宁县人民政府进行发布。</w:t>
      </w:r>
      <w:r>
        <w:t>应急组织指挥部要密切关注事件进展情况，并依据事态变化，</w:t>
      </w:r>
      <w:r>
        <w:rPr>
          <w:rFonts w:hint="eastAsia" w:hAnsi="宋体"/>
        </w:rPr>
        <w:t>及时</w:t>
      </w:r>
      <w:r>
        <w:rPr>
          <w:rFonts w:hAnsi="宋体"/>
        </w:rPr>
        <w:t>调整预警级别并重新发布时，</w:t>
      </w:r>
      <w:r>
        <w:t>并将调整结果及时通报各相关单位。</w:t>
      </w:r>
      <w:r>
        <w:rPr>
          <w:rFonts w:hint="eastAsia" w:hAnsi="宋体"/>
        </w:rPr>
        <w:t>绥宁县</w:t>
      </w:r>
      <w:r>
        <w:rPr>
          <w:rFonts w:hAnsi="宋体"/>
        </w:rPr>
        <w:t>政府或其授权的相关部门，及时通过</w:t>
      </w:r>
      <w:r>
        <w:t>国家突发事件预警信息发布平台（http：//www.12379.cn/）、电视、广播、报纸、互联网、手机短信、当面告知等渠道或方式</w:t>
      </w:r>
      <w:r>
        <w:rPr>
          <w:rFonts w:hAnsi="宋体"/>
        </w:rPr>
        <w:t>向本行政区域公众发布预警信息，并通报可能影响到的相关地区</w:t>
      </w:r>
      <w:r>
        <w:rPr>
          <w:rFonts w:hint="eastAsia" w:hAnsi="宋体"/>
        </w:rPr>
        <w:t>。</w:t>
      </w:r>
    </w:p>
    <w:p w14:paraId="4DE7F971">
      <w:pPr>
        <w:ind w:firstLine="480" w:firstLineChars="200"/>
        <w:rPr>
          <w:bCs/>
        </w:rPr>
      </w:pPr>
      <w:r>
        <w:rPr>
          <w:bCs/>
        </w:rPr>
        <w:t>预警信息的取消按照</w:t>
      </w:r>
      <w:r>
        <w:rPr>
          <w:rFonts w:hint="eastAsia"/>
          <w:bCs/>
        </w:rPr>
        <w:t>“</w:t>
      </w:r>
      <w:r>
        <w:rPr>
          <w:bCs/>
        </w:rPr>
        <w:t>谁发布、谁取消</w:t>
      </w:r>
      <w:r>
        <w:rPr>
          <w:rFonts w:hint="eastAsia"/>
          <w:bCs/>
        </w:rPr>
        <w:t>”</w:t>
      </w:r>
      <w:r>
        <w:rPr>
          <w:bCs/>
        </w:rPr>
        <w:t>的原则执行。</w:t>
      </w:r>
    </w:p>
    <w:p w14:paraId="440870C1">
      <w:pPr>
        <w:ind w:firstLine="480" w:firstLineChars="200"/>
      </w:pPr>
      <w:r>
        <w:t>预警信息的发布、调整和解除可通过广播、电视、报刊、通信、信息网络、警报器、宣传车或组织人员逐户通知等方式进行，对老幼病残孕等特殊人群以及学校等特殊场所和警报盲区应当采取有针对性的公告方式。</w:t>
      </w:r>
    </w:p>
    <w:p w14:paraId="7A2ADB4F">
      <w:pPr>
        <w:ind w:firstLine="480" w:firstLineChars="200"/>
      </w:pPr>
      <w:r>
        <w:t>水源地保护区突发环境事件应急预警审批表及应急预警调级或解除审批表详见附件1</w:t>
      </w:r>
      <w:r>
        <w:rPr>
          <w:rFonts w:hint="eastAsia"/>
        </w:rPr>
        <w:t>3</w:t>
      </w:r>
      <w:r>
        <w:t>、1</w:t>
      </w:r>
      <w:r>
        <w:rPr>
          <w:rFonts w:hint="eastAsia"/>
        </w:rPr>
        <w:t>4</w:t>
      </w:r>
      <w:r>
        <w:t>。</w:t>
      </w:r>
    </w:p>
    <w:p w14:paraId="6E140DB3">
      <w:pPr>
        <w:pStyle w:val="6"/>
      </w:pPr>
      <w:r>
        <w:t>3.2.4预警行动</w:t>
      </w:r>
    </w:p>
    <w:p w14:paraId="66C7028B">
      <w:pPr>
        <w:ind w:firstLine="480" w:firstLineChars="200"/>
      </w:pPr>
      <w:r>
        <w:t>责任部门：现场应急指挥部</w:t>
      </w:r>
      <w:r>
        <w:rPr>
          <w:rFonts w:hint="eastAsia"/>
        </w:rPr>
        <w:t>/县应急管理局</w:t>
      </w:r>
    </w:p>
    <w:p w14:paraId="5A083161">
      <w:pPr>
        <w:ind w:firstLine="480" w:firstLineChars="200"/>
      </w:pPr>
      <w:r>
        <w:t>预警信息发布后，现场应急指挥部的总指挥应在15分钟内到达现场，组织</w:t>
      </w:r>
      <w:r>
        <w:rPr>
          <w:rFonts w:hint="eastAsia"/>
        </w:rPr>
        <w:t>县应急管理局和各成员部门</w:t>
      </w:r>
      <w:r>
        <w:t>开展预警行动和应急响应工作。</w:t>
      </w:r>
    </w:p>
    <w:p w14:paraId="4189FFA4">
      <w:pPr>
        <w:ind w:firstLine="480" w:firstLineChars="200"/>
        <w:rPr>
          <w:bCs/>
        </w:rPr>
      </w:pPr>
      <w:r>
        <w:rPr>
          <w:bCs/>
        </w:rPr>
        <w:t xml:space="preserve">预警行动包含但不限于以下内容： </w:t>
      </w:r>
    </w:p>
    <w:p w14:paraId="02E306D6">
      <w:pPr>
        <w:ind w:firstLine="480" w:firstLineChars="200"/>
        <w:rPr>
          <w:bCs/>
        </w:rPr>
      </w:pPr>
      <w:r>
        <w:rPr>
          <w:bCs/>
        </w:rPr>
        <w:t>（1）启动应急预案。按照分级响应的原则，</w:t>
      </w:r>
      <w:r>
        <w:rPr>
          <w:rFonts w:hint="eastAsia"/>
          <w:bCs/>
        </w:rPr>
        <w:t>发布红色预警时</w:t>
      </w:r>
      <w:r>
        <w:rPr>
          <w:bCs/>
        </w:rPr>
        <w:t>，应启动市专项应急预案和市总体应急预案，市级有关部门预案和绥宁县人民政府有关预案必须同时启动；</w:t>
      </w:r>
      <w:r>
        <w:rPr>
          <w:rFonts w:hint="eastAsia"/>
          <w:bCs/>
        </w:rPr>
        <w:t>发布橙色预警时</w:t>
      </w:r>
      <w:r>
        <w:rPr>
          <w:bCs/>
        </w:rPr>
        <w:t xml:space="preserve">，一般应启动县级预案，有关县级预案必须同时启动，市级部门预案视情况启动。 </w:t>
      </w:r>
    </w:p>
    <w:p w14:paraId="31FA8019">
      <w:pPr>
        <w:ind w:firstLine="480" w:firstLineChars="200"/>
        <w:rPr>
          <w:rFonts w:hint="eastAsia"/>
          <w:kern w:val="0"/>
        </w:rPr>
      </w:pPr>
      <w:r>
        <w:rPr>
          <w:bCs/>
        </w:rPr>
        <w:t xml:space="preserve">（2）责令水源地对应水厂进入待命状态，做好停止取水、低压供水或启动备用水源等准备工作。 </w:t>
      </w:r>
      <w:r>
        <w:rPr>
          <w:rFonts w:hint="eastAsia"/>
          <w:kern w:val="0"/>
        </w:rPr>
        <w:t>同时发动群众储备饮用水，采取轮产、限产、停产等手段，减少自来水的消耗和污染物的排放。</w:t>
      </w:r>
    </w:p>
    <w:p w14:paraId="545ED696">
      <w:pPr>
        <w:ind w:firstLine="480" w:firstLineChars="200"/>
        <w:rPr>
          <w:bCs/>
        </w:rPr>
      </w:pPr>
      <w:r>
        <w:rPr>
          <w:bCs/>
        </w:rPr>
        <w:t>（3）开展应急监测，对水源地和</w:t>
      </w:r>
      <w:r>
        <w:rPr>
          <w:rFonts w:hint="eastAsia"/>
          <w:bCs/>
        </w:rPr>
        <w:t>兰溪上游</w:t>
      </w:r>
      <w:r>
        <w:rPr>
          <w:bCs/>
        </w:rPr>
        <w:t xml:space="preserve">加强监测，对可能导致水源地突发环境事件发生的相关企业事业单位和其它生产经营者加强环境监管。 </w:t>
      </w:r>
    </w:p>
    <w:p w14:paraId="2B2915C3">
      <w:pPr>
        <w:ind w:firstLine="480" w:firstLineChars="200"/>
        <w:rPr>
          <w:bCs/>
        </w:rPr>
      </w:pPr>
      <w:r>
        <w:rPr>
          <w:bCs/>
        </w:rPr>
        <w:t xml:space="preserve">（4）依据不同预案情景和部门职责分工，组织有关部门和机构、应急专家对预警信息进行溯源分析，预估可能影响的范围和危害程度。 </w:t>
      </w:r>
    </w:p>
    <w:p w14:paraId="3211411A">
      <w:pPr>
        <w:ind w:firstLine="480" w:firstLineChars="200"/>
        <w:rPr>
          <w:bCs/>
        </w:rPr>
      </w:pPr>
      <w:r>
        <w:rPr>
          <w:bCs/>
        </w:rPr>
        <w:t xml:space="preserve">（5）调集应急所需物资和设备，做好应急保障工作。 </w:t>
      </w:r>
    </w:p>
    <w:p w14:paraId="066F61F8">
      <w:pPr>
        <w:ind w:firstLine="480" w:firstLineChars="200"/>
        <w:rPr>
          <w:bCs/>
        </w:rPr>
      </w:pPr>
      <w:r>
        <w:rPr>
          <w:bCs/>
        </w:rPr>
        <w:t xml:space="preserve">（6）责令应急救援队伍、负有特定职责的人员进入待命状态，动员后备人员做好应急救援准备，并开展先期处置。 </w:t>
      </w:r>
    </w:p>
    <w:p w14:paraId="729581E2">
      <w:pPr>
        <w:ind w:firstLine="480" w:firstLineChars="200"/>
        <w:rPr>
          <w:bCs/>
        </w:rPr>
      </w:pPr>
      <w:r>
        <w:rPr>
          <w:bCs/>
        </w:rPr>
        <w:t xml:space="preserve">（7）在危险区域设置提示或者警告标志，必要时，及时通过电视、广播、报纸、互联网、手机短信等媒体向公众发布预警信息，并加强舆情监测，做好舆论引导和舆情应对工作。 </w:t>
      </w:r>
    </w:p>
    <w:p w14:paraId="66410A92">
      <w:pPr>
        <w:pStyle w:val="6"/>
      </w:pPr>
      <w:r>
        <w:t>3.2.5预警解除</w:t>
      </w:r>
    </w:p>
    <w:p w14:paraId="5A708774">
      <w:pPr>
        <w:ind w:firstLine="480" w:firstLineChars="200"/>
        <w:rPr>
          <w:rFonts w:hint="eastAsia"/>
        </w:rPr>
      </w:pPr>
      <w:r>
        <w:t>责任主体：现场应急指挥部</w:t>
      </w:r>
      <w:r>
        <w:rPr>
          <w:rFonts w:hint="eastAsia"/>
        </w:rPr>
        <w:t>/县应急管理局</w:t>
      </w:r>
    </w:p>
    <w:p w14:paraId="560DB6E1">
      <w:pPr>
        <w:ind w:firstLine="480" w:firstLineChars="200"/>
      </w:pPr>
      <w:r>
        <w:t>预警信息发布后，根据事态发展情况和采取措施的效果适时调整预警状态。</w:t>
      </w:r>
      <w:r>
        <w:rPr>
          <w:rFonts w:hint="eastAsia"/>
        </w:rPr>
        <w:t>经预测证明发生突发环境事件的危害已经消除，</w:t>
      </w:r>
      <w:r>
        <w:t>符合下列情形之一的</w:t>
      </w:r>
      <w:r>
        <w:rPr>
          <w:rFonts w:hint="eastAsia"/>
        </w:rPr>
        <w:t>，发布预警信息的单位和部门应当宣布警报解除，宣传终止预警期，解除应急措施，迅速组织恢复正常的生活、生产秩序。</w:t>
      </w:r>
      <w:r>
        <w:t xml:space="preserve">  </w:t>
      </w:r>
    </w:p>
    <w:p w14:paraId="5C913D6A">
      <w:pPr>
        <w:ind w:firstLine="480" w:firstLineChars="200"/>
      </w:pPr>
      <w:r>
        <w:t xml:space="preserve">（1）进入集中式饮用水水源地保护区陆域范围的污染物已成功围堵，且清运至保护区外，未发生向水域扩散的情况。 </w:t>
      </w:r>
    </w:p>
    <w:p w14:paraId="79004FB2">
      <w:pPr>
        <w:ind w:firstLine="480" w:firstLineChars="200"/>
      </w:pPr>
      <w:r>
        <w:t xml:space="preserve">（2）进入集中式饮用水水源地保护区水域范围的污染团已成功拦截或导流至保护区外，没有向取水口扩散的风险，且水质监测结果达标。 </w:t>
      </w:r>
    </w:p>
    <w:p w14:paraId="476A4F9A">
      <w:pPr>
        <w:ind w:firstLine="480" w:firstLineChars="200"/>
      </w:pPr>
      <w:r>
        <w:t xml:space="preserve">（3）恢复正常取水。 </w:t>
      </w:r>
    </w:p>
    <w:p w14:paraId="7523EEFA">
      <w:pPr>
        <w:pStyle w:val="6"/>
      </w:pPr>
      <w:r>
        <w:t>3.2.6预警支持系统</w:t>
      </w:r>
    </w:p>
    <w:p w14:paraId="675F3E83">
      <w:r>
        <w:t>3.2.6.1环境安全预警系统</w:t>
      </w:r>
    </w:p>
    <w:p w14:paraId="32694C24">
      <w:pPr>
        <w:ind w:firstLine="480" w:firstLineChars="200"/>
      </w:pPr>
      <w:r>
        <w:rPr>
          <w:bCs/>
        </w:rPr>
        <w:t>市生态环境局绥宁分局</w:t>
      </w:r>
      <w:r>
        <w:t>负责在上级</w:t>
      </w:r>
      <w:r>
        <w:rPr>
          <w:rFonts w:hint="eastAsia"/>
        </w:rPr>
        <w:t>生态环境</w:t>
      </w:r>
      <w:r>
        <w:t>部门的统一安排部署下，适时建立水源地保护区重点污染源排污状况实时监控信息系统、突发事件预警系统、区域环境安全评价科学预警系统、辐射事件预警信息系统。</w:t>
      </w:r>
    </w:p>
    <w:p w14:paraId="7610CC88">
      <w:r>
        <w:t>3.2.6.2环境事件应急资料库</w:t>
      </w:r>
    </w:p>
    <w:p w14:paraId="1277F3D8">
      <w:pPr>
        <w:ind w:firstLine="480" w:firstLineChars="200"/>
      </w:pPr>
      <w:r>
        <w:rPr>
          <w:bCs/>
        </w:rPr>
        <w:t>市生态环境局绥宁分局</w:t>
      </w:r>
      <w:r>
        <w:t>负责在上级</w:t>
      </w:r>
      <w:r>
        <w:rPr>
          <w:rFonts w:hint="eastAsia"/>
        </w:rPr>
        <w:t>生态环境</w:t>
      </w:r>
      <w:r>
        <w:t>部门的统一安排部署下，适时建立绥宁县突发饮用水水源环境事件应急处置数据库系统、生态安全数据库系统、突发事件专家决策支持系统、环境恢复周期检测反馈评估系统、辐射事件数据库系统。</w:t>
      </w:r>
    </w:p>
    <w:p w14:paraId="02272506">
      <w:r>
        <w:t>3.2.6.3环境事件应急平台系统</w:t>
      </w:r>
    </w:p>
    <w:p w14:paraId="235621BA">
      <w:pPr>
        <w:ind w:firstLine="480" w:firstLineChars="200"/>
      </w:pPr>
      <w:r>
        <w:rPr>
          <w:bCs/>
        </w:rPr>
        <w:t>市生态环境局绥宁分局</w:t>
      </w:r>
      <w:r>
        <w:t>负责在上级</w:t>
      </w:r>
      <w:r>
        <w:rPr>
          <w:rFonts w:hint="eastAsia"/>
        </w:rPr>
        <w:t>生态环境</w:t>
      </w:r>
      <w:r>
        <w:t>部门的统一安排部署下，适时建立绥宁县突发饮用水水源环境事件应急平台系统，实现与省、市应急平台互联互通、资源共享。</w:t>
      </w:r>
    </w:p>
    <w:p w14:paraId="5D0A3E24">
      <w:pPr>
        <w:pStyle w:val="5"/>
      </w:pPr>
      <w:bookmarkStart w:id="133" w:name="_Toc18713"/>
      <w:bookmarkStart w:id="134" w:name="_Toc658"/>
      <w:r>
        <w:t>3.3信息报告与通报</w:t>
      </w:r>
      <w:bookmarkEnd w:id="133"/>
      <w:bookmarkEnd w:id="134"/>
    </w:p>
    <w:p w14:paraId="0D07D0BF">
      <w:pPr>
        <w:ind w:firstLine="480" w:firstLineChars="200"/>
      </w:pPr>
      <w:r>
        <w:t>绥宁</w:t>
      </w:r>
      <w:r>
        <w:rPr>
          <w:rFonts w:hint="eastAsia"/>
        </w:rPr>
        <w:t>县政府办和应急管理局</w:t>
      </w:r>
      <w:r>
        <w:t>设立24小时应急值班室，向社会公开应急电话</w:t>
      </w:r>
      <w:r>
        <w:rPr>
          <w:rFonts w:hint="eastAsia"/>
        </w:rPr>
        <w:t>（0739-7611063）</w:t>
      </w:r>
      <w:r>
        <w:t>，随时接报突发环境事件信息，即时做好下情上报，上情下达。</w:t>
      </w:r>
    </w:p>
    <w:p w14:paraId="32695120">
      <w:pPr>
        <w:pStyle w:val="6"/>
      </w:pPr>
      <w:r>
        <w:t>3.3.1信息报告程序</w:t>
      </w:r>
    </w:p>
    <w:p w14:paraId="410A434E">
      <w:pPr>
        <w:ind w:firstLine="480" w:firstLineChars="200"/>
      </w:pPr>
      <w:r>
        <w:t>责任部门：应急组织指挥部/综合组</w:t>
      </w:r>
    </w:p>
    <w:p w14:paraId="65AA3D77">
      <w:pPr>
        <w:ind w:firstLine="480" w:firstLineChars="200"/>
      </w:pPr>
      <w:r>
        <w:t>（1）发生或可能发生突发环境事件，事发单位或个人、</w:t>
      </w:r>
      <w:r>
        <w:rPr>
          <w:rFonts w:hint="eastAsia"/>
        </w:rPr>
        <w:t>关峡水厂</w:t>
      </w:r>
      <w:r>
        <w:t>和责任人</w:t>
      </w:r>
      <w:r>
        <w:rPr>
          <w:rFonts w:hint="eastAsia" w:ascii="Times New Roman" w:eastAsia="宋体"/>
          <w:lang w:val="en-US" w:eastAsia="zh-CN"/>
        </w:rPr>
        <w:t>等</w:t>
      </w:r>
      <w:r>
        <w:t>应在事发</w:t>
      </w:r>
      <w:r>
        <w:rPr>
          <w:rFonts w:hint="eastAsia" w:ascii="Times New Roman" w:eastAsia="宋体"/>
          <w:lang w:val="en-US" w:eastAsia="zh-CN"/>
        </w:rPr>
        <w:t>15分钟内</w:t>
      </w:r>
      <w:r>
        <w:t>向</w:t>
      </w:r>
      <w:r>
        <w:rPr>
          <w:rFonts w:hint="eastAsia"/>
        </w:rPr>
        <w:t>县政府办</w:t>
      </w:r>
      <w:r>
        <w:rPr>
          <w:rFonts w:hint="eastAsia" w:eastAsia="宋体"/>
          <w:lang w:eastAsia="zh-CN"/>
        </w:rPr>
        <w:t>、</w:t>
      </w:r>
      <w:r>
        <w:rPr>
          <w:rFonts w:hint="eastAsia" w:ascii="Times New Roman" w:eastAsia="宋体"/>
          <w:lang w:val="en-US" w:eastAsia="zh-CN"/>
        </w:rPr>
        <w:t>县应急管理局、市生态环境局绥宁分局</w:t>
      </w:r>
      <w:r>
        <w:t>报告。</w:t>
      </w:r>
    </w:p>
    <w:p w14:paraId="617B65EC">
      <w:pPr>
        <w:ind w:firstLine="480" w:firstLineChars="200"/>
      </w:pPr>
      <w:r>
        <w:t>（2）</w:t>
      </w:r>
      <w:r>
        <w:rPr>
          <w:rFonts w:hint="eastAsia"/>
        </w:rPr>
        <w:t>县政府办</w:t>
      </w:r>
      <w:r>
        <w:t>在事发后或接报第一时间内，应快速组织</w:t>
      </w:r>
      <w:r>
        <w:rPr>
          <w:rFonts w:hint="eastAsia"/>
        </w:rPr>
        <w:t>县应急管理局、邵阳市生态环境局绥宁分局、</w:t>
      </w:r>
      <w:r>
        <w:rPr>
          <w:rFonts w:hint="eastAsia" w:ascii="Times New Roman" w:eastAsia="宋体"/>
          <w:lang w:val="en-US" w:eastAsia="zh-CN"/>
        </w:rPr>
        <w:t>产业园区管委会、水厂</w:t>
      </w:r>
      <w:r>
        <w:rPr>
          <w:rFonts w:hint="eastAsia"/>
        </w:rPr>
        <w:t>人员</w:t>
      </w:r>
      <w:r>
        <w:t>进行现场调查核实，查明引发环境事件的污染源，确定污染的基本情况，对突发环境事件的性质和类别做出初步认定。</w:t>
      </w:r>
    </w:p>
    <w:p w14:paraId="39013BB8">
      <w:pPr>
        <w:ind w:firstLine="480" w:firstLineChars="200"/>
        <w:rPr>
          <w:rFonts w:hint="eastAsia"/>
        </w:rPr>
      </w:pPr>
      <w:r>
        <w:t>（3）突发环境事件信息必须坚持速报机制，按照</w:t>
      </w:r>
      <w:r>
        <w:rPr>
          <w:rFonts w:hint="eastAsia"/>
        </w:rPr>
        <w:t>相关要求</w:t>
      </w:r>
      <w:r>
        <w:t>速报</w:t>
      </w:r>
      <w:r>
        <w:rPr>
          <w:rFonts w:hint="eastAsia"/>
        </w:rPr>
        <w:t>至相关部门</w:t>
      </w:r>
      <w:r>
        <w:t>。明确发生突发环境事件，事发单位或个人、</w:t>
      </w:r>
      <w:r>
        <w:rPr>
          <w:rFonts w:hint="eastAsia"/>
        </w:rPr>
        <w:t>绥宁县关峡水厂</w:t>
      </w:r>
      <w:r>
        <w:t>和责任人</w:t>
      </w:r>
      <w:r>
        <w:rPr>
          <w:rFonts w:hint="eastAsia"/>
        </w:rPr>
        <w:t>应在半个小时之内上报县政府办，县政府办</w:t>
      </w:r>
      <w:r>
        <w:t>应在接报突发环境事件经确认</w:t>
      </w:r>
      <w:r>
        <w:rPr>
          <w:rFonts w:hint="eastAsia"/>
        </w:rPr>
        <w:t>并充分听取应急专家意见基础上</w:t>
      </w:r>
      <w:r>
        <w:t>后</w:t>
      </w:r>
      <w:r>
        <w:rPr>
          <w:rFonts w:hint="eastAsia"/>
        </w:rPr>
        <w:t>半个小时</w:t>
      </w:r>
      <w:r>
        <w:t>内上报</w:t>
      </w:r>
      <w:r>
        <w:rPr>
          <w:rFonts w:hint="eastAsia"/>
        </w:rPr>
        <w:t>绥宁县人民政府</w:t>
      </w:r>
      <w:r>
        <w:t>。</w:t>
      </w:r>
      <w:r>
        <w:rPr>
          <w:rFonts w:hint="eastAsia"/>
        </w:rPr>
        <w:t>绥宁县人民政府在事件发生后1小时内向邵阳市人民政府报告。遇紧急情况，应在半小时内上报，根据情况可以越级上报。</w:t>
      </w:r>
    </w:p>
    <w:p w14:paraId="05608D4F">
      <w:pPr>
        <w:ind w:firstLine="480" w:firstLineChars="200"/>
        <w:rPr>
          <w:rFonts w:hint="eastAsia"/>
        </w:rPr>
      </w:pPr>
      <w:r>
        <w:t>（4）突发环境事件处置过程中事件级别发生变化的，应当按照变化后的级别报告信息。</w:t>
      </w:r>
    </w:p>
    <w:p w14:paraId="16330018">
      <w:pPr>
        <w:ind w:firstLine="480" w:firstLineChars="200"/>
        <w:rPr>
          <w:rFonts w:hint="eastAsia"/>
        </w:rPr>
      </w:pPr>
      <w:r>
        <w:rPr>
          <w:rFonts w:hint="eastAsia"/>
        </w:rPr>
        <w:t>水源地突发环境事件已经或可能影响相邻行政区域的，事件发生地人民政府及有关部门应及时通报相邻区域同级人民政府及有关部门。</w:t>
      </w:r>
    </w:p>
    <w:p w14:paraId="4BA858DF">
      <w:pPr>
        <w:ind w:firstLine="480" w:firstLineChars="200"/>
      </w:pPr>
      <w:r>
        <w:t>水源地保护区应急信息上报标准化格式文本见附件1</w:t>
      </w:r>
      <w:r>
        <w:rPr>
          <w:rFonts w:hint="eastAsia"/>
        </w:rPr>
        <w:t>4</w:t>
      </w:r>
      <w:r>
        <w:t>。</w:t>
      </w:r>
    </w:p>
    <w:p w14:paraId="7F576931">
      <w:pPr>
        <w:pStyle w:val="6"/>
      </w:pPr>
      <w:r>
        <w:t>3.3.2信息通报程序</w:t>
      </w:r>
    </w:p>
    <w:p w14:paraId="0393B39B">
      <w:pPr>
        <w:ind w:firstLine="480" w:firstLineChars="200"/>
      </w:pPr>
      <w:r>
        <w:t>责任部门：应急组织指挥部/综合组</w:t>
      </w:r>
    </w:p>
    <w:p w14:paraId="78D54827">
      <w:pPr>
        <w:ind w:firstLine="480" w:firstLineChars="200"/>
      </w:pPr>
      <w:r>
        <w:t>对于经核实后的水源地保护区突发环境事件，应向绥宁县级相关职能部门通报。所通报的部门至少包括</w:t>
      </w:r>
      <w:r>
        <w:rPr>
          <w:rFonts w:hint="eastAsia"/>
        </w:rPr>
        <w:t>生态环境</w:t>
      </w:r>
      <w:r>
        <w:t>、住建、</w:t>
      </w:r>
      <w:r>
        <w:rPr>
          <w:rFonts w:hint="eastAsia"/>
        </w:rPr>
        <w:t>农业农村</w:t>
      </w:r>
      <w:r>
        <w:t>部门；根据水源突发环境事件的类型和情景，其它还包括消防（遇火灾爆炸）、交通（公路运输）、公安（遇火灾爆炸、道路运输）、卫生等部门。</w:t>
      </w:r>
    </w:p>
    <w:p w14:paraId="6AF0D0BE">
      <w:pPr>
        <w:ind w:firstLine="480" w:firstLineChars="200"/>
      </w:pPr>
      <w:r>
        <w:t>（1）绥宁县政府在应急响应的同时应当及时向毗邻和可能波及或影响的周围县（市）区政府通报突发环境事件情况。</w:t>
      </w:r>
    </w:p>
    <w:p w14:paraId="2E6DFD49">
      <w:pPr>
        <w:ind w:firstLine="480" w:firstLineChars="200"/>
      </w:pPr>
      <w:r>
        <w:t>（2）各级政府及其有关部门接到突发环境事件通报后，应当及时通知本行政区域内有关部门和单位采取必要措施，防止和控制事件蔓延。</w:t>
      </w:r>
    </w:p>
    <w:p w14:paraId="07E53797">
      <w:pPr>
        <w:ind w:firstLine="480" w:firstLineChars="200"/>
      </w:pPr>
      <w:r>
        <w:t xml:space="preserve">（3）应急组织指挥部应及时向邵阳市政府及有关部门、事发地及周边县（市）区政府通报突发环境事件有关情况。  </w:t>
      </w:r>
    </w:p>
    <w:p w14:paraId="38F6E6BD">
      <w:pPr>
        <w:pStyle w:val="6"/>
      </w:pPr>
      <w:r>
        <w:t>3.3.3信息报告和通报内容</w:t>
      </w:r>
    </w:p>
    <w:p w14:paraId="3D2AEA2A">
      <w:pPr>
        <w:ind w:firstLine="480" w:firstLineChars="200"/>
      </w:pPr>
      <w:r>
        <w:t xml:space="preserve">按照不同的时间节点，水源地保护区突发环境事件的报告和通报分为初报、续报和处理结果报告。初报是发现或得知突发环境事件后首次上报；续报在查清有关基本情况、事件发展情况后随时上报；处理结果报告在突发环境事件处理完毕后上报。 </w:t>
      </w:r>
    </w:p>
    <w:p w14:paraId="4C60429C">
      <w:pPr>
        <w:ind w:firstLine="482"/>
      </w:pPr>
      <w:r>
        <w:rPr>
          <w:b/>
          <w:bCs/>
        </w:rPr>
        <w:t>初报</w:t>
      </w:r>
      <w:r>
        <w:t>可用电话直接报告，主要内容包括：环境事件的类型、发生时间、地点、信息来源、事件起因和性质、基本过程、主要污染物和数量、监测结果、人员受害情况、事件潜在的危害程度、转化方式、饮用水水源地受影响情况、事件发展趋势、处置情况、拟采取的措施以及下一步工作建议等初步情况。</w:t>
      </w:r>
    </w:p>
    <w:p w14:paraId="7DB266BC">
      <w:pPr>
        <w:ind w:firstLine="482"/>
      </w:pPr>
      <w:r>
        <w:rPr>
          <w:b/>
          <w:bCs/>
        </w:rPr>
        <w:t>续报</w:t>
      </w:r>
      <w:r>
        <w:t>可通过网络或书面报告，在初报的基础上报告有关确切数据，事件发生的原因、过程、进展情况及采取的应急措施等基本情况。</w:t>
      </w:r>
    </w:p>
    <w:p w14:paraId="25CA1B48">
      <w:pPr>
        <w:ind w:firstLine="482" w:firstLineChars="200"/>
      </w:pPr>
      <w:r>
        <w:rPr>
          <w:b/>
          <w:bCs/>
        </w:rPr>
        <w:t>处理结果报告</w:t>
      </w:r>
      <w:r>
        <w:t>采用书面报告，处理结果报告在初报和续报的基础上，报告处理事件的措施、过程和结果，事件潜在或间接的危害、社会影响、处理后的遗留问题，参加处理工作的有关部门和工作内容，出具有关危害与损失的证明文件等详细情况。</w:t>
      </w:r>
    </w:p>
    <w:p w14:paraId="180AE01F">
      <w:pPr>
        <w:ind w:firstLine="480" w:firstLineChars="200"/>
      </w:pPr>
      <w:r>
        <w:t>水源地保护区突发环境事件信息采用传真、网络和面呈等方式书面报告；情况紧急时，初报可通过电话报告，但需及时补充书面报告材料。书面报告中说明突发环境事件报告单位、报告签发人、联系人及联系方式等内容，并尽可能提供地图、图片以及相关的多媒体资料。</w:t>
      </w:r>
    </w:p>
    <w:p w14:paraId="68E0D1E0">
      <w:pPr>
        <w:pStyle w:val="5"/>
      </w:pPr>
      <w:bookmarkStart w:id="135" w:name="_Toc2426"/>
      <w:bookmarkStart w:id="136" w:name="_Toc19520"/>
      <w:r>
        <w:t>3.4事态研判</w:t>
      </w:r>
      <w:bookmarkEnd w:id="135"/>
      <w:bookmarkEnd w:id="136"/>
    </w:p>
    <w:p w14:paraId="536C48F4">
      <w:pPr>
        <w:ind w:firstLine="480" w:firstLineChars="200"/>
      </w:pPr>
      <w:bookmarkStart w:id="137" w:name="_Toc21592"/>
      <w:r>
        <w:t>责任单位：现场应急指挥部</w:t>
      </w:r>
    </w:p>
    <w:p w14:paraId="0EF5CACC">
      <w:pPr>
        <w:ind w:firstLine="480"/>
      </w:pPr>
      <w:r>
        <w:t>发布预警后，现场应急指挥部总指挥应组织副总指挥、指挥部办公室、专项工作组跟踪开展事态研判。</w:t>
      </w:r>
    </w:p>
    <w:p w14:paraId="76A11AAA">
      <w:pPr>
        <w:ind w:firstLine="480"/>
      </w:pPr>
      <w:r>
        <w:t>事态研判包括事故点下游沿河水利设施工程情况、判断污染物进入河流的数量及种类性质、事故点下游水系分布（包括清洁水情况）、距离水源地取水口的距离和可能对水源地保护区造成的危害，以及备用水源地情况。</w:t>
      </w:r>
    </w:p>
    <w:p w14:paraId="39F4370C">
      <w:pPr>
        <w:pStyle w:val="5"/>
      </w:pPr>
      <w:bookmarkStart w:id="138" w:name="_Toc25673"/>
      <w:r>
        <w:t>3.5应急监测</w:t>
      </w:r>
      <w:bookmarkEnd w:id="137"/>
      <w:bookmarkEnd w:id="138"/>
    </w:p>
    <w:p w14:paraId="3D0D3012">
      <w:pPr>
        <w:ind w:firstLine="480" w:firstLineChars="200"/>
      </w:pPr>
      <w:r>
        <w:t>应急监测是判断水污染事故影响程度的依据，要求应急监测人员采用快捷、有效的应急监测技术，迅速、准确地查明污染的来源、种类、程度、范围，为控制污染蔓延、采取应急处理措施提供准确可靠的信息。</w:t>
      </w:r>
    </w:p>
    <w:p w14:paraId="0666D2DD">
      <w:pPr>
        <w:ind w:firstLine="480" w:firstLineChars="200"/>
      </w:pPr>
      <w:r>
        <w:t>应急监测原则如下：</w:t>
      </w:r>
    </w:p>
    <w:p w14:paraId="41418E50">
      <w:pPr>
        <w:ind w:firstLine="480" w:firstLineChars="200"/>
      </w:pPr>
      <w:r>
        <w:t>（1）根据水源地保护区突发环境事件，确定好监测对象、监测点位、监测指标、监测方法。监测频次、自质控要求。同时做好分工，由应急监测组组长分配好任务。</w:t>
      </w:r>
    </w:p>
    <w:p w14:paraId="2BE08EEC">
      <w:pPr>
        <w:ind w:firstLine="480" w:firstLineChars="200"/>
      </w:pPr>
      <w:r>
        <w:t>（2）现场采样与监测，对污染物进行定性、定量及确定污染范围。</w:t>
      </w:r>
    </w:p>
    <w:p w14:paraId="07F012DE">
      <w:pPr>
        <w:ind w:firstLine="480" w:firstLineChars="200"/>
      </w:pPr>
      <w:r>
        <w:t>（3）根据事态的变化，在应急领导小组的指导下适当调整监测方案。</w:t>
      </w:r>
    </w:p>
    <w:p w14:paraId="5D8DC811">
      <w:pPr>
        <w:ind w:firstLine="480" w:firstLineChars="200"/>
      </w:pPr>
      <w:r>
        <w:t>（4）应急监测终止后根据事故变化情况向领导汇报，并分析事故发生的原因、提出预防措施、进行跟踪监测。</w:t>
      </w:r>
    </w:p>
    <w:p w14:paraId="1CFAD931">
      <w:pPr>
        <w:pStyle w:val="6"/>
      </w:pPr>
      <w:r>
        <w:t>3.5.1开展应急监测程序</w:t>
      </w:r>
    </w:p>
    <w:p w14:paraId="608B453E">
      <w:pPr>
        <w:ind w:firstLine="480" w:firstLineChars="200"/>
      </w:pPr>
      <w:r>
        <w:t>责任部门：应急监测组</w:t>
      </w:r>
    </w:p>
    <w:p w14:paraId="39A71CEE">
      <w:pPr>
        <w:ind w:firstLine="480" w:firstLineChars="200"/>
      </w:pPr>
      <w:r>
        <w:t>事件处置初期，应急监测组应按照现场应急指挥部命令，根据现场实际情况制定监测方案。监测报告形成后，应第一时间向现场应急指挥部报告监测结果和污染浓度变化态势图，并安排人员对突发环境事件监测情况进行全过程记录。</w:t>
      </w:r>
    </w:p>
    <w:p w14:paraId="6621A96B">
      <w:pPr>
        <w:ind w:firstLine="480" w:firstLineChars="200"/>
      </w:pPr>
      <w:r>
        <w:t>事件处置中期，应根据事态发展，如上游来水量、应急处置措施效果等情况，适时调整监测点位（断面）和监测频次。</w:t>
      </w:r>
    </w:p>
    <w:p w14:paraId="1C7000EB">
      <w:pPr>
        <w:ind w:firstLine="480" w:firstLineChars="200"/>
      </w:pPr>
      <w:r>
        <w:t>事件处置末期，应按照现场应急指挥部命令，停止应急监测，并向现场应急指挥部提交应急监测总结报告。</w:t>
      </w:r>
    </w:p>
    <w:p w14:paraId="212C44DB">
      <w:pPr>
        <w:ind w:firstLine="480" w:firstLineChars="200"/>
      </w:pPr>
      <w:r>
        <w:t>应急监测流程如图3-</w:t>
      </w:r>
      <w:r>
        <w:rPr>
          <w:rFonts w:hint="eastAsia"/>
        </w:rPr>
        <w:t>2</w:t>
      </w:r>
      <w:r>
        <w:t>所示。</w:t>
      </w:r>
    </w:p>
    <w:p w14:paraId="0FFE6A76">
      <w:pPr>
        <w:ind w:firstLine="480" w:firstLineChars="200"/>
        <w:jc w:val="center"/>
      </w:pPr>
      <w:r>
        <w:object>
          <v:shape id="_x0000_i1027" o:spt="75" type="#_x0000_t75" style="height:156.55pt;width:415.45pt;" o:ole="t" filled="f" o:preferrelative="t" stroked="f" coordsize="21600,21600">
            <v:path/>
            <v:fill on="f" focussize="0,0"/>
            <v:stroke on="f" joinstyle="miter"/>
            <v:imagedata r:id="rId31" o:title=""/>
            <o:lock v:ext="edit" aspectratio="t"/>
            <w10:wrap type="none"/>
            <w10:anchorlock/>
          </v:shape>
          <o:OLEObject Type="Embed" ProgID="Visio.Drawing.15" ShapeID="_x0000_i1027" DrawAspect="Content" ObjectID="_1468075727" r:id="rId30">
            <o:LockedField>false</o:LockedField>
          </o:OLEObject>
        </w:object>
      </w:r>
      <w:r>
        <w:rPr>
          <w:b/>
          <w:bCs/>
          <w:sz w:val="21"/>
          <w:szCs w:val="21"/>
        </w:rPr>
        <w:t>图3-</w:t>
      </w:r>
      <w:r>
        <w:rPr>
          <w:rFonts w:hint="eastAsia"/>
          <w:b/>
          <w:bCs/>
          <w:sz w:val="21"/>
          <w:szCs w:val="21"/>
        </w:rPr>
        <w:t xml:space="preserve">2 </w:t>
      </w:r>
      <w:r>
        <w:rPr>
          <w:b/>
          <w:bCs/>
          <w:sz w:val="21"/>
          <w:szCs w:val="21"/>
        </w:rPr>
        <w:t>应急监测流程图</w:t>
      </w:r>
    </w:p>
    <w:p w14:paraId="17CE2F59">
      <w:pPr>
        <w:pStyle w:val="6"/>
      </w:pPr>
      <w:r>
        <w:t>3.5.2制定应急监测方案</w:t>
      </w:r>
    </w:p>
    <w:p w14:paraId="11546F58">
      <w:pPr>
        <w:ind w:firstLine="480" w:firstLineChars="200"/>
      </w:pPr>
      <w:r>
        <w:t>责任部门：应急监测组</w:t>
      </w:r>
    </w:p>
    <w:p w14:paraId="6B2E1CE4">
      <w:pPr>
        <w:ind w:firstLine="480" w:firstLineChars="200"/>
      </w:pPr>
      <w:r>
        <w:t xml:space="preserve">依照《突发环境事件应急监测技术规范》（HJ589）进行监测，应在污染团上下游设定监测断面。按照现场应急指挥部的命令，根据污染现场的实际情况制定监测方案，布设监测断面或监测点位，组织开展监测，形成监测报告，安排人员对突发环境事件监测情况进行全过程记录。在第一时间向指挥部报告监测结果。根据现场应急指挥部终止应急处置命令，形成监测结论总结报告，报现场应急指挥部。 </w:t>
      </w:r>
    </w:p>
    <w:p w14:paraId="09F16C75">
      <w:pPr>
        <w:ind w:firstLine="480" w:firstLineChars="200"/>
      </w:pPr>
      <w:r>
        <w:t>应急监测方案制定原则：</w:t>
      </w:r>
    </w:p>
    <w:p w14:paraId="4FC48DEB">
      <w:pPr>
        <w:ind w:firstLine="480" w:firstLineChars="200"/>
      </w:pPr>
      <w:r>
        <w:t>由于水源地保护区突发环境事件具有突发性及污染物的不可预知性，导致其污染类型、发生环节、污染成分及危害程度千差万别，无法采用统一的固定监测方法进行检测。只有采用与现场实际相符合，根据现场污染现状及平时收集的附近各类潜在污染源的情况下，确定可操作性强的监测方案，才能快速有效地监测出所需要的污染物指标，从而为现场应急指挥部采取切实有效的应对措施提供技术依据，各主要污染物现场及实验室应急监测方法详见章节3.5.3。</w:t>
      </w:r>
    </w:p>
    <w:p w14:paraId="3E08438F">
      <w:pPr>
        <w:ind w:firstLine="480" w:firstLineChars="200"/>
      </w:pPr>
      <w:r>
        <w:t xml:space="preserve">布点原则和注意事项主要为以下内容： </w:t>
      </w:r>
    </w:p>
    <w:p w14:paraId="3A74FD39">
      <w:pPr>
        <w:ind w:firstLine="480" w:firstLineChars="200"/>
      </w:pPr>
      <w:r>
        <w:t>（1）监测范围</w:t>
      </w:r>
    </w:p>
    <w:p w14:paraId="411E140A">
      <w:pPr>
        <w:ind w:firstLine="480" w:firstLineChars="200"/>
      </w:pPr>
      <w:r>
        <w:t xml:space="preserve">水源地一、二级保护区内，在尚未受到污染区域布设控制点位。 </w:t>
      </w:r>
    </w:p>
    <w:p w14:paraId="56BAC8DF">
      <w:pPr>
        <w:ind w:firstLine="480" w:firstLineChars="200"/>
      </w:pPr>
      <w:r>
        <w:t>（2）监测布点和频次</w:t>
      </w:r>
    </w:p>
    <w:p w14:paraId="4149E201">
      <w:pPr>
        <w:ind w:firstLine="480" w:firstLineChars="200"/>
      </w:pPr>
      <w:r>
        <w:t>在水源地保护区取水口上游2000m、取水口上游1000m、取水口、取水口下游200m处布点监测。按照事故持续时间决定监测时间，根据事故严重性决定监测频次。一般情况下每30分钟监测1次，随事故控制减弱，适当减少监测频次。直至两次监测浓度均低于地表水环境质量相应标准值或已接近可忽略水平为止。 监测因子根据企业事故排放废水特点进行设置，一般为pH、COD、氨氮、石油类、总氮、总磷、</w:t>
      </w:r>
      <w:r>
        <w:rPr>
          <w:spacing w:val="-4"/>
        </w:rPr>
        <w:t>粪大肠菌群数</w:t>
      </w:r>
      <w:r>
        <w:t>等。</w:t>
      </w:r>
    </w:p>
    <w:p w14:paraId="5E14C931">
      <w:pPr>
        <w:ind w:firstLine="480" w:firstLineChars="200"/>
      </w:pPr>
      <w:r>
        <w:t xml:space="preserve">①固定源突发环境事件中，对固定源排放口水域、下游水源地附近水域进行加密跟踪观测。 </w:t>
      </w:r>
    </w:p>
    <w:p w14:paraId="1985EB35">
      <w:pPr>
        <w:ind w:firstLine="480" w:firstLineChars="200"/>
      </w:pPr>
      <w:r>
        <w:t xml:space="preserve">②流动源、非点源突发环境事件中，对事发区域下游水域、下游水源地附近进行加密跟踪观测。 </w:t>
      </w:r>
    </w:p>
    <w:p w14:paraId="7D1E0360">
      <w:pPr>
        <w:ind w:firstLine="480" w:firstLineChars="200"/>
      </w:pPr>
      <w:r>
        <w:t xml:space="preserve">（3）现场采样。制定采样计划和准备采样器材。采样量同时满足快速监测、实验室监测和留样的需要。采样频次主要根据污染程度和水文条件确定。 </w:t>
      </w:r>
    </w:p>
    <w:p w14:paraId="3F96184B">
      <w:pPr>
        <w:ind w:firstLine="480" w:firstLineChars="200"/>
      </w:pPr>
      <w:r>
        <w:t xml:space="preserve">（4）分析方法。凡具备现场测定条件的监测项目，尽量进行现场监测。必要时，备份样品送实验室分析测定，以确认现场的定性或定量分析结果。 </w:t>
      </w:r>
    </w:p>
    <w:p w14:paraId="320B5344">
      <w:pPr>
        <w:ind w:firstLine="480" w:firstLineChars="200"/>
      </w:pPr>
      <w:r>
        <w:t xml:space="preserve">（5）监测结果与数据报告。数据处理参照相应的监测技术规范进行。监测结果可用定性、半定量或定量方式报出。监测结果要及时向指挥部报告，可采用电话、传真、快报、简报、监测报告等形式。 </w:t>
      </w:r>
    </w:p>
    <w:p w14:paraId="4FAF5132">
      <w:pPr>
        <w:ind w:firstLine="480" w:firstLineChars="200"/>
      </w:pPr>
      <w:r>
        <w:t xml:space="preserve">（6）监测过程质量保证。应急监测过程实施质量控制，原始样品采集、现场分析监测、实验室分析、数据统计等过程都有相应的质量保证，应急监测报告实行三级审核。 </w:t>
      </w:r>
    </w:p>
    <w:p w14:paraId="6767400E">
      <w:pPr>
        <w:pStyle w:val="6"/>
      </w:pPr>
      <w:r>
        <w:t>3.5.3主要污染物现场及实验室应急监测方法</w:t>
      </w:r>
    </w:p>
    <w:p w14:paraId="6416AFC0">
      <w:pPr>
        <w:ind w:firstLine="480"/>
      </w:pPr>
      <w:r>
        <w:t>（1）现场监测应当优先使用试纸、便携式仪器等测定。</w:t>
      </w:r>
    </w:p>
    <w:p w14:paraId="2C1BC456">
      <w:pPr>
        <w:ind w:firstLine="480"/>
      </w:pPr>
      <w:r>
        <w:t>（2）对于现场无法进行监测的，应当尽快送至实验室进行分析，应急监测结束后需用精密度、准确度等指标检验其方法的适用性。</w:t>
      </w:r>
    </w:p>
    <w:p w14:paraId="49F71317">
      <w:pPr>
        <w:ind w:firstLine="480"/>
        <w:rPr>
          <w:sz w:val="21"/>
          <w:szCs w:val="21"/>
        </w:rPr>
      </w:pPr>
      <w:r>
        <w:t>主要污染物现场以及实验室应急监测方法见表3-</w:t>
      </w:r>
      <w:r>
        <w:rPr>
          <w:rFonts w:hint="eastAsia"/>
        </w:rPr>
        <w:t>4</w:t>
      </w:r>
      <w:r>
        <w:t>。</w:t>
      </w:r>
    </w:p>
    <w:p w14:paraId="74712A58">
      <w:pPr>
        <w:pStyle w:val="70"/>
        <w:rPr>
          <w:rFonts w:eastAsia="宋体"/>
          <w:sz w:val="21"/>
          <w:szCs w:val="21"/>
        </w:rPr>
      </w:pPr>
      <w:r>
        <w:rPr>
          <w:rFonts w:eastAsia="宋体"/>
          <w:sz w:val="21"/>
          <w:szCs w:val="21"/>
        </w:rPr>
        <w:t>表3-</w:t>
      </w:r>
      <w:r>
        <w:rPr>
          <w:rFonts w:hint="eastAsia" w:eastAsia="宋体"/>
          <w:sz w:val="21"/>
          <w:szCs w:val="21"/>
        </w:rPr>
        <w:t>4</w:t>
      </w:r>
      <w:r>
        <w:rPr>
          <w:rFonts w:eastAsia="宋体"/>
          <w:sz w:val="21"/>
          <w:szCs w:val="21"/>
        </w:rPr>
        <w:t xml:space="preserve"> 主要污染物应急监测方法</w:t>
      </w:r>
    </w:p>
    <w:tbl>
      <w:tblPr>
        <w:tblStyle w:val="20"/>
        <w:tblW w:w="88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143"/>
        <w:gridCol w:w="4212"/>
        <w:gridCol w:w="2408"/>
      </w:tblGrid>
      <w:tr w14:paraId="0D1BB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 w:hRule="atLeast"/>
          <w:tblHeader/>
          <w:jc w:val="center"/>
        </w:trPr>
        <w:tc>
          <w:tcPr>
            <w:tcW w:w="1081" w:type="dxa"/>
            <w:vAlign w:val="center"/>
          </w:tcPr>
          <w:p w14:paraId="0677739A">
            <w:pPr>
              <w:pStyle w:val="61"/>
              <w:jc w:val="center"/>
              <w:rPr>
                <w:b/>
              </w:rPr>
            </w:pPr>
            <w:r>
              <w:rPr>
                <w:b/>
              </w:rPr>
              <w:t>监测项目</w:t>
            </w:r>
          </w:p>
        </w:tc>
        <w:tc>
          <w:tcPr>
            <w:tcW w:w="1143" w:type="dxa"/>
            <w:vAlign w:val="center"/>
          </w:tcPr>
          <w:p w14:paraId="6C3410DE">
            <w:pPr>
              <w:pStyle w:val="61"/>
              <w:jc w:val="center"/>
              <w:rPr>
                <w:b/>
              </w:rPr>
            </w:pPr>
            <w:r>
              <w:rPr>
                <w:b/>
              </w:rPr>
              <w:t>监测对象</w:t>
            </w:r>
          </w:p>
        </w:tc>
        <w:tc>
          <w:tcPr>
            <w:tcW w:w="4212" w:type="dxa"/>
            <w:vAlign w:val="center"/>
          </w:tcPr>
          <w:p w14:paraId="6112A30E">
            <w:pPr>
              <w:pStyle w:val="61"/>
              <w:jc w:val="center"/>
              <w:rPr>
                <w:b/>
              </w:rPr>
            </w:pPr>
            <w:r>
              <w:rPr>
                <w:b/>
              </w:rPr>
              <w:t>推荐监测方法</w:t>
            </w:r>
          </w:p>
        </w:tc>
        <w:tc>
          <w:tcPr>
            <w:tcW w:w="2408" w:type="dxa"/>
            <w:vAlign w:val="center"/>
          </w:tcPr>
          <w:p w14:paraId="0515E941">
            <w:pPr>
              <w:pStyle w:val="61"/>
              <w:jc w:val="center"/>
              <w:rPr>
                <w:b/>
              </w:rPr>
            </w:pPr>
            <w:r>
              <w:rPr>
                <w:b/>
              </w:rPr>
              <w:t>使用仪器</w:t>
            </w:r>
          </w:p>
        </w:tc>
      </w:tr>
      <w:tr w14:paraId="694DE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81" w:type="dxa"/>
            <w:vMerge w:val="restart"/>
            <w:vAlign w:val="center"/>
          </w:tcPr>
          <w:p w14:paraId="4DFFCBEE">
            <w:pPr>
              <w:pStyle w:val="61"/>
              <w:jc w:val="center"/>
            </w:pPr>
            <w:r>
              <w:t>COD</w:t>
            </w:r>
          </w:p>
        </w:tc>
        <w:tc>
          <w:tcPr>
            <w:tcW w:w="1143" w:type="dxa"/>
            <w:vMerge w:val="restart"/>
            <w:vAlign w:val="center"/>
          </w:tcPr>
          <w:p w14:paraId="0C195DA6">
            <w:pPr>
              <w:pStyle w:val="61"/>
              <w:jc w:val="center"/>
            </w:pPr>
            <w:r>
              <w:t>根据实际需要，监测所在水源地取水口水样、周边土壤样品</w:t>
            </w:r>
          </w:p>
        </w:tc>
        <w:tc>
          <w:tcPr>
            <w:tcW w:w="4212" w:type="dxa"/>
            <w:vAlign w:val="center"/>
          </w:tcPr>
          <w:p w14:paraId="56B3F5C6">
            <w:pPr>
              <w:pStyle w:val="60"/>
              <w:ind w:firstLine="420"/>
              <w:jc w:val="center"/>
            </w:pPr>
            <w:r>
              <w:t>快速消解分光光度法（HJ/T399）</w:t>
            </w:r>
          </w:p>
        </w:tc>
        <w:tc>
          <w:tcPr>
            <w:tcW w:w="2408" w:type="dxa"/>
            <w:vAlign w:val="center"/>
          </w:tcPr>
          <w:p w14:paraId="6A84BD18">
            <w:pPr>
              <w:pStyle w:val="60"/>
              <w:ind w:firstLine="0" w:firstLineChars="0"/>
              <w:jc w:val="center"/>
            </w:pPr>
            <w:r>
              <w:t>消解仪，分光光度计等</w:t>
            </w:r>
          </w:p>
        </w:tc>
      </w:tr>
      <w:tr w14:paraId="74E81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081" w:type="dxa"/>
            <w:vMerge w:val="continue"/>
            <w:vAlign w:val="center"/>
          </w:tcPr>
          <w:p w14:paraId="77798CB5">
            <w:pPr>
              <w:pStyle w:val="61"/>
              <w:jc w:val="center"/>
            </w:pPr>
          </w:p>
        </w:tc>
        <w:tc>
          <w:tcPr>
            <w:tcW w:w="1143" w:type="dxa"/>
            <w:vMerge w:val="continue"/>
            <w:vAlign w:val="center"/>
          </w:tcPr>
          <w:p w14:paraId="0CB47BAE">
            <w:pPr>
              <w:pStyle w:val="61"/>
              <w:jc w:val="center"/>
            </w:pPr>
          </w:p>
        </w:tc>
        <w:tc>
          <w:tcPr>
            <w:tcW w:w="4212" w:type="dxa"/>
            <w:vAlign w:val="center"/>
          </w:tcPr>
          <w:p w14:paraId="4E8EA37A">
            <w:pPr>
              <w:pStyle w:val="60"/>
              <w:ind w:firstLine="420"/>
              <w:jc w:val="center"/>
            </w:pPr>
            <w:r>
              <w:t>重铬酸盐法（GB/T11914）</w:t>
            </w:r>
          </w:p>
        </w:tc>
        <w:tc>
          <w:tcPr>
            <w:tcW w:w="2408" w:type="dxa"/>
            <w:vAlign w:val="center"/>
          </w:tcPr>
          <w:p w14:paraId="087E712B">
            <w:pPr>
              <w:pStyle w:val="60"/>
              <w:ind w:firstLine="420"/>
              <w:jc w:val="center"/>
            </w:pPr>
            <w:r>
              <w:t>消解仪等</w:t>
            </w:r>
          </w:p>
        </w:tc>
      </w:tr>
      <w:tr w14:paraId="7FBF7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081" w:type="dxa"/>
            <w:vAlign w:val="center"/>
          </w:tcPr>
          <w:p w14:paraId="6088148B">
            <w:pPr>
              <w:pStyle w:val="61"/>
              <w:jc w:val="center"/>
              <w:rPr>
                <w:rFonts w:ascii="Times New Roman" w:hAnsi="Times New Roman" w:eastAsia="宋体" w:cs="Times New Roman"/>
                <w:kern w:val="2"/>
                <w:sz w:val="21"/>
                <w:szCs w:val="24"/>
                <w:lang w:val="en-US" w:eastAsia="zh-CN" w:bidi="ar-SA"/>
              </w:rPr>
            </w:pPr>
            <w:r>
              <w:t>重金属</w:t>
            </w:r>
          </w:p>
        </w:tc>
        <w:tc>
          <w:tcPr>
            <w:tcW w:w="1143" w:type="dxa"/>
            <w:vMerge w:val="continue"/>
            <w:vAlign w:val="center"/>
          </w:tcPr>
          <w:p w14:paraId="0ADF8638">
            <w:pPr>
              <w:pStyle w:val="61"/>
              <w:jc w:val="center"/>
              <w:rPr>
                <w:rFonts w:ascii="Times New Roman" w:hAnsi="Times New Roman" w:eastAsia="宋体" w:cs="Times New Roman"/>
                <w:kern w:val="2"/>
                <w:sz w:val="21"/>
                <w:szCs w:val="24"/>
                <w:lang w:val="en-US" w:eastAsia="zh-CN" w:bidi="ar-SA"/>
              </w:rPr>
            </w:pPr>
          </w:p>
        </w:tc>
        <w:tc>
          <w:tcPr>
            <w:tcW w:w="4212" w:type="dxa"/>
            <w:vAlign w:val="center"/>
          </w:tcPr>
          <w:p w14:paraId="6496072C">
            <w:pPr>
              <w:pStyle w:val="60"/>
              <w:ind w:left="0" w:leftChars="0" w:firstLine="0" w:firstLineChars="0"/>
              <w:jc w:val="both"/>
              <w:rPr>
                <w:rFonts w:hint="eastAsia" w:eastAsia="宋体"/>
                <w:lang w:eastAsia="zh-CN"/>
              </w:rPr>
            </w:pPr>
            <w:r>
              <w:t>一系列重金属监测国标，如</w:t>
            </w:r>
            <w:r>
              <w:rPr>
                <w:rFonts w:hint="eastAsia"/>
                <w:lang w:eastAsia="zh-CN"/>
              </w:rPr>
              <w:t>：</w:t>
            </w:r>
          </w:p>
          <w:p w14:paraId="1FD2C9C5">
            <w:pPr>
              <w:pStyle w:val="60"/>
              <w:ind w:left="0" w:leftChars="0" w:firstLine="0" w:firstLineChars="0"/>
              <w:jc w:val="both"/>
            </w:pPr>
            <w:r>
              <w:fldChar w:fldCharType="begin"/>
            </w:r>
            <w:r>
              <w:instrText xml:space="preserve"> = 1 \* GB3 </w:instrText>
            </w:r>
            <w:r>
              <w:fldChar w:fldCharType="separate"/>
            </w:r>
            <w:r>
              <w:t>①</w:t>
            </w:r>
            <w:r>
              <w:fldChar w:fldCharType="end"/>
            </w:r>
            <w:r>
              <w:t>铜、锌、铅、镉的测定原子吸收分光光度法（GBT/7475）；</w:t>
            </w:r>
          </w:p>
          <w:p w14:paraId="779B77B4">
            <w:pPr>
              <w:pStyle w:val="60"/>
              <w:ind w:left="0" w:leftChars="0" w:firstLine="0" w:firstLineChars="0"/>
              <w:jc w:val="both"/>
            </w:pPr>
            <w:r>
              <w:t>②汞的测定冷原子荧光法（试行）（HJ/T341）</w:t>
            </w:r>
          </w:p>
          <w:p w14:paraId="67DDE7C6">
            <w:pPr>
              <w:pStyle w:val="60"/>
              <w:ind w:left="0" w:leftChars="0" w:firstLine="0" w:firstLineChars="0"/>
              <w:jc w:val="both"/>
            </w:pPr>
            <w:r>
              <w:t>③砷、硒、梯、秘原子荧光法《水和废水监测分析方法》国家环境保护总局（2002年）</w:t>
            </w:r>
          </w:p>
          <w:p w14:paraId="464529A2">
            <w:pPr>
              <w:pStyle w:val="60"/>
              <w:ind w:left="0" w:leftChars="0" w:firstLine="0" w:firstLineChars="0"/>
              <w:jc w:val="both"/>
            </w:pPr>
            <w:r>
              <w:t>④水质六价铬的测定 二苯碳酰二肼分光光度法（GBT7467）</w:t>
            </w:r>
          </w:p>
          <w:p w14:paraId="7CF64EC7">
            <w:pPr>
              <w:pStyle w:val="60"/>
              <w:ind w:left="0" w:leftChars="0" w:firstLine="0" w:firstLineChars="0"/>
              <w:jc w:val="both"/>
            </w:pPr>
            <w:r>
              <w:t>⑤水质 总铬的测定（GB/T7466）</w:t>
            </w:r>
          </w:p>
          <w:p w14:paraId="4145F184">
            <w:pPr>
              <w:pStyle w:val="60"/>
              <w:ind w:left="0" w:leftChars="0" w:firstLine="0" w:firstLineChars="0"/>
              <w:jc w:val="both"/>
            </w:pPr>
            <w:r>
              <w:t>土壤分析的有：</w:t>
            </w:r>
          </w:p>
          <w:p w14:paraId="2B369BEA">
            <w:pPr>
              <w:pStyle w:val="60"/>
              <w:ind w:left="0" w:leftChars="0" w:firstLine="0" w:firstLineChars="0"/>
              <w:jc w:val="both"/>
            </w:pPr>
            <w:r>
              <w:fldChar w:fldCharType="begin"/>
            </w:r>
            <w:r>
              <w:instrText xml:space="preserve"> = 1 \* GB3 </w:instrText>
            </w:r>
            <w:r>
              <w:fldChar w:fldCharType="separate"/>
            </w:r>
            <w:r>
              <w:t>①</w:t>
            </w:r>
            <w:r>
              <w:fldChar w:fldCharType="end"/>
            </w:r>
            <w:r>
              <w:t>土壤质量 铅、镉的测定 石墨炉原子吸收分光光度法（GBT17141）</w:t>
            </w:r>
          </w:p>
          <w:p w14:paraId="1BC998A1">
            <w:pPr>
              <w:pStyle w:val="60"/>
              <w:ind w:left="0" w:leftChars="0" w:firstLine="0" w:firstLineChars="0"/>
              <w:jc w:val="both"/>
            </w:pPr>
            <w:r>
              <w:fldChar w:fldCharType="begin"/>
            </w:r>
            <w:r>
              <w:instrText xml:space="preserve"> = 2 \* GB3 </w:instrText>
            </w:r>
            <w:r>
              <w:fldChar w:fldCharType="separate"/>
            </w:r>
            <w:r>
              <w:t>②</w:t>
            </w:r>
            <w:r>
              <w:fldChar w:fldCharType="end"/>
            </w:r>
            <w:r>
              <w:t>土壤质量 总汞、总砷、总铅的测定 原子荧光法（GBT22105）</w:t>
            </w:r>
          </w:p>
          <w:p w14:paraId="3A8D9F62">
            <w:pPr>
              <w:pStyle w:val="60"/>
              <w:ind w:left="0" w:leftChars="0" w:firstLine="0" w:firstLineChars="0"/>
              <w:jc w:val="both"/>
            </w:pPr>
            <w:r>
              <w:fldChar w:fldCharType="begin"/>
            </w:r>
            <w:r>
              <w:instrText xml:space="preserve"> = 3 \* GB3 </w:instrText>
            </w:r>
            <w:r>
              <w:fldChar w:fldCharType="separate"/>
            </w:r>
            <w:r>
              <w:t>③</w:t>
            </w:r>
            <w:r>
              <w:fldChar w:fldCharType="end"/>
            </w:r>
            <w:r>
              <w:t>土壤 总铬的测定 火焰原子吸收分光光度法（HJ491）</w:t>
            </w:r>
          </w:p>
          <w:p w14:paraId="772B4CB8">
            <w:pPr>
              <w:pStyle w:val="60"/>
              <w:ind w:left="0" w:leftChars="0" w:firstLine="0" w:firstLineChars="0"/>
              <w:jc w:val="both"/>
              <w:rPr>
                <w:rFonts w:ascii="Times New Roman" w:hAnsi="Times New Roman" w:eastAsia="宋体" w:cs="Times New Roman"/>
                <w:kern w:val="2"/>
                <w:sz w:val="21"/>
                <w:szCs w:val="24"/>
                <w:lang w:val="en-US" w:eastAsia="zh-CN" w:bidi="ar-SA"/>
              </w:rPr>
            </w:pPr>
            <w:r>
              <w:fldChar w:fldCharType="begin"/>
            </w:r>
            <w:r>
              <w:instrText xml:space="preserve"> = 4 \* GB3 </w:instrText>
            </w:r>
            <w:r>
              <w:fldChar w:fldCharType="separate"/>
            </w:r>
            <w:r>
              <w:t>④</w:t>
            </w:r>
            <w:r>
              <w:fldChar w:fldCharType="end"/>
            </w:r>
            <w:r>
              <w:t>固体废物 六价铬的测定二苯碳酰二肼分光光度法（GB-T15555.4）</w:t>
            </w:r>
          </w:p>
        </w:tc>
        <w:tc>
          <w:tcPr>
            <w:tcW w:w="2408" w:type="dxa"/>
            <w:vAlign w:val="center"/>
          </w:tcPr>
          <w:p w14:paraId="45275D0F">
            <w:pPr>
              <w:pStyle w:val="61"/>
              <w:jc w:val="center"/>
              <w:rPr>
                <w:rFonts w:ascii="Times New Roman" w:hAnsi="Times New Roman" w:eastAsia="宋体" w:cs="Times New Roman"/>
                <w:kern w:val="2"/>
                <w:sz w:val="21"/>
                <w:szCs w:val="24"/>
                <w:lang w:val="en-US" w:eastAsia="zh-CN" w:bidi="ar-SA"/>
              </w:rPr>
            </w:pPr>
          </w:p>
        </w:tc>
      </w:tr>
      <w:tr w14:paraId="79D4C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1" w:type="dxa"/>
            <w:vAlign w:val="center"/>
          </w:tcPr>
          <w:p w14:paraId="283261B1">
            <w:pPr>
              <w:pStyle w:val="61"/>
              <w:jc w:val="center"/>
            </w:pPr>
            <w:r>
              <w:t>BOD</w:t>
            </w:r>
            <w:r>
              <w:rPr>
                <w:vertAlign w:val="subscript"/>
              </w:rPr>
              <w:t>5</w:t>
            </w:r>
          </w:p>
        </w:tc>
        <w:tc>
          <w:tcPr>
            <w:tcW w:w="1143" w:type="dxa"/>
            <w:vMerge w:val="continue"/>
            <w:vAlign w:val="center"/>
          </w:tcPr>
          <w:p w14:paraId="5BC89EAF">
            <w:pPr>
              <w:pStyle w:val="61"/>
              <w:jc w:val="center"/>
            </w:pPr>
          </w:p>
        </w:tc>
        <w:tc>
          <w:tcPr>
            <w:tcW w:w="4212" w:type="dxa"/>
            <w:vAlign w:val="center"/>
          </w:tcPr>
          <w:p w14:paraId="0748811B">
            <w:pPr>
              <w:pStyle w:val="60"/>
              <w:ind w:firstLine="420"/>
              <w:jc w:val="center"/>
            </w:pPr>
            <w:r>
              <w:t>稀释与接种法（HJ505）</w:t>
            </w:r>
          </w:p>
        </w:tc>
        <w:tc>
          <w:tcPr>
            <w:tcW w:w="2408" w:type="dxa"/>
            <w:vAlign w:val="center"/>
          </w:tcPr>
          <w:p w14:paraId="59A17B6B">
            <w:pPr>
              <w:pStyle w:val="60"/>
              <w:ind w:firstLine="0" w:firstLineChars="0"/>
              <w:jc w:val="center"/>
            </w:pPr>
            <w:r>
              <w:t>恒温培养、滴定设备等</w:t>
            </w:r>
          </w:p>
        </w:tc>
      </w:tr>
      <w:tr w14:paraId="4AE05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081" w:type="dxa"/>
            <w:vMerge w:val="restart"/>
            <w:vAlign w:val="center"/>
          </w:tcPr>
          <w:p w14:paraId="28FAB9F8">
            <w:pPr>
              <w:pStyle w:val="61"/>
              <w:jc w:val="center"/>
            </w:pPr>
            <w:r>
              <w:t>pH</w:t>
            </w:r>
          </w:p>
        </w:tc>
        <w:tc>
          <w:tcPr>
            <w:tcW w:w="1143" w:type="dxa"/>
            <w:vMerge w:val="continue"/>
            <w:vAlign w:val="center"/>
          </w:tcPr>
          <w:p w14:paraId="62B3E170">
            <w:pPr>
              <w:pStyle w:val="61"/>
              <w:jc w:val="center"/>
            </w:pPr>
          </w:p>
        </w:tc>
        <w:tc>
          <w:tcPr>
            <w:tcW w:w="4212" w:type="dxa"/>
            <w:vAlign w:val="center"/>
          </w:tcPr>
          <w:p w14:paraId="3EF4B046">
            <w:pPr>
              <w:pStyle w:val="60"/>
              <w:ind w:firstLine="420"/>
              <w:jc w:val="center"/>
            </w:pPr>
            <w:r>
              <w:t>水体使用便携式快速测定仪器</w:t>
            </w:r>
          </w:p>
        </w:tc>
        <w:tc>
          <w:tcPr>
            <w:tcW w:w="2408" w:type="dxa"/>
            <w:vMerge w:val="restart"/>
            <w:vAlign w:val="center"/>
          </w:tcPr>
          <w:p w14:paraId="13B40B57">
            <w:pPr>
              <w:pStyle w:val="60"/>
              <w:ind w:firstLine="420"/>
              <w:jc w:val="center"/>
            </w:pPr>
            <w:r>
              <w:t>便携式pH计</w:t>
            </w:r>
          </w:p>
        </w:tc>
      </w:tr>
      <w:tr w14:paraId="2A7C3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81" w:type="dxa"/>
            <w:vMerge w:val="continue"/>
            <w:vAlign w:val="center"/>
          </w:tcPr>
          <w:p w14:paraId="2D44B3E4">
            <w:pPr>
              <w:pStyle w:val="61"/>
              <w:jc w:val="center"/>
            </w:pPr>
          </w:p>
        </w:tc>
        <w:tc>
          <w:tcPr>
            <w:tcW w:w="1143" w:type="dxa"/>
            <w:vMerge w:val="continue"/>
            <w:vAlign w:val="center"/>
          </w:tcPr>
          <w:p w14:paraId="672879FB">
            <w:pPr>
              <w:pStyle w:val="61"/>
              <w:jc w:val="center"/>
            </w:pPr>
          </w:p>
        </w:tc>
        <w:tc>
          <w:tcPr>
            <w:tcW w:w="4212" w:type="dxa"/>
            <w:vAlign w:val="center"/>
          </w:tcPr>
          <w:p w14:paraId="006DE158">
            <w:pPr>
              <w:pStyle w:val="60"/>
              <w:ind w:firstLine="420"/>
              <w:jc w:val="center"/>
            </w:pPr>
            <w:r>
              <w:t>土壤参照《森林土壤》（GB7859-87）</w:t>
            </w:r>
          </w:p>
        </w:tc>
        <w:tc>
          <w:tcPr>
            <w:tcW w:w="2408" w:type="dxa"/>
            <w:vMerge w:val="continue"/>
            <w:vAlign w:val="center"/>
          </w:tcPr>
          <w:p w14:paraId="493C1875">
            <w:pPr>
              <w:pStyle w:val="60"/>
              <w:ind w:firstLine="420"/>
              <w:jc w:val="center"/>
            </w:pPr>
          </w:p>
        </w:tc>
      </w:tr>
      <w:tr w14:paraId="70315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1" w:type="dxa"/>
            <w:vAlign w:val="center"/>
          </w:tcPr>
          <w:p w14:paraId="6686957F">
            <w:pPr>
              <w:pStyle w:val="61"/>
              <w:jc w:val="center"/>
            </w:pPr>
            <w:r>
              <w:t>氨氮</w:t>
            </w:r>
          </w:p>
        </w:tc>
        <w:tc>
          <w:tcPr>
            <w:tcW w:w="1143" w:type="dxa"/>
            <w:vMerge w:val="continue"/>
            <w:vAlign w:val="center"/>
          </w:tcPr>
          <w:p w14:paraId="485B430A">
            <w:pPr>
              <w:pStyle w:val="61"/>
              <w:jc w:val="center"/>
            </w:pPr>
          </w:p>
        </w:tc>
        <w:tc>
          <w:tcPr>
            <w:tcW w:w="4212" w:type="dxa"/>
            <w:vAlign w:val="center"/>
          </w:tcPr>
          <w:p w14:paraId="4A512030">
            <w:pPr>
              <w:pStyle w:val="60"/>
              <w:ind w:firstLine="420"/>
              <w:jc w:val="center"/>
            </w:pPr>
            <w:r>
              <w:t>纳氏试剂分光光度法（HJ535）</w:t>
            </w:r>
          </w:p>
        </w:tc>
        <w:tc>
          <w:tcPr>
            <w:tcW w:w="2408" w:type="dxa"/>
            <w:vAlign w:val="center"/>
          </w:tcPr>
          <w:p w14:paraId="62BA7107">
            <w:pPr>
              <w:pStyle w:val="60"/>
              <w:ind w:firstLine="420"/>
              <w:jc w:val="center"/>
            </w:pPr>
            <w:r>
              <w:t>分光光度计等</w:t>
            </w:r>
          </w:p>
        </w:tc>
      </w:tr>
      <w:tr w14:paraId="0C344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081" w:type="dxa"/>
            <w:vAlign w:val="center"/>
          </w:tcPr>
          <w:p w14:paraId="31141C30">
            <w:pPr>
              <w:pStyle w:val="61"/>
              <w:jc w:val="center"/>
            </w:pPr>
            <w:r>
              <w:t>硫化物</w:t>
            </w:r>
          </w:p>
        </w:tc>
        <w:tc>
          <w:tcPr>
            <w:tcW w:w="1143" w:type="dxa"/>
            <w:vMerge w:val="continue"/>
            <w:vAlign w:val="center"/>
          </w:tcPr>
          <w:p w14:paraId="799F530F">
            <w:pPr>
              <w:pStyle w:val="61"/>
              <w:jc w:val="center"/>
            </w:pPr>
          </w:p>
        </w:tc>
        <w:tc>
          <w:tcPr>
            <w:tcW w:w="4212" w:type="dxa"/>
            <w:vAlign w:val="center"/>
          </w:tcPr>
          <w:p w14:paraId="346083A8">
            <w:pPr>
              <w:pStyle w:val="60"/>
              <w:ind w:firstLine="420"/>
              <w:jc w:val="center"/>
            </w:pPr>
            <w:r>
              <w:t>碘量法飞（HJ/T60）</w:t>
            </w:r>
          </w:p>
        </w:tc>
        <w:tc>
          <w:tcPr>
            <w:tcW w:w="2408" w:type="dxa"/>
            <w:vAlign w:val="center"/>
          </w:tcPr>
          <w:p w14:paraId="21B35C16">
            <w:pPr>
              <w:pStyle w:val="60"/>
              <w:ind w:firstLine="420"/>
              <w:jc w:val="center"/>
            </w:pPr>
            <w:r>
              <w:t>滴定设备等</w:t>
            </w:r>
          </w:p>
        </w:tc>
      </w:tr>
      <w:tr w14:paraId="51026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081" w:type="dxa"/>
            <w:vAlign w:val="center"/>
          </w:tcPr>
          <w:p w14:paraId="46349389">
            <w:pPr>
              <w:pStyle w:val="61"/>
              <w:jc w:val="center"/>
            </w:pPr>
            <w:r>
              <w:t>大肠杆菌</w:t>
            </w:r>
          </w:p>
        </w:tc>
        <w:tc>
          <w:tcPr>
            <w:tcW w:w="1143" w:type="dxa"/>
            <w:vMerge w:val="continue"/>
            <w:vAlign w:val="center"/>
          </w:tcPr>
          <w:p w14:paraId="684F09C8">
            <w:pPr>
              <w:pStyle w:val="61"/>
              <w:jc w:val="center"/>
            </w:pPr>
          </w:p>
        </w:tc>
        <w:tc>
          <w:tcPr>
            <w:tcW w:w="4212" w:type="dxa"/>
            <w:vAlign w:val="center"/>
          </w:tcPr>
          <w:p w14:paraId="42CE547B">
            <w:pPr>
              <w:pStyle w:val="60"/>
              <w:ind w:firstLine="420"/>
              <w:jc w:val="center"/>
            </w:pPr>
            <w:r>
              <w:t>多管发醉法和滤膜法（试行XHJ/T347）</w:t>
            </w:r>
          </w:p>
        </w:tc>
        <w:tc>
          <w:tcPr>
            <w:tcW w:w="2408" w:type="dxa"/>
            <w:vAlign w:val="center"/>
          </w:tcPr>
          <w:p w14:paraId="6B90DEFA">
            <w:pPr>
              <w:pStyle w:val="61"/>
              <w:jc w:val="center"/>
            </w:pPr>
            <w:r>
              <w:t>培养设备等</w:t>
            </w:r>
          </w:p>
        </w:tc>
      </w:tr>
      <w:tr w14:paraId="320B3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081" w:type="dxa"/>
            <w:vAlign w:val="center"/>
          </w:tcPr>
          <w:p w14:paraId="22B2E556">
            <w:pPr>
              <w:pStyle w:val="61"/>
              <w:jc w:val="center"/>
            </w:pPr>
            <w:r>
              <w:t>悬浮物</w:t>
            </w:r>
          </w:p>
        </w:tc>
        <w:tc>
          <w:tcPr>
            <w:tcW w:w="1143" w:type="dxa"/>
            <w:vMerge w:val="continue"/>
            <w:vAlign w:val="center"/>
          </w:tcPr>
          <w:p w14:paraId="23AFE4F2">
            <w:pPr>
              <w:pStyle w:val="61"/>
              <w:jc w:val="center"/>
            </w:pPr>
          </w:p>
        </w:tc>
        <w:tc>
          <w:tcPr>
            <w:tcW w:w="4212" w:type="dxa"/>
            <w:vAlign w:val="center"/>
          </w:tcPr>
          <w:p w14:paraId="5A41FA4B">
            <w:pPr>
              <w:pStyle w:val="60"/>
              <w:ind w:firstLine="420"/>
              <w:jc w:val="center"/>
            </w:pPr>
            <w:r>
              <w:t>重量法（GBT11901）</w:t>
            </w:r>
          </w:p>
        </w:tc>
        <w:tc>
          <w:tcPr>
            <w:tcW w:w="2408" w:type="dxa"/>
            <w:vAlign w:val="center"/>
          </w:tcPr>
          <w:p w14:paraId="6E30E348">
            <w:pPr>
              <w:pStyle w:val="61"/>
              <w:jc w:val="center"/>
            </w:pPr>
            <w:r>
              <w:t>过滤设备、天平等</w:t>
            </w:r>
          </w:p>
        </w:tc>
      </w:tr>
      <w:tr w14:paraId="0561F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1" w:type="dxa"/>
            <w:vAlign w:val="center"/>
          </w:tcPr>
          <w:p w14:paraId="6393AD94">
            <w:pPr>
              <w:pStyle w:val="61"/>
              <w:jc w:val="center"/>
            </w:pPr>
            <w:r>
              <w:t>有机物</w:t>
            </w:r>
          </w:p>
        </w:tc>
        <w:tc>
          <w:tcPr>
            <w:tcW w:w="1143" w:type="dxa"/>
            <w:vMerge w:val="continue"/>
            <w:vAlign w:val="center"/>
          </w:tcPr>
          <w:p w14:paraId="6F8F071D">
            <w:pPr>
              <w:pStyle w:val="61"/>
              <w:jc w:val="center"/>
            </w:pPr>
          </w:p>
        </w:tc>
        <w:tc>
          <w:tcPr>
            <w:tcW w:w="4212" w:type="dxa"/>
            <w:vAlign w:val="center"/>
          </w:tcPr>
          <w:p w14:paraId="1D0CAE23">
            <w:pPr>
              <w:pStyle w:val="60"/>
              <w:ind w:firstLine="0" w:firstLineChars="0"/>
              <w:jc w:val="center"/>
            </w:pPr>
            <w:r>
              <w:t>气相色谱-质谱法</w:t>
            </w:r>
          </w:p>
        </w:tc>
        <w:tc>
          <w:tcPr>
            <w:tcW w:w="2408" w:type="dxa"/>
            <w:vAlign w:val="center"/>
          </w:tcPr>
          <w:p w14:paraId="7470695B">
            <w:pPr>
              <w:pStyle w:val="61"/>
              <w:jc w:val="center"/>
            </w:pPr>
            <w:r>
              <w:t>气相色谱-质谱联用仪</w:t>
            </w:r>
          </w:p>
        </w:tc>
      </w:tr>
    </w:tbl>
    <w:p w14:paraId="501254A6">
      <w:pPr>
        <w:pStyle w:val="6"/>
      </w:pPr>
      <w:r>
        <w:t>3.5.4应急监测组分工</w:t>
      </w:r>
    </w:p>
    <w:p w14:paraId="688A9945">
      <w:pPr>
        <w:ind w:firstLine="480"/>
      </w:pPr>
      <w:r>
        <w:t>（1）组长：应急监测组总指挥，负责组织领导应急监测分队的工作，组织完成现场应急指挥部下达的应急监测任务。</w:t>
      </w:r>
    </w:p>
    <w:p w14:paraId="2D38F7C8">
      <w:pPr>
        <w:ind w:firstLine="480"/>
      </w:pPr>
      <w:r>
        <w:t>（2）副组长：分管仪器设备组工作、后勤保障组工作、分管化验分析组工作。协助队长做好应急监测现场指挥工作，分管现场监测组工作，并分管仪器设备组工作、后勤保障组工作。负责应急监测技术工作，分管质量保证组工作。</w:t>
      </w:r>
    </w:p>
    <w:p w14:paraId="5EE7F063">
      <w:pPr>
        <w:ind w:firstLine="480"/>
      </w:pPr>
      <w:r>
        <w:t>（3）现场调査组：负责应急监测现场调查、制定初步应急监测方案及提出现场处置建议。</w:t>
      </w:r>
    </w:p>
    <w:p w14:paraId="04CCA450">
      <w:pPr>
        <w:ind w:firstLine="480"/>
      </w:pPr>
      <w:r>
        <w:t>（4）现场监测组：负责对应急监测现场水质和土壤进行釆样。</w:t>
      </w:r>
    </w:p>
    <w:p w14:paraId="77BAD5DA">
      <w:pPr>
        <w:ind w:firstLine="480"/>
      </w:pPr>
      <w:r>
        <w:t>（5）化验分析组：负责应急监测现场采回的空气、水质和土壤样品进行化验分析。</w:t>
      </w:r>
    </w:p>
    <w:p w14:paraId="1E1E8281">
      <w:pPr>
        <w:ind w:firstLine="480"/>
      </w:pPr>
      <w:r>
        <w:t>（6）质量保证组：负责应急监测的质量保证工作和应急监测方案审核、应急监测报告审定。</w:t>
      </w:r>
    </w:p>
    <w:p w14:paraId="3E6C8B7C">
      <w:pPr>
        <w:ind w:firstLine="480"/>
      </w:pPr>
      <w:r>
        <w:t>（7）仪器设备组：负责应急监测现场电力系统和气象系统安装架设、仪器设备、通信照明器材保障工作。</w:t>
      </w:r>
    </w:p>
    <w:p w14:paraId="20F3255E">
      <w:pPr>
        <w:ind w:firstLine="480"/>
      </w:pPr>
      <w:r>
        <w:t>（8）后勤保障组：负责车辆后勤保障、药品后勤保障、现场救助、摄影和录像、 协助安装架设电力系统和气象系统等工作。</w:t>
      </w:r>
    </w:p>
    <w:p w14:paraId="5527964B">
      <w:pPr>
        <w:ind w:firstLine="480"/>
      </w:pPr>
      <w:r>
        <w:t>应急监测组分工图见图3-</w:t>
      </w:r>
      <w:r>
        <w:rPr>
          <w:rFonts w:hint="eastAsia"/>
        </w:rPr>
        <w:t>3</w:t>
      </w:r>
      <w:r>
        <w:t>。</w:t>
      </w:r>
    </w:p>
    <w:p w14:paraId="22B0030B">
      <w:r>
        <w:object>
          <v:shape id="_x0000_i1028" o:spt="75" type="#_x0000_t75" style="height:128.55pt;width:414.85pt;" o:ole="t" filled="f" o:preferrelative="t" stroked="f" coordsize="21600,21600">
            <v:path/>
            <v:fill on="f" focussize="0,0"/>
            <v:stroke on="f" joinstyle="miter"/>
            <v:imagedata r:id="rId33" o:title=""/>
            <o:lock v:ext="edit" aspectratio="t"/>
            <w10:wrap type="none"/>
            <w10:anchorlock/>
          </v:shape>
          <o:OLEObject Type="Embed" ProgID="Visio.Drawing.15" ShapeID="_x0000_i1028" DrawAspect="Content" ObjectID="_1468075728" r:id="rId32">
            <o:LockedField>false</o:LockedField>
          </o:OLEObject>
        </w:object>
      </w:r>
    </w:p>
    <w:p w14:paraId="3EB566E8">
      <w:pPr>
        <w:pStyle w:val="70"/>
        <w:rPr>
          <w:rFonts w:eastAsia="宋体"/>
          <w:sz w:val="21"/>
          <w:szCs w:val="21"/>
        </w:rPr>
      </w:pPr>
      <w:r>
        <w:rPr>
          <w:rFonts w:eastAsia="宋体"/>
          <w:sz w:val="21"/>
          <w:szCs w:val="21"/>
        </w:rPr>
        <w:t>图3-</w:t>
      </w:r>
      <w:r>
        <w:rPr>
          <w:rFonts w:hint="eastAsia" w:eastAsia="宋体"/>
          <w:sz w:val="21"/>
          <w:szCs w:val="21"/>
        </w:rPr>
        <w:t>3</w:t>
      </w:r>
      <w:r>
        <w:rPr>
          <w:rFonts w:eastAsia="宋体"/>
          <w:sz w:val="21"/>
          <w:szCs w:val="21"/>
        </w:rPr>
        <w:t xml:space="preserve"> 应急监测分工图</w:t>
      </w:r>
    </w:p>
    <w:p w14:paraId="2B9F2442">
      <w:pPr>
        <w:pStyle w:val="58"/>
      </w:pPr>
      <w:r>
        <w:rPr>
          <w:bCs/>
        </w:rPr>
        <w:t xml:space="preserve">3.5.5 </w:t>
      </w:r>
      <w:r>
        <w:t>应急人员安全防护</w:t>
      </w:r>
    </w:p>
    <w:p w14:paraId="1F6440C7">
      <w:pPr>
        <w:ind w:firstLine="480"/>
      </w:pPr>
      <w:r>
        <w:t>现场处置人员应根据不同类型环境事件的特点，配备相应的专业防护装备，采取安全防护措施。严格执行应急人员出入事发现场程序。</w:t>
      </w:r>
    </w:p>
    <w:p w14:paraId="730FC2B7">
      <w:pPr>
        <w:ind w:firstLine="480"/>
      </w:pPr>
      <w:r>
        <w:t>（1）根据国家有关规定和突发环境事件级别要求对突发环境事件和处置现场进行保护。</w:t>
      </w:r>
    </w:p>
    <w:p w14:paraId="6E40675C">
      <w:pPr>
        <w:ind w:firstLine="480"/>
      </w:pPr>
      <w:r>
        <w:t>（2）按照卫生部门要求对突发环境事件现场暴露的工作人员、应急行动人员进行清洁。</w:t>
      </w:r>
    </w:p>
    <w:p w14:paraId="50C34C08">
      <w:pPr>
        <w:ind w:firstLine="480"/>
      </w:pPr>
      <w:r>
        <w:t>（3）对所有设备按疾病预防要求进行清洁净化。</w:t>
      </w:r>
    </w:p>
    <w:p w14:paraId="5560E7AA">
      <w:pPr>
        <w:ind w:firstLine="480" w:firstLineChars="200"/>
      </w:pPr>
      <w:r>
        <w:t>（4）人员和设备必须经过清洁预洗、消毒和干燥步骤。</w:t>
      </w:r>
    </w:p>
    <w:p w14:paraId="5B6C2D32">
      <w:pPr>
        <w:pStyle w:val="6"/>
      </w:pPr>
      <w:r>
        <w:t>3.5.6受威胁群众安全防护</w:t>
      </w:r>
    </w:p>
    <w:p w14:paraId="53F91F22">
      <w:pPr>
        <w:ind w:firstLine="480"/>
      </w:pPr>
      <w:r>
        <w:t>水源地保护区突发环境事件事发地人民政府和受事件影响行政区人民政府负责受威胁群从的安全防护工作，告知群众应采取的安全防护措施。</w:t>
      </w:r>
    </w:p>
    <w:p w14:paraId="3B6C8ED5">
      <w:pPr>
        <w:pStyle w:val="5"/>
      </w:pPr>
      <w:bookmarkStart w:id="139" w:name="_Toc3999"/>
      <w:bookmarkStart w:id="140" w:name="_Toc31145"/>
      <w:r>
        <w:t>3.6污染源排查与处置</w:t>
      </w:r>
      <w:bookmarkEnd w:id="139"/>
      <w:bookmarkEnd w:id="140"/>
    </w:p>
    <w:p w14:paraId="62F4C796">
      <w:pPr>
        <w:pStyle w:val="6"/>
      </w:pPr>
      <w:r>
        <w:t>3.6.1明确排查对象</w:t>
      </w:r>
    </w:p>
    <w:p w14:paraId="662A8FF9">
      <w:pPr>
        <w:ind w:firstLine="480" w:firstLineChars="200"/>
      </w:pPr>
      <w:r>
        <w:t>责任单位：</w:t>
      </w:r>
      <w:r>
        <w:rPr>
          <w:rFonts w:hint="eastAsia"/>
        </w:rPr>
        <w:t>县政府办、县应急管理局、市生态环境局绥宁分局</w:t>
      </w:r>
      <w:r>
        <w:t>、</w:t>
      </w:r>
      <w:r>
        <w:rPr>
          <w:rFonts w:hint="eastAsia"/>
        </w:rPr>
        <w:t>县卫健局</w:t>
      </w:r>
      <w:r>
        <w:t>、县农业</w:t>
      </w:r>
      <w:r>
        <w:rPr>
          <w:rFonts w:hint="eastAsia"/>
        </w:rPr>
        <w:t>农村</w:t>
      </w:r>
      <w:r>
        <w:t xml:space="preserve">水利局、县公安局、县住房城乡建设局。 </w:t>
      </w:r>
    </w:p>
    <w:p w14:paraId="3B393A23">
      <w:pPr>
        <w:ind w:firstLine="480" w:firstLineChars="200"/>
        <w:rPr>
          <w:shd w:val="clear" w:color="auto" w:fill="FFFFFF"/>
        </w:rPr>
      </w:pPr>
      <w:r>
        <w:rPr>
          <w:shd w:val="clear" w:color="auto" w:fill="FFFFFF"/>
        </w:rPr>
        <w:t>当水质监测发现异常、污染物来源不确定时，应急组织指挥部立即成立调查组，根据特征污染物种类、浓度变化、释放总量、释放路径、释放时间，以及当时的水文和气象条件，迅速组织开展污染源排查。</w:t>
      </w:r>
    </w:p>
    <w:p w14:paraId="34EBC31B">
      <w:pPr>
        <w:ind w:firstLine="480" w:firstLineChars="200"/>
      </w:pPr>
      <w:r>
        <w:t xml:space="preserve">针对不同类型污染物的排查重点和对象如下。 </w:t>
      </w:r>
    </w:p>
    <w:p w14:paraId="1648D418">
      <w:pPr>
        <w:ind w:firstLine="480" w:firstLineChars="200"/>
      </w:pPr>
      <w:r>
        <w:t xml:space="preserve">（1）有机类污染：溯源的重点排查对象为城镇生活污水处理厂、大型工业企业，调查污水处理设施运行、尾水排放的异常状况。 </w:t>
      </w:r>
    </w:p>
    <w:p w14:paraId="76ACDDCF">
      <w:pPr>
        <w:ind w:firstLine="480" w:firstLineChars="200"/>
      </w:pPr>
      <w:r>
        <w:t xml:space="preserve">（2）营养盐类污染：溯源的重点排查对象为城镇生活污水处理厂、畜禽养殖场/户、农田种植户、农村居民点、医疗场所等，调查污水处理设施运行、养殖废物处理处置、农药化肥施用、农村生活污染、医疗废水处理及消毒设施的异常状况。 </w:t>
      </w:r>
    </w:p>
    <w:p w14:paraId="448F0D70">
      <w:pPr>
        <w:ind w:firstLine="480" w:firstLineChars="200"/>
      </w:pPr>
      <w:r>
        <w:t xml:space="preserve">（3）细菌类污染：溯源的重点排查对象为城镇生活污水处理厂、畜禽养殖场/户、农村居民点，调查污水处理设施运行、养殖废物处理处置、农村生活污染的异常状况。 </w:t>
      </w:r>
    </w:p>
    <w:p w14:paraId="7D63D534">
      <w:pPr>
        <w:ind w:firstLine="480" w:firstLineChars="200"/>
      </w:pPr>
      <w:r>
        <w:t xml:space="preserve">（4）农药类污染：溯源的重点排查对象为果园种植园/户、农灌尾水排放口，调查农药施用和流失的异常状况。 </w:t>
      </w:r>
    </w:p>
    <w:p w14:paraId="1D2BBAF5">
      <w:pPr>
        <w:ind w:firstLine="480" w:firstLineChars="200"/>
      </w:pPr>
      <w:r>
        <w:t xml:space="preserve">（5）石油类污染：溯源的重点排查对象为涉及道路交通运输的加油站、运输车辆，调查上述石油类物质运输或储存设施的异常状况。 </w:t>
      </w:r>
    </w:p>
    <w:p w14:paraId="742110AF">
      <w:pPr>
        <w:ind w:firstLine="480" w:firstLineChars="200"/>
      </w:pPr>
      <w:r>
        <w:t xml:space="preserve">（6）重金属及其它有毒有害物质污染：溯源的重点排查对象为大型工业企业（含化工园区）、尾矿库、危险废物储存单位、危险品仓库等，调查上述单位的异常状况。 </w:t>
      </w:r>
    </w:p>
    <w:p w14:paraId="16A14F7F">
      <w:pPr>
        <w:pStyle w:val="6"/>
      </w:pPr>
      <w:r>
        <w:t>3.6.2切断污染源</w:t>
      </w:r>
    </w:p>
    <w:p w14:paraId="51196C07">
      <w:pPr>
        <w:ind w:firstLine="480" w:firstLineChars="200"/>
      </w:pPr>
      <w:r>
        <w:t>责任部门：</w:t>
      </w:r>
      <w:r>
        <w:rPr>
          <w:rFonts w:hint="eastAsia"/>
        </w:rPr>
        <w:t>县应急管理局、</w:t>
      </w:r>
      <w:r>
        <w:t xml:space="preserve">应急处置组、应急物资保障组 </w:t>
      </w:r>
    </w:p>
    <w:p w14:paraId="09D2A4FA">
      <w:pPr>
        <w:ind w:firstLine="480" w:firstLineChars="200"/>
      </w:pPr>
      <w:r>
        <w:t xml:space="preserve">处置措施主要为消除污染源，收集和围堵污染物等措施，包括但不限于以下内容。 </w:t>
      </w:r>
    </w:p>
    <w:p w14:paraId="4C289469">
      <w:pPr>
        <w:ind w:firstLine="480" w:firstLineChars="200"/>
      </w:pPr>
      <w:r>
        <w:t xml:space="preserve">（1）切断固定源和流动源。 </w:t>
      </w:r>
    </w:p>
    <w:p w14:paraId="06C54CC4">
      <w:pPr>
        <w:ind w:firstLine="480" w:firstLineChars="200"/>
      </w:pPr>
      <w:r>
        <w:t xml:space="preserve">对于发生非正常排污或有毒有害物质泄漏的固定源突发环境事件，尽快查找污染源或泄漏源，通过关闭、封堵、收集、转移等措施，切断污染源或泄漏源。 </w:t>
      </w:r>
    </w:p>
    <w:p w14:paraId="2EED9339">
      <w:pPr>
        <w:ind w:firstLine="480" w:firstLineChars="200"/>
      </w:pPr>
      <w:r>
        <w:t xml:space="preserve">对于道路交通运输过程中发生的流动源突发事件，可启动路面系统中建设的导流槽、应急池，或通过紧急设置围堰、闸坝等对污染物进行封堵和收集。  </w:t>
      </w:r>
    </w:p>
    <w:p w14:paraId="7C2EF3FD">
      <w:pPr>
        <w:ind w:firstLine="480" w:firstLineChars="200"/>
      </w:pPr>
      <w:r>
        <w:t xml:space="preserve">（2）启动应急收集系统，集中收集陆域污染物，设立拦截设施，防止污染物在陆域蔓延，组织相关部门对污染物进行回收处置等。 </w:t>
      </w:r>
    </w:p>
    <w:p w14:paraId="261ACE30">
      <w:pPr>
        <w:ind w:firstLine="480" w:firstLineChars="200"/>
      </w:pPr>
      <w:r>
        <w:t xml:space="preserve">（3）根据现场事故发展情况对扩散至水体的污染物进行处置。 </w:t>
      </w:r>
    </w:p>
    <w:p w14:paraId="7E6B27C6">
      <w:pPr>
        <w:pStyle w:val="5"/>
      </w:pPr>
      <w:bookmarkStart w:id="141" w:name="_Toc31547"/>
      <w:bookmarkStart w:id="142" w:name="_Toc14886"/>
      <w:r>
        <w:t>3.7应急处置</w:t>
      </w:r>
      <w:bookmarkEnd w:id="141"/>
      <w:bookmarkEnd w:id="142"/>
    </w:p>
    <w:p w14:paraId="03F15EB9">
      <w:pPr>
        <w:pStyle w:val="6"/>
      </w:pPr>
      <w:r>
        <w:t>3.7.1制定现场处置方案</w:t>
      </w:r>
    </w:p>
    <w:p w14:paraId="2E532FA2">
      <w:pPr>
        <w:ind w:firstLine="480"/>
      </w:pPr>
      <w:r>
        <w:t>责任部门：</w:t>
      </w:r>
      <w:r>
        <w:rPr>
          <w:rFonts w:hint="eastAsia"/>
        </w:rPr>
        <w:t>县应急管理局、</w:t>
      </w:r>
      <w:r>
        <w:t>应急处置组、应急专家组</w:t>
      </w:r>
    </w:p>
    <w:p w14:paraId="1BC02686">
      <w:pPr>
        <w:ind w:firstLine="480"/>
      </w:pPr>
      <w:r>
        <w:t>现场处置方案主要包括以下内容：应急监测、污染处置措施、物资调集、应急队伍和人员安排、供水单位应对等。</w:t>
      </w:r>
    </w:p>
    <w:p w14:paraId="77F094E8">
      <w:pPr>
        <w:ind w:firstLine="480"/>
      </w:pPr>
      <w:r>
        <w:t>根据污染特征，水源地保护区突发环境事件的污染处置措施如下。</w:t>
      </w:r>
    </w:p>
    <w:p w14:paraId="1D1BBB7E">
      <w:pPr>
        <w:ind w:firstLine="480"/>
      </w:pPr>
      <w:r>
        <w:t xml:space="preserve">（1）污染源清理 </w:t>
      </w:r>
    </w:p>
    <w:p w14:paraId="629176F9">
      <w:pPr>
        <w:ind w:firstLine="480"/>
      </w:pPr>
      <w:r>
        <w:t>污染源清理主要有人工处理法和化学处理法。</w:t>
      </w:r>
    </w:p>
    <w:p w14:paraId="6ADED172">
      <w:pPr>
        <w:ind w:firstLine="480"/>
      </w:pPr>
      <w:r>
        <w:t xml:space="preserve">1）人工处理法 </w:t>
      </w:r>
    </w:p>
    <w:p w14:paraId="271D6423">
      <w:pPr>
        <w:ind w:firstLine="480"/>
      </w:pPr>
      <w:r>
        <w:t xml:space="preserve">人工处理法主要是针对石油类和包装未破损的有毒有害物质，在事故发生后应将污染物立即清理打捞出水或进行拦污隔离等，必要时可采用修筑导流坝、围堰等工程措施来防止污染物向外扩散，以利于更方便的收集污染物。对于石油类污染，还可以采用围油栏、撇油器等工具收集泄露的油类或油类制品。 </w:t>
      </w:r>
    </w:p>
    <w:p w14:paraId="7A30C497">
      <w:pPr>
        <w:ind w:firstLine="480"/>
      </w:pPr>
      <w:r>
        <w:t xml:space="preserve">对于一般饮用水源地突发性污染事故，如果上游有大量水体，可以采取上游加大排水量、加大流量等方法来快速稀释污染。 </w:t>
      </w:r>
    </w:p>
    <w:p w14:paraId="7F9C4491">
      <w:pPr>
        <w:ind w:firstLine="480"/>
      </w:pPr>
      <w:r>
        <w:t xml:space="preserve">2）化学处理法 </w:t>
      </w:r>
    </w:p>
    <w:p w14:paraId="6843F5B2">
      <w:pPr>
        <w:ind w:firstLine="480"/>
      </w:pPr>
      <w:r>
        <w:t xml:space="preserve">化学处理法是在污染区域抛洒化学药剂以减轻和净化污染流域的方法。常见的方法有利用酸性物质来中和碱性污染物、用碱性物质来中和酸性污染物、利用絮凝剂、分散剂、消油剂等加速污染物质沉降、分解等。 </w:t>
      </w:r>
    </w:p>
    <w:p w14:paraId="598719DC">
      <w:pPr>
        <w:ind w:firstLine="480"/>
      </w:pPr>
      <w:r>
        <w:t>下面为几种常见污染物的化学处理方法。</w:t>
      </w:r>
    </w:p>
    <w:p w14:paraId="06DBB791">
      <w:pPr>
        <w:ind w:firstLine="480"/>
      </w:pPr>
      <w:r>
        <w:t xml:space="preserve">a、石油类污染 </w:t>
      </w:r>
    </w:p>
    <w:p w14:paraId="6B4B1631">
      <w:pPr>
        <w:ind w:firstLine="480"/>
      </w:pPr>
      <w:r>
        <w:t>在发生石油类突发性污染事故后，常用的化学处理方法主要为吸附剂法，该方法具有处理迅速、效率高、材料易取得等特点，因而在实际中应用较多。 吸附剂法是利用多孔性固体物质如活性炭等吸附去除水中的油类，常用的吸附剂密度均低于水的密度，因此利用吸附剂吸附水体中石油类污染物后可采用机械方式回收，回收的吸附剂经脱油后还可以重复使用，常用的吸附剂有活性炭、天然有机吸附剂、天然无机吸附剂、合成吸附剂等。</w:t>
      </w:r>
    </w:p>
    <w:p w14:paraId="10F7250F">
      <w:pPr>
        <w:ind w:firstLine="480"/>
      </w:pPr>
      <w:r>
        <w:t xml:space="preserve">b、有毒有害化学品污染 </w:t>
      </w:r>
    </w:p>
    <w:p w14:paraId="6D57F63A">
      <w:pPr>
        <w:ind w:firstLine="480"/>
      </w:pPr>
      <w:r>
        <w:t>对常见的有毒有害化学品应及时转移、打捞、清理未破损的污染物质，对受污染水体的常见应急处理方法如表3-</w:t>
      </w:r>
      <w:r>
        <w:rPr>
          <w:rFonts w:hint="eastAsia"/>
        </w:rPr>
        <w:t>5</w:t>
      </w:r>
      <w:r>
        <w:t>所示。</w:t>
      </w:r>
    </w:p>
    <w:p w14:paraId="6418DE33">
      <w:pPr>
        <w:pStyle w:val="70"/>
        <w:rPr>
          <w:rFonts w:eastAsia="宋体"/>
        </w:rPr>
      </w:pPr>
      <w:r>
        <w:rPr>
          <w:rFonts w:eastAsia="宋体"/>
          <w:sz w:val="21"/>
          <w:szCs w:val="21"/>
        </w:rPr>
        <w:t>表3-</w:t>
      </w:r>
      <w:r>
        <w:rPr>
          <w:rFonts w:hint="eastAsia" w:eastAsia="宋体"/>
          <w:sz w:val="21"/>
          <w:szCs w:val="21"/>
        </w:rPr>
        <w:t>5</w:t>
      </w:r>
      <w:r>
        <w:rPr>
          <w:rFonts w:eastAsia="宋体"/>
          <w:sz w:val="21"/>
          <w:szCs w:val="21"/>
        </w:rPr>
        <w:t xml:space="preserve"> 部分有毒有害物质应急处理方法</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18"/>
        <w:gridCol w:w="6174"/>
      </w:tblGrid>
      <w:tr w14:paraId="5D872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04" w:type="dxa"/>
            <w:noWrap w:val="0"/>
            <w:vAlign w:val="center"/>
          </w:tcPr>
          <w:p w14:paraId="2F93A21B">
            <w:pPr>
              <w:widowControl w:val="0"/>
              <w:spacing w:line="240" w:lineRule="auto"/>
              <w:ind w:firstLine="0" w:firstLineChars="0"/>
              <w:jc w:val="center"/>
              <w:rPr>
                <w:rFonts w:ascii="Times New Roman" w:hAnsi="Times New Roman" w:eastAsia="宋体" w:cs="Times New Roman"/>
                <w:b/>
                <w:color w:val="auto"/>
                <w:kern w:val="2"/>
                <w:sz w:val="21"/>
                <w:szCs w:val="24"/>
                <w:u w:val="none"/>
                <w:lang w:val="en-US" w:eastAsia="zh-CN" w:bidi="ar-SA"/>
              </w:rPr>
            </w:pPr>
            <w:r>
              <w:rPr>
                <w:rFonts w:ascii="Times New Roman" w:hAnsi="Times New Roman" w:eastAsia="宋体" w:cs="Times New Roman"/>
                <w:b/>
                <w:color w:val="auto"/>
                <w:kern w:val="2"/>
                <w:sz w:val="21"/>
                <w:szCs w:val="24"/>
                <w:u w:val="none"/>
                <w:lang w:val="en-US" w:eastAsia="zh-CN" w:bidi="ar-SA"/>
              </w:rPr>
              <w:t>序号</w:t>
            </w:r>
          </w:p>
        </w:tc>
        <w:tc>
          <w:tcPr>
            <w:tcW w:w="1418" w:type="dxa"/>
            <w:noWrap w:val="0"/>
            <w:vAlign w:val="center"/>
          </w:tcPr>
          <w:p w14:paraId="0BBA2393">
            <w:pPr>
              <w:widowControl w:val="0"/>
              <w:spacing w:line="240" w:lineRule="auto"/>
              <w:ind w:firstLine="0" w:firstLineChars="0"/>
              <w:jc w:val="center"/>
              <w:rPr>
                <w:rFonts w:ascii="Times New Roman" w:hAnsi="Times New Roman" w:eastAsia="宋体" w:cs="Times New Roman"/>
                <w:b/>
                <w:color w:val="auto"/>
                <w:kern w:val="2"/>
                <w:sz w:val="21"/>
                <w:szCs w:val="24"/>
                <w:u w:val="none"/>
                <w:lang w:val="en-US" w:eastAsia="zh-CN" w:bidi="ar-SA"/>
              </w:rPr>
            </w:pPr>
            <w:r>
              <w:rPr>
                <w:rFonts w:ascii="Times New Roman" w:hAnsi="Times New Roman" w:eastAsia="宋体" w:cs="Times New Roman"/>
                <w:b/>
                <w:color w:val="auto"/>
                <w:kern w:val="2"/>
                <w:sz w:val="21"/>
                <w:szCs w:val="24"/>
                <w:u w:val="none"/>
                <w:lang w:val="en-US" w:eastAsia="zh-CN" w:bidi="ar-SA"/>
              </w:rPr>
              <w:t>污染物</w:t>
            </w:r>
          </w:p>
        </w:tc>
        <w:tc>
          <w:tcPr>
            <w:tcW w:w="6174" w:type="dxa"/>
            <w:noWrap w:val="0"/>
            <w:vAlign w:val="top"/>
          </w:tcPr>
          <w:p w14:paraId="574329B6">
            <w:pPr>
              <w:widowControl w:val="0"/>
              <w:spacing w:line="240" w:lineRule="auto"/>
              <w:ind w:firstLine="0" w:firstLineChars="0"/>
              <w:jc w:val="center"/>
              <w:rPr>
                <w:rFonts w:ascii="Times New Roman" w:hAnsi="Times New Roman" w:eastAsia="宋体" w:cs="Times New Roman"/>
                <w:b/>
                <w:color w:val="auto"/>
                <w:kern w:val="2"/>
                <w:sz w:val="21"/>
                <w:szCs w:val="24"/>
                <w:u w:val="none"/>
                <w:lang w:val="en-US" w:eastAsia="zh-CN" w:bidi="ar-SA"/>
              </w:rPr>
            </w:pPr>
            <w:r>
              <w:rPr>
                <w:rFonts w:ascii="Times New Roman" w:hAnsi="Times New Roman" w:eastAsia="宋体" w:cs="Times New Roman"/>
                <w:b/>
                <w:color w:val="auto"/>
                <w:kern w:val="2"/>
                <w:sz w:val="21"/>
                <w:szCs w:val="24"/>
                <w:u w:val="none"/>
                <w:lang w:val="en-US" w:eastAsia="zh-CN" w:bidi="ar-SA"/>
              </w:rPr>
              <w:t>处理方法</w:t>
            </w:r>
          </w:p>
        </w:tc>
      </w:tr>
      <w:tr w14:paraId="6F686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704" w:type="dxa"/>
            <w:noWrap w:val="0"/>
            <w:vAlign w:val="center"/>
          </w:tcPr>
          <w:p w14:paraId="2DDF3D8C">
            <w:pPr>
              <w:widowControl w:val="0"/>
              <w:spacing w:line="240" w:lineRule="auto"/>
              <w:ind w:firstLine="0" w:firstLineChars="0"/>
              <w:jc w:val="center"/>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1</w:t>
            </w:r>
          </w:p>
        </w:tc>
        <w:tc>
          <w:tcPr>
            <w:tcW w:w="1418" w:type="dxa"/>
            <w:noWrap w:val="0"/>
            <w:vAlign w:val="center"/>
          </w:tcPr>
          <w:p w14:paraId="600337AD">
            <w:pPr>
              <w:widowControl w:val="0"/>
              <w:spacing w:line="240" w:lineRule="auto"/>
              <w:ind w:firstLine="0" w:firstLineChars="0"/>
              <w:jc w:val="center"/>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氰化物</w:t>
            </w:r>
          </w:p>
        </w:tc>
        <w:tc>
          <w:tcPr>
            <w:tcW w:w="6174" w:type="dxa"/>
            <w:noWrap w:val="0"/>
            <w:vAlign w:val="top"/>
          </w:tcPr>
          <w:p w14:paraId="62A8A774">
            <w:pPr>
              <w:widowControl w:val="0"/>
              <w:spacing w:line="240" w:lineRule="auto"/>
              <w:ind w:firstLine="420" w:firstLineChars="200"/>
              <w:jc w:val="left"/>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投加漂白粉、次氯酸钠处理；自来水厂使用反渗透装置处理</w:t>
            </w:r>
          </w:p>
        </w:tc>
      </w:tr>
      <w:tr w14:paraId="58438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704" w:type="dxa"/>
            <w:noWrap w:val="0"/>
            <w:vAlign w:val="center"/>
          </w:tcPr>
          <w:p w14:paraId="496271D7">
            <w:pPr>
              <w:widowControl w:val="0"/>
              <w:spacing w:line="240" w:lineRule="auto"/>
              <w:ind w:firstLine="0" w:firstLineChars="0"/>
              <w:jc w:val="center"/>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2</w:t>
            </w:r>
          </w:p>
        </w:tc>
        <w:tc>
          <w:tcPr>
            <w:tcW w:w="1418" w:type="dxa"/>
            <w:noWrap w:val="0"/>
            <w:vAlign w:val="center"/>
          </w:tcPr>
          <w:p w14:paraId="7C54A8F4">
            <w:pPr>
              <w:widowControl w:val="0"/>
              <w:spacing w:line="240" w:lineRule="auto"/>
              <w:ind w:firstLine="0" w:firstLineChars="0"/>
              <w:jc w:val="center"/>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有机磷农药</w:t>
            </w:r>
          </w:p>
        </w:tc>
        <w:tc>
          <w:tcPr>
            <w:tcW w:w="6174" w:type="dxa"/>
            <w:noWrap w:val="0"/>
            <w:vAlign w:val="top"/>
          </w:tcPr>
          <w:p w14:paraId="5BA45D97">
            <w:pPr>
              <w:widowControl w:val="0"/>
              <w:spacing w:line="240" w:lineRule="auto"/>
              <w:ind w:firstLine="420" w:firstLineChars="200"/>
              <w:jc w:val="left"/>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微生物降解技术</w:t>
            </w:r>
          </w:p>
        </w:tc>
      </w:tr>
      <w:tr w14:paraId="092A0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4" w:type="dxa"/>
            <w:noWrap w:val="0"/>
            <w:vAlign w:val="center"/>
          </w:tcPr>
          <w:p w14:paraId="4F8BA4D1">
            <w:pPr>
              <w:widowControl w:val="0"/>
              <w:spacing w:line="240" w:lineRule="auto"/>
              <w:ind w:firstLine="0" w:firstLineChars="0"/>
              <w:jc w:val="center"/>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3</w:t>
            </w:r>
          </w:p>
        </w:tc>
        <w:tc>
          <w:tcPr>
            <w:tcW w:w="1418" w:type="dxa"/>
            <w:noWrap w:val="0"/>
            <w:vAlign w:val="center"/>
          </w:tcPr>
          <w:p w14:paraId="200F3ACE">
            <w:pPr>
              <w:widowControl w:val="0"/>
              <w:spacing w:line="240" w:lineRule="auto"/>
              <w:ind w:firstLine="0" w:firstLineChars="0"/>
              <w:jc w:val="center"/>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苯类物质</w:t>
            </w:r>
          </w:p>
        </w:tc>
        <w:tc>
          <w:tcPr>
            <w:tcW w:w="6174" w:type="dxa"/>
            <w:noWrap w:val="0"/>
            <w:vAlign w:val="top"/>
          </w:tcPr>
          <w:p w14:paraId="229C2809">
            <w:pPr>
              <w:widowControl w:val="0"/>
              <w:spacing w:line="240" w:lineRule="auto"/>
              <w:ind w:firstLine="420" w:firstLineChars="200"/>
              <w:jc w:val="left"/>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少量泄漏时，投加粉末活性炭等吸附剂；大量泄漏时，构筑围堤、用泡沫覆盖以降低蒸汽危害并投加吸附剂</w:t>
            </w:r>
          </w:p>
        </w:tc>
      </w:tr>
      <w:tr w14:paraId="3C81F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3C76CA90">
            <w:pPr>
              <w:widowControl w:val="0"/>
              <w:spacing w:line="240" w:lineRule="auto"/>
              <w:ind w:firstLine="0" w:firstLineChars="0"/>
              <w:jc w:val="center"/>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4</w:t>
            </w:r>
          </w:p>
        </w:tc>
        <w:tc>
          <w:tcPr>
            <w:tcW w:w="1418" w:type="dxa"/>
            <w:noWrap w:val="0"/>
            <w:vAlign w:val="center"/>
          </w:tcPr>
          <w:p w14:paraId="0C5C6CCB">
            <w:pPr>
              <w:widowControl w:val="0"/>
              <w:spacing w:line="240" w:lineRule="auto"/>
              <w:ind w:firstLine="0" w:firstLineChars="0"/>
              <w:jc w:val="center"/>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甲醛</w:t>
            </w:r>
          </w:p>
        </w:tc>
        <w:tc>
          <w:tcPr>
            <w:tcW w:w="6174" w:type="dxa"/>
            <w:noWrap w:val="0"/>
            <w:vAlign w:val="top"/>
          </w:tcPr>
          <w:p w14:paraId="5335846F">
            <w:pPr>
              <w:widowControl w:val="0"/>
              <w:spacing w:line="240" w:lineRule="auto"/>
              <w:ind w:firstLine="420" w:firstLineChars="200"/>
              <w:jc w:val="left"/>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向水体中投加粉末活性炭等吸附剂</w:t>
            </w:r>
          </w:p>
        </w:tc>
      </w:tr>
      <w:tr w14:paraId="7D7B3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4" w:type="dxa"/>
            <w:noWrap w:val="0"/>
            <w:vAlign w:val="center"/>
          </w:tcPr>
          <w:p w14:paraId="68E91B4A">
            <w:pPr>
              <w:widowControl w:val="0"/>
              <w:spacing w:line="240" w:lineRule="auto"/>
              <w:ind w:firstLine="0" w:firstLineChars="0"/>
              <w:jc w:val="center"/>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5</w:t>
            </w:r>
          </w:p>
        </w:tc>
        <w:tc>
          <w:tcPr>
            <w:tcW w:w="1418" w:type="dxa"/>
            <w:noWrap w:val="0"/>
            <w:vAlign w:val="center"/>
          </w:tcPr>
          <w:p w14:paraId="5B9EA5D1">
            <w:pPr>
              <w:widowControl w:val="0"/>
              <w:spacing w:line="240" w:lineRule="auto"/>
              <w:ind w:firstLine="0" w:firstLineChars="0"/>
              <w:jc w:val="center"/>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三氯甲烷</w:t>
            </w:r>
          </w:p>
        </w:tc>
        <w:tc>
          <w:tcPr>
            <w:tcW w:w="6174" w:type="dxa"/>
            <w:noWrap w:val="0"/>
            <w:vAlign w:val="top"/>
          </w:tcPr>
          <w:p w14:paraId="6C3FB828">
            <w:pPr>
              <w:widowControl w:val="0"/>
              <w:spacing w:line="240" w:lineRule="auto"/>
              <w:ind w:firstLine="420" w:firstLineChars="200"/>
              <w:jc w:val="left"/>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向水体中投加粉末活性炭等吸附剂</w:t>
            </w:r>
          </w:p>
        </w:tc>
      </w:tr>
      <w:tr w14:paraId="155BDA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445F31AC">
            <w:pPr>
              <w:widowControl w:val="0"/>
              <w:spacing w:line="240" w:lineRule="auto"/>
              <w:ind w:firstLine="0" w:firstLineChars="0"/>
              <w:jc w:val="center"/>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6</w:t>
            </w:r>
          </w:p>
        </w:tc>
        <w:tc>
          <w:tcPr>
            <w:tcW w:w="1418" w:type="dxa"/>
            <w:noWrap w:val="0"/>
            <w:vAlign w:val="center"/>
          </w:tcPr>
          <w:p w14:paraId="25084B59">
            <w:pPr>
              <w:widowControl w:val="0"/>
              <w:spacing w:line="240" w:lineRule="auto"/>
              <w:ind w:firstLine="0" w:firstLineChars="0"/>
              <w:jc w:val="center"/>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重金属</w:t>
            </w:r>
          </w:p>
        </w:tc>
        <w:tc>
          <w:tcPr>
            <w:tcW w:w="6174" w:type="dxa"/>
            <w:noWrap w:val="0"/>
            <w:vAlign w:val="top"/>
          </w:tcPr>
          <w:p w14:paraId="79A0882D">
            <w:pPr>
              <w:widowControl w:val="0"/>
              <w:spacing w:line="240" w:lineRule="auto"/>
              <w:ind w:firstLine="420" w:firstLineChars="200"/>
              <w:jc w:val="left"/>
              <w:rPr>
                <w:rFonts w:ascii="Times New Roman" w:hAnsi="Times New Roman" w:eastAsia="宋体" w:cs="Times New Roman"/>
                <w:color w:val="auto"/>
                <w:kern w:val="2"/>
                <w:sz w:val="21"/>
                <w:szCs w:val="24"/>
                <w:u w:val="none"/>
                <w:lang w:val="en-US" w:eastAsia="zh-CN" w:bidi="ar-SA"/>
              </w:rPr>
            </w:pPr>
            <w:r>
              <w:rPr>
                <w:rFonts w:ascii="Times New Roman" w:hAnsi="Times New Roman" w:eastAsia="宋体" w:cs="Times New Roman"/>
                <w:color w:val="auto"/>
                <w:kern w:val="2"/>
                <w:sz w:val="21"/>
                <w:szCs w:val="24"/>
                <w:u w:val="none"/>
                <w:lang w:val="en-US" w:eastAsia="zh-CN" w:bidi="ar-SA"/>
              </w:rPr>
              <w:t>投加活性炭、石灰、聚合硫酸铁、高锰酸钾等</w:t>
            </w:r>
          </w:p>
        </w:tc>
      </w:tr>
    </w:tbl>
    <w:p w14:paraId="21EFE21E">
      <w:pPr>
        <w:ind w:firstLine="480"/>
      </w:pPr>
      <w:r>
        <w:t xml:space="preserve"> c、藻类污染 </w:t>
      </w:r>
    </w:p>
    <w:p w14:paraId="65906AB3">
      <w:pPr>
        <w:ind w:firstLine="480"/>
      </w:pPr>
      <w:r>
        <w:t xml:space="preserve">当水源地发生藻类污染时，应首先在水源地投加除藻剂，并采用高锰酸钾和强化混凝去除原水中的藻类，研究表明高锰酸钾具有良好的杀藻效果，藻类去除率随其投量的增加而提高。而强化混凝作为水厂的应急处理技术，不需要增设设备和药剂，是较为经济实用的方法，强化混凝对原水中的藻类有较强的去除作用。 </w:t>
      </w:r>
    </w:p>
    <w:p w14:paraId="28FECCB1">
      <w:pPr>
        <w:ind w:firstLine="480"/>
      </w:pPr>
      <w:r>
        <w:t xml:space="preserve">d、病源微生物污染 </w:t>
      </w:r>
    </w:p>
    <w:p w14:paraId="58052EC6">
      <w:pPr>
        <w:ind w:firstLine="480"/>
      </w:pPr>
      <w:r>
        <w:t>采取加氯、臭氧消毒的方法。</w:t>
      </w:r>
    </w:p>
    <w:p w14:paraId="36A90264">
      <w:pPr>
        <w:ind w:firstLine="480"/>
      </w:pPr>
      <w:r>
        <w:t xml:space="preserve">（2）切换水源 </w:t>
      </w:r>
    </w:p>
    <w:p w14:paraId="57E2C42C">
      <w:pPr>
        <w:ind w:firstLine="480"/>
      </w:pPr>
      <w:r>
        <w:t>许多突发性水污染事故在事故发生后的短时间内是无法完全清除污染物的，当饮用水源地污染比较严重时，当所在水源地区域附近有备用水源时，应该关闭当前取水口将水源切换至备用水源，直至污水团离开饮用水源地所在区域为止。</w:t>
      </w:r>
    </w:p>
    <w:p w14:paraId="2E5A257D">
      <w:pPr>
        <w:ind w:firstLine="480"/>
      </w:pPr>
      <w:r>
        <w:t xml:space="preserve">（3）停止供水 </w:t>
      </w:r>
    </w:p>
    <w:p w14:paraId="7FF7512E">
      <w:pPr>
        <w:ind w:firstLine="480"/>
      </w:pPr>
      <w:r>
        <w:t>事故发生后在应急供水期间，必要时应采取限水、停水、减压供水、改路供水等特殊处理措施以确保饮用水安全。</w:t>
      </w:r>
    </w:p>
    <w:p w14:paraId="5AD9DC77">
      <w:pPr>
        <w:ind w:firstLine="480"/>
        <w:rPr>
          <w:b/>
          <w:bCs/>
          <w:sz w:val="21"/>
          <w:szCs w:val="21"/>
        </w:rPr>
      </w:pPr>
      <w:r>
        <w:t>针对浊度、色度、氟化物等污染因子可采取的物理、化学、生物处理技术如表3-</w:t>
      </w:r>
      <w:r>
        <w:rPr>
          <w:rFonts w:hint="eastAsia"/>
        </w:rPr>
        <w:t>6</w:t>
      </w:r>
      <w:r>
        <w:t>所示。</w:t>
      </w:r>
    </w:p>
    <w:p w14:paraId="7D17C1F8">
      <w:pPr>
        <w:ind w:firstLine="480"/>
        <w:jc w:val="center"/>
        <w:rPr>
          <w:b/>
          <w:bCs/>
          <w:sz w:val="21"/>
          <w:szCs w:val="21"/>
        </w:rPr>
      </w:pPr>
      <w:r>
        <w:rPr>
          <w:b/>
          <w:bCs/>
          <w:sz w:val="21"/>
          <w:szCs w:val="21"/>
        </w:rPr>
        <w:t>表3-</w:t>
      </w:r>
      <w:r>
        <w:rPr>
          <w:rFonts w:hint="eastAsia"/>
          <w:b/>
          <w:bCs/>
          <w:sz w:val="21"/>
          <w:szCs w:val="21"/>
        </w:rPr>
        <w:t>6</w:t>
      </w:r>
      <w:r>
        <w:rPr>
          <w:b/>
          <w:bCs/>
          <w:sz w:val="21"/>
          <w:szCs w:val="21"/>
        </w:rPr>
        <w:t xml:space="preserve"> 适用于处理不同超标项目的推荐技术</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4"/>
        <w:gridCol w:w="5948"/>
      </w:tblGrid>
      <w:tr w14:paraId="69A25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74" w:type="dxa"/>
            <w:vAlign w:val="center"/>
          </w:tcPr>
          <w:p w14:paraId="7E1A610E">
            <w:pPr>
              <w:spacing w:line="240" w:lineRule="auto"/>
              <w:jc w:val="center"/>
              <w:rPr>
                <w:b/>
                <w:bCs/>
                <w:sz w:val="21"/>
                <w:szCs w:val="21"/>
              </w:rPr>
            </w:pPr>
            <w:r>
              <w:rPr>
                <w:b/>
                <w:bCs/>
                <w:sz w:val="21"/>
                <w:szCs w:val="21"/>
              </w:rPr>
              <w:t>超标项目</w:t>
            </w:r>
          </w:p>
        </w:tc>
        <w:tc>
          <w:tcPr>
            <w:tcW w:w="5948" w:type="dxa"/>
            <w:vAlign w:val="center"/>
          </w:tcPr>
          <w:p w14:paraId="35A42957">
            <w:pPr>
              <w:spacing w:line="240" w:lineRule="auto"/>
              <w:jc w:val="center"/>
              <w:rPr>
                <w:b/>
                <w:bCs/>
                <w:sz w:val="21"/>
                <w:szCs w:val="21"/>
              </w:rPr>
            </w:pPr>
            <w:r>
              <w:rPr>
                <w:b/>
                <w:bCs/>
                <w:sz w:val="21"/>
                <w:szCs w:val="21"/>
              </w:rPr>
              <w:t>推荐技术</w:t>
            </w:r>
          </w:p>
        </w:tc>
      </w:tr>
      <w:tr w14:paraId="17169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74" w:type="dxa"/>
            <w:vAlign w:val="center"/>
          </w:tcPr>
          <w:p w14:paraId="0791E21F">
            <w:pPr>
              <w:spacing w:line="240" w:lineRule="auto"/>
              <w:jc w:val="center"/>
              <w:rPr>
                <w:sz w:val="21"/>
                <w:szCs w:val="21"/>
              </w:rPr>
            </w:pPr>
            <w:r>
              <w:rPr>
                <w:sz w:val="21"/>
                <w:szCs w:val="21"/>
              </w:rPr>
              <w:t>浊度</w:t>
            </w:r>
          </w:p>
        </w:tc>
        <w:tc>
          <w:tcPr>
            <w:tcW w:w="5948" w:type="dxa"/>
            <w:vAlign w:val="center"/>
          </w:tcPr>
          <w:p w14:paraId="5A22D0DE">
            <w:pPr>
              <w:spacing w:line="240" w:lineRule="auto"/>
              <w:jc w:val="center"/>
              <w:rPr>
                <w:sz w:val="21"/>
                <w:szCs w:val="21"/>
              </w:rPr>
            </w:pPr>
            <w:r>
              <w:rPr>
                <w:sz w:val="21"/>
                <w:szCs w:val="21"/>
              </w:rPr>
              <w:t>快速砂滤池、絮凝、沉淀、过滤</w:t>
            </w:r>
          </w:p>
        </w:tc>
      </w:tr>
      <w:tr w14:paraId="144B6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74" w:type="dxa"/>
            <w:vAlign w:val="center"/>
          </w:tcPr>
          <w:p w14:paraId="3D25F812">
            <w:pPr>
              <w:spacing w:line="240" w:lineRule="auto"/>
              <w:jc w:val="center"/>
              <w:rPr>
                <w:sz w:val="21"/>
                <w:szCs w:val="21"/>
              </w:rPr>
            </w:pPr>
            <w:r>
              <w:rPr>
                <w:sz w:val="21"/>
                <w:szCs w:val="21"/>
              </w:rPr>
              <w:t>色度</w:t>
            </w:r>
          </w:p>
        </w:tc>
        <w:tc>
          <w:tcPr>
            <w:tcW w:w="5948" w:type="dxa"/>
            <w:vAlign w:val="center"/>
          </w:tcPr>
          <w:p w14:paraId="6674593D">
            <w:pPr>
              <w:spacing w:line="240" w:lineRule="auto"/>
              <w:jc w:val="center"/>
              <w:rPr>
                <w:sz w:val="21"/>
                <w:szCs w:val="21"/>
              </w:rPr>
            </w:pPr>
            <w:r>
              <w:rPr>
                <w:sz w:val="21"/>
                <w:szCs w:val="21"/>
              </w:rPr>
              <w:t>快速砂滤池、絮凝；活性炭吸附；化学氧化预处理：臭氧、氯、高锰酸钾、二氧化氯</w:t>
            </w:r>
          </w:p>
        </w:tc>
      </w:tr>
      <w:tr w14:paraId="67FD6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74" w:type="dxa"/>
            <w:vAlign w:val="center"/>
          </w:tcPr>
          <w:p w14:paraId="42D23B12">
            <w:pPr>
              <w:spacing w:line="240" w:lineRule="auto"/>
              <w:jc w:val="center"/>
              <w:rPr>
                <w:sz w:val="21"/>
                <w:szCs w:val="21"/>
              </w:rPr>
            </w:pPr>
            <w:r>
              <w:rPr>
                <w:sz w:val="21"/>
                <w:szCs w:val="21"/>
              </w:rPr>
              <w:t>嗅味</w:t>
            </w:r>
          </w:p>
        </w:tc>
        <w:tc>
          <w:tcPr>
            <w:tcW w:w="5948" w:type="dxa"/>
            <w:vAlign w:val="center"/>
          </w:tcPr>
          <w:p w14:paraId="2A6E46F4">
            <w:pPr>
              <w:spacing w:line="240" w:lineRule="auto"/>
              <w:jc w:val="center"/>
              <w:rPr>
                <w:sz w:val="21"/>
                <w:szCs w:val="21"/>
              </w:rPr>
            </w:pPr>
            <w:r>
              <w:rPr>
                <w:sz w:val="21"/>
                <w:szCs w:val="21"/>
              </w:rPr>
              <w:t>化学氧化预处理：臭氧、氯、高锰酸钾、二氧化氯、活性炭</w:t>
            </w:r>
          </w:p>
        </w:tc>
      </w:tr>
      <w:tr w14:paraId="14FA8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74" w:type="dxa"/>
            <w:vAlign w:val="center"/>
          </w:tcPr>
          <w:p w14:paraId="27CDA6DA">
            <w:pPr>
              <w:spacing w:line="240" w:lineRule="auto"/>
              <w:jc w:val="center"/>
              <w:rPr>
                <w:sz w:val="21"/>
                <w:szCs w:val="21"/>
              </w:rPr>
            </w:pPr>
            <w:r>
              <w:rPr>
                <w:sz w:val="21"/>
                <w:szCs w:val="21"/>
              </w:rPr>
              <w:t>氟化物</w:t>
            </w:r>
          </w:p>
        </w:tc>
        <w:tc>
          <w:tcPr>
            <w:tcW w:w="5948" w:type="dxa"/>
            <w:vAlign w:val="center"/>
          </w:tcPr>
          <w:p w14:paraId="5659D7B8">
            <w:pPr>
              <w:spacing w:line="240" w:lineRule="auto"/>
              <w:jc w:val="center"/>
              <w:rPr>
                <w:sz w:val="21"/>
                <w:szCs w:val="21"/>
              </w:rPr>
            </w:pPr>
            <w:r>
              <w:rPr>
                <w:sz w:val="21"/>
                <w:szCs w:val="21"/>
              </w:rPr>
              <w:t>吸附法：氧化铝、磷酸二钙；混凝沉淀法：硫酸铝、聚合氯化铝；离子交换法；电渗析法</w:t>
            </w:r>
          </w:p>
        </w:tc>
      </w:tr>
      <w:tr w14:paraId="0B0D7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74" w:type="dxa"/>
            <w:vAlign w:val="center"/>
          </w:tcPr>
          <w:p w14:paraId="423BD234">
            <w:pPr>
              <w:spacing w:line="240" w:lineRule="auto"/>
              <w:jc w:val="center"/>
              <w:rPr>
                <w:sz w:val="21"/>
                <w:szCs w:val="21"/>
              </w:rPr>
            </w:pPr>
            <w:r>
              <w:rPr>
                <w:sz w:val="21"/>
                <w:szCs w:val="21"/>
              </w:rPr>
              <w:t>氨氮</w:t>
            </w:r>
          </w:p>
        </w:tc>
        <w:tc>
          <w:tcPr>
            <w:tcW w:w="5948" w:type="dxa"/>
            <w:vAlign w:val="center"/>
          </w:tcPr>
          <w:p w14:paraId="74C27AAA">
            <w:pPr>
              <w:spacing w:line="240" w:lineRule="auto"/>
              <w:jc w:val="center"/>
              <w:rPr>
                <w:sz w:val="21"/>
                <w:szCs w:val="21"/>
              </w:rPr>
            </w:pPr>
            <w:r>
              <w:rPr>
                <w:sz w:val="21"/>
                <w:szCs w:val="21"/>
              </w:rPr>
              <w:t>化学氧化预处理：氯、高锰酸钾；深度处理：臭氧-生物活性碳</w:t>
            </w:r>
          </w:p>
        </w:tc>
      </w:tr>
      <w:tr w14:paraId="3807C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74" w:type="dxa"/>
            <w:vAlign w:val="center"/>
          </w:tcPr>
          <w:p w14:paraId="26D06358">
            <w:pPr>
              <w:spacing w:line="240" w:lineRule="auto"/>
              <w:jc w:val="center"/>
              <w:rPr>
                <w:sz w:val="21"/>
                <w:szCs w:val="21"/>
              </w:rPr>
            </w:pPr>
            <w:r>
              <w:rPr>
                <w:sz w:val="21"/>
                <w:szCs w:val="21"/>
              </w:rPr>
              <w:t>铁、锰</w:t>
            </w:r>
          </w:p>
        </w:tc>
        <w:tc>
          <w:tcPr>
            <w:tcW w:w="5948" w:type="dxa"/>
            <w:vAlign w:val="center"/>
          </w:tcPr>
          <w:p w14:paraId="20CABF41">
            <w:pPr>
              <w:spacing w:line="240" w:lineRule="auto"/>
              <w:jc w:val="center"/>
              <w:rPr>
                <w:sz w:val="21"/>
                <w:szCs w:val="21"/>
              </w:rPr>
            </w:pPr>
            <w:r>
              <w:rPr>
                <w:sz w:val="21"/>
                <w:szCs w:val="21"/>
              </w:rPr>
              <w:t>锰砂；化学氧化预处理：氯、高锰酸钾；深度处理：臭氧-生物活性碳</w:t>
            </w:r>
          </w:p>
        </w:tc>
      </w:tr>
      <w:tr w14:paraId="25C0B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74" w:type="dxa"/>
            <w:vAlign w:val="center"/>
          </w:tcPr>
          <w:p w14:paraId="781FDD1A">
            <w:pPr>
              <w:spacing w:line="240" w:lineRule="auto"/>
              <w:jc w:val="center"/>
              <w:rPr>
                <w:sz w:val="21"/>
                <w:szCs w:val="21"/>
              </w:rPr>
            </w:pPr>
            <w:r>
              <w:rPr>
                <w:sz w:val="21"/>
                <w:szCs w:val="21"/>
              </w:rPr>
              <w:t>挥发性有机物</w:t>
            </w:r>
          </w:p>
        </w:tc>
        <w:tc>
          <w:tcPr>
            <w:tcW w:w="5948" w:type="dxa"/>
            <w:vAlign w:val="center"/>
          </w:tcPr>
          <w:p w14:paraId="7964F373">
            <w:pPr>
              <w:spacing w:line="240" w:lineRule="auto"/>
              <w:jc w:val="center"/>
              <w:rPr>
                <w:sz w:val="21"/>
                <w:szCs w:val="21"/>
              </w:rPr>
            </w:pPr>
            <w:r>
              <w:rPr>
                <w:sz w:val="21"/>
                <w:szCs w:val="21"/>
              </w:rPr>
              <w:t>生物活性炭吸附</w:t>
            </w:r>
          </w:p>
        </w:tc>
      </w:tr>
      <w:tr w14:paraId="7F159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74" w:type="dxa"/>
            <w:vAlign w:val="center"/>
          </w:tcPr>
          <w:p w14:paraId="05865230">
            <w:pPr>
              <w:spacing w:line="240" w:lineRule="auto"/>
              <w:jc w:val="center"/>
              <w:rPr>
                <w:sz w:val="21"/>
                <w:szCs w:val="21"/>
              </w:rPr>
            </w:pPr>
            <w:r>
              <w:rPr>
                <w:sz w:val="21"/>
                <w:szCs w:val="21"/>
              </w:rPr>
              <w:t>三氯甲烷和腐殖酸</w:t>
            </w:r>
          </w:p>
        </w:tc>
        <w:tc>
          <w:tcPr>
            <w:tcW w:w="5948" w:type="dxa"/>
            <w:vAlign w:val="center"/>
          </w:tcPr>
          <w:p w14:paraId="1AB452C8">
            <w:pPr>
              <w:spacing w:line="240" w:lineRule="auto"/>
              <w:jc w:val="center"/>
              <w:rPr>
                <w:sz w:val="21"/>
                <w:szCs w:val="21"/>
              </w:rPr>
            </w:pPr>
            <w:r>
              <w:rPr>
                <w:sz w:val="21"/>
                <w:szCs w:val="21"/>
              </w:rPr>
              <w:t>前驱物的去除：强化混凝、粒状活性炭、生物活性炭；氯化副产物的去除：粒状活性炭</w:t>
            </w:r>
          </w:p>
        </w:tc>
      </w:tr>
      <w:tr w14:paraId="5D874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74" w:type="dxa"/>
            <w:vAlign w:val="center"/>
          </w:tcPr>
          <w:p w14:paraId="34139B13">
            <w:pPr>
              <w:spacing w:line="240" w:lineRule="auto"/>
              <w:jc w:val="center"/>
              <w:rPr>
                <w:sz w:val="21"/>
                <w:szCs w:val="21"/>
              </w:rPr>
            </w:pPr>
            <w:r>
              <w:rPr>
                <w:sz w:val="21"/>
                <w:szCs w:val="21"/>
              </w:rPr>
              <w:t>有机化合物</w:t>
            </w:r>
          </w:p>
        </w:tc>
        <w:tc>
          <w:tcPr>
            <w:tcW w:w="5948" w:type="dxa"/>
            <w:vAlign w:val="center"/>
          </w:tcPr>
          <w:p w14:paraId="24249916">
            <w:pPr>
              <w:spacing w:line="240" w:lineRule="auto"/>
              <w:jc w:val="center"/>
              <w:rPr>
                <w:sz w:val="21"/>
                <w:szCs w:val="21"/>
              </w:rPr>
            </w:pPr>
            <w:r>
              <w:rPr>
                <w:sz w:val="21"/>
                <w:szCs w:val="21"/>
              </w:rPr>
              <w:t>生物活性碳、膜处理</w:t>
            </w:r>
          </w:p>
        </w:tc>
      </w:tr>
      <w:tr w14:paraId="273B0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74" w:type="dxa"/>
            <w:vAlign w:val="center"/>
          </w:tcPr>
          <w:p w14:paraId="70D3FEEA">
            <w:pPr>
              <w:spacing w:line="240" w:lineRule="auto"/>
              <w:jc w:val="center"/>
              <w:rPr>
                <w:sz w:val="21"/>
                <w:szCs w:val="21"/>
              </w:rPr>
            </w:pPr>
            <w:r>
              <w:rPr>
                <w:sz w:val="21"/>
                <w:szCs w:val="21"/>
              </w:rPr>
              <w:t xml:space="preserve">细菌和病毒 </w:t>
            </w:r>
          </w:p>
        </w:tc>
        <w:tc>
          <w:tcPr>
            <w:tcW w:w="5948" w:type="dxa"/>
            <w:vAlign w:val="center"/>
          </w:tcPr>
          <w:p w14:paraId="42E394C2">
            <w:pPr>
              <w:spacing w:line="240" w:lineRule="auto"/>
              <w:jc w:val="center"/>
              <w:rPr>
                <w:sz w:val="21"/>
                <w:szCs w:val="21"/>
              </w:rPr>
            </w:pPr>
            <w:r>
              <w:rPr>
                <w:sz w:val="21"/>
                <w:szCs w:val="21"/>
              </w:rPr>
              <w:t>过滤（部分去除）；消毒处理：氯、二氧化氯、臭氧、膜处理、紫外消毒</w:t>
            </w:r>
          </w:p>
        </w:tc>
      </w:tr>
      <w:tr w14:paraId="416F6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74" w:type="dxa"/>
            <w:vAlign w:val="center"/>
          </w:tcPr>
          <w:p w14:paraId="0E8DF960">
            <w:pPr>
              <w:spacing w:line="240" w:lineRule="auto"/>
              <w:jc w:val="center"/>
              <w:rPr>
                <w:sz w:val="21"/>
                <w:szCs w:val="21"/>
              </w:rPr>
            </w:pPr>
            <w:r>
              <w:rPr>
                <w:sz w:val="21"/>
                <w:szCs w:val="21"/>
              </w:rPr>
              <w:t>汞、铬等部分重金属</w:t>
            </w:r>
          </w:p>
          <w:p w14:paraId="3690A03E">
            <w:pPr>
              <w:spacing w:line="240" w:lineRule="auto"/>
              <w:jc w:val="center"/>
              <w:rPr>
                <w:sz w:val="21"/>
                <w:szCs w:val="21"/>
              </w:rPr>
            </w:pPr>
            <w:r>
              <w:rPr>
                <w:sz w:val="21"/>
                <w:szCs w:val="21"/>
              </w:rPr>
              <w:t>（应急状态）</w:t>
            </w:r>
          </w:p>
        </w:tc>
        <w:tc>
          <w:tcPr>
            <w:tcW w:w="5948" w:type="dxa"/>
            <w:vAlign w:val="center"/>
          </w:tcPr>
          <w:p w14:paraId="6AF540CF">
            <w:pPr>
              <w:spacing w:line="240" w:lineRule="auto"/>
              <w:jc w:val="center"/>
              <w:rPr>
                <w:sz w:val="21"/>
                <w:szCs w:val="21"/>
              </w:rPr>
            </w:pPr>
            <w:r>
              <w:rPr>
                <w:sz w:val="21"/>
                <w:szCs w:val="21"/>
              </w:rPr>
              <w:t>氧化法：高锰酸钾；生物活性碳吸附（部分去除）</w:t>
            </w:r>
          </w:p>
        </w:tc>
      </w:tr>
      <w:tr w14:paraId="45B63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74" w:type="dxa"/>
            <w:vAlign w:val="center"/>
          </w:tcPr>
          <w:p w14:paraId="7C113490">
            <w:pPr>
              <w:spacing w:line="240" w:lineRule="auto"/>
              <w:jc w:val="center"/>
              <w:rPr>
                <w:sz w:val="21"/>
                <w:szCs w:val="21"/>
              </w:rPr>
            </w:pPr>
            <w:r>
              <w:rPr>
                <w:sz w:val="21"/>
                <w:szCs w:val="21"/>
              </w:rPr>
              <w:t xml:space="preserve">藻类及藻毒素 </w:t>
            </w:r>
          </w:p>
        </w:tc>
        <w:tc>
          <w:tcPr>
            <w:tcW w:w="5948" w:type="dxa"/>
            <w:vAlign w:val="center"/>
          </w:tcPr>
          <w:p w14:paraId="26126FAE">
            <w:pPr>
              <w:spacing w:line="240" w:lineRule="auto"/>
              <w:jc w:val="center"/>
              <w:rPr>
                <w:sz w:val="21"/>
                <w:szCs w:val="21"/>
              </w:rPr>
            </w:pPr>
            <w:r>
              <w:rPr>
                <w:sz w:val="21"/>
                <w:szCs w:val="21"/>
              </w:rPr>
              <w:t>化学氧化预处理：除藻剂法、高锰酸钾、氯；微滤法；气浮法；臭氧氧化法</w:t>
            </w:r>
          </w:p>
        </w:tc>
      </w:tr>
    </w:tbl>
    <w:p w14:paraId="72DFC2B2">
      <w:r>
        <w:t>各典型突发环境事件应急处置卡见表3-</w:t>
      </w:r>
      <w:r>
        <w:rPr>
          <w:rFonts w:hint="eastAsia"/>
        </w:rPr>
        <w:t>7</w:t>
      </w:r>
      <w:r>
        <w:t>—表3-</w:t>
      </w:r>
      <w:r>
        <w:rPr>
          <w:rFonts w:hint="eastAsia"/>
        </w:rPr>
        <w:t>10</w:t>
      </w:r>
      <w:r>
        <w:t>。</w:t>
      </w:r>
    </w:p>
    <w:p w14:paraId="2D3E1FFD">
      <w:pPr>
        <w:pStyle w:val="2"/>
        <w:rPr>
          <w:b/>
          <w:color w:val="auto"/>
          <w:sz w:val="21"/>
          <w:szCs w:val="21"/>
          <w:lang w:val="zh-CN"/>
        </w:rPr>
      </w:pPr>
    </w:p>
    <w:p w14:paraId="0D145E2E">
      <w:pPr>
        <w:autoSpaceDE w:val="0"/>
        <w:autoSpaceDN w:val="0"/>
        <w:adjustRightInd w:val="0"/>
        <w:spacing w:line="480" w:lineRule="exact"/>
        <w:jc w:val="center"/>
        <w:rPr>
          <w:b/>
          <w:sz w:val="21"/>
          <w:szCs w:val="21"/>
          <w:lang w:val="zh-CN"/>
        </w:rPr>
      </w:pPr>
      <w:r>
        <w:rPr>
          <w:b/>
          <w:sz w:val="21"/>
          <w:szCs w:val="21"/>
        </w:rPr>
        <w:t>表3-</w:t>
      </w:r>
      <w:r>
        <w:rPr>
          <w:rFonts w:hint="eastAsia"/>
          <w:b/>
          <w:sz w:val="21"/>
          <w:szCs w:val="21"/>
        </w:rPr>
        <w:t>7</w:t>
      </w:r>
      <w:r>
        <w:rPr>
          <w:b/>
          <w:sz w:val="21"/>
          <w:szCs w:val="21"/>
          <w:lang w:val="zh-CN"/>
        </w:rPr>
        <w:t xml:space="preserve">  </w:t>
      </w:r>
      <w:r>
        <w:rPr>
          <w:b/>
          <w:sz w:val="21"/>
          <w:szCs w:val="21"/>
        </w:rPr>
        <w:t>固定环境风险源突发环境事件应急卡</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3"/>
        <w:gridCol w:w="1105"/>
        <w:gridCol w:w="911"/>
        <w:gridCol w:w="1407"/>
        <w:gridCol w:w="1830"/>
        <w:gridCol w:w="2159"/>
      </w:tblGrid>
      <w:tr w14:paraId="1E9AB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0" w:hRule="atLeast"/>
          <w:jc w:val="center"/>
        </w:trPr>
        <w:tc>
          <w:tcPr>
            <w:tcW w:w="1093" w:type="dxa"/>
            <w:vMerge w:val="restart"/>
            <w:vAlign w:val="center"/>
          </w:tcPr>
          <w:p w14:paraId="076BB8C6">
            <w:pPr>
              <w:spacing w:line="420" w:lineRule="exact"/>
              <w:jc w:val="center"/>
              <w:rPr>
                <w:b/>
                <w:sz w:val="21"/>
                <w:szCs w:val="21"/>
              </w:rPr>
            </w:pPr>
            <w:r>
              <w:rPr>
                <w:b/>
                <w:sz w:val="21"/>
                <w:szCs w:val="21"/>
              </w:rPr>
              <w:t>风险</w:t>
            </w:r>
          </w:p>
          <w:p w14:paraId="0CC5A198">
            <w:pPr>
              <w:spacing w:line="420" w:lineRule="exact"/>
              <w:jc w:val="center"/>
              <w:rPr>
                <w:b/>
                <w:sz w:val="21"/>
                <w:szCs w:val="21"/>
              </w:rPr>
            </w:pPr>
            <w:r>
              <w:rPr>
                <w:b/>
                <w:sz w:val="21"/>
                <w:szCs w:val="21"/>
              </w:rPr>
              <w:t>特征</w:t>
            </w:r>
          </w:p>
        </w:tc>
        <w:tc>
          <w:tcPr>
            <w:tcW w:w="1105" w:type="dxa"/>
            <w:tcBorders>
              <w:bottom w:val="single" w:color="auto" w:sz="4" w:space="0"/>
              <w:right w:val="single" w:color="auto" w:sz="4" w:space="0"/>
            </w:tcBorders>
            <w:vAlign w:val="center"/>
          </w:tcPr>
          <w:p w14:paraId="57408936">
            <w:pPr>
              <w:spacing w:line="420" w:lineRule="exact"/>
              <w:jc w:val="center"/>
              <w:rPr>
                <w:sz w:val="21"/>
                <w:szCs w:val="21"/>
              </w:rPr>
            </w:pPr>
            <w:r>
              <w:rPr>
                <w:sz w:val="21"/>
                <w:szCs w:val="21"/>
              </w:rPr>
              <w:t>事故地点</w:t>
            </w:r>
          </w:p>
        </w:tc>
        <w:tc>
          <w:tcPr>
            <w:tcW w:w="6307" w:type="dxa"/>
            <w:gridSpan w:val="4"/>
            <w:tcBorders>
              <w:left w:val="single" w:color="auto" w:sz="4" w:space="0"/>
              <w:bottom w:val="single" w:color="auto" w:sz="4" w:space="0"/>
            </w:tcBorders>
            <w:vAlign w:val="center"/>
          </w:tcPr>
          <w:p w14:paraId="6A875546">
            <w:pPr>
              <w:spacing w:line="420" w:lineRule="exact"/>
              <w:jc w:val="center"/>
              <w:rPr>
                <w:rFonts w:hint="eastAsia"/>
                <w:sz w:val="21"/>
                <w:szCs w:val="21"/>
              </w:rPr>
            </w:pPr>
            <w:r>
              <w:rPr>
                <w:rFonts w:hint="eastAsia"/>
                <w:sz w:val="21"/>
                <w:szCs w:val="21"/>
              </w:rPr>
              <w:t>固定风险源厂区</w:t>
            </w:r>
          </w:p>
        </w:tc>
      </w:tr>
      <w:tr w14:paraId="0089A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1093" w:type="dxa"/>
            <w:vMerge w:val="continue"/>
            <w:vAlign w:val="center"/>
          </w:tcPr>
          <w:p w14:paraId="57EF5057">
            <w:pPr>
              <w:spacing w:line="420" w:lineRule="exact"/>
              <w:jc w:val="center"/>
              <w:rPr>
                <w:b/>
                <w:sz w:val="21"/>
                <w:szCs w:val="21"/>
              </w:rPr>
            </w:pPr>
          </w:p>
        </w:tc>
        <w:tc>
          <w:tcPr>
            <w:tcW w:w="1105" w:type="dxa"/>
            <w:tcBorders>
              <w:bottom w:val="single" w:color="auto" w:sz="4" w:space="0"/>
              <w:right w:val="single" w:color="auto" w:sz="4" w:space="0"/>
            </w:tcBorders>
            <w:vAlign w:val="center"/>
          </w:tcPr>
          <w:p w14:paraId="0DAD1BAF">
            <w:pPr>
              <w:spacing w:line="420" w:lineRule="exact"/>
              <w:jc w:val="center"/>
              <w:rPr>
                <w:sz w:val="21"/>
                <w:szCs w:val="21"/>
              </w:rPr>
            </w:pPr>
            <w:r>
              <w:rPr>
                <w:sz w:val="21"/>
                <w:szCs w:val="21"/>
              </w:rPr>
              <w:t>风险物质</w:t>
            </w:r>
          </w:p>
        </w:tc>
        <w:tc>
          <w:tcPr>
            <w:tcW w:w="6307" w:type="dxa"/>
            <w:gridSpan w:val="4"/>
            <w:tcBorders>
              <w:left w:val="single" w:color="auto" w:sz="4" w:space="0"/>
              <w:bottom w:val="single" w:color="auto" w:sz="4" w:space="0"/>
            </w:tcBorders>
            <w:vAlign w:val="center"/>
          </w:tcPr>
          <w:p w14:paraId="705E3C0B">
            <w:pPr>
              <w:spacing w:line="420" w:lineRule="exact"/>
              <w:jc w:val="center"/>
              <w:rPr>
                <w:sz w:val="21"/>
                <w:szCs w:val="21"/>
              </w:rPr>
            </w:pPr>
            <w:r>
              <w:rPr>
                <w:sz w:val="21"/>
                <w:szCs w:val="21"/>
              </w:rPr>
              <w:t>含</w:t>
            </w:r>
            <w:r>
              <w:rPr>
                <w:rFonts w:hint="eastAsia"/>
                <w:sz w:val="21"/>
                <w:szCs w:val="21"/>
              </w:rPr>
              <w:t>SS、COD、氨氮</w:t>
            </w:r>
            <w:r>
              <w:rPr>
                <w:sz w:val="21"/>
                <w:szCs w:val="21"/>
              </w:rPr>
              <w:t>等</w:t>
            </w:r>
            <w:r>
              <w:rPr>
                <w:rFonts w:hint="eastAsia"/>
                <w:sz w:val="21"/>
                <w:szCs w:val="21"/>
              </w:rPr>
              <w:t>消防废水</w:t>
            </w:r>
          </w:p>
        </w:tc>
      </w:tr>
      <w:tr w14:paraId="583D73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7" w:hRule="atLeast"/>
          <w:jc w:val="center"/>
        </w:trPr>
        <w:tc>
          <w:tcPr>
            <w:tcW w:w="1093" w:type="dxa"/>
            <w:vMerge w:val="continue"/>
            <w:vAlign w:val="center"/>
          </w:tcPr>
          <w:p w14:paraId="24E2E956">
            <w:pPr>
              <w:spacing w:line="420" w:lineRule="exact"/>
              <w:jc w:val="center"/>
              <w:rPr>
                <w:b/>
                <w:sz w:val="21"/>
                <w:szCs w:val="21"/>
              </w:rPr>
            </w:pPr>
          </w:p>
        </w:tc>
        <w:tc>
          <w:tcPr>
            <w:tcW w:w="1105" w:type="dxa"/>
            <w:tcBorders>
              <w:top w:val="single" w:color="auto" w:sz="4" w:space="0"/>
              <w:right w:val="single" w:color="auto" w:sz="4" w:space="0"/>
            </w:tcBorders>
            <w:vAlign w:val="center"/>
          </w:tcPr>
          <w:p w14:paraId="18E2DF43">
            <w:pPr>
              <w:spacing w:line="420" w:lineRule="exact"/>
              <w:jc w:val="center"/>
              <w:rPr>
                <w:sz w:val="21"/>
                <w:szCs w:val="21"/>
              </w:rPr>
            </w:pPr>
            <w:r>
              <w:rPr>
                <w:sz w:val="21"/>
                <w:szCs w:val="21"/>
              </w:rPr>
              <w:t>事故说明</w:t>
            </w:r>
          </w:p>
        </w:tc>
        <w:tc>
          <w:tcPr>
            <w:tcW w:w="6307" w:type="dxa"/>
            <w:gridSpan w:val="4"/>
            <w:tcBorders>
              <w:top w:val="single" w:color="auto" w:sz="4" w:space="0"/>
              <w:left w:val="single" w:color="auto" w:sz="4" w:space="0"/>
            </w:tcBorders>
            <w:vAlign w:val="center"/>
          </w:tcPr>
          <w:p w14:paraId="66291764">
            <w:pPr>
              <w:spacing w:line="420" w:lineRule="exact"/>
              <w:jc w:val="center"/>
              <w:rPr>
                <w:sz w:val="21"/>
                <w:szCs w:val="21"/>
              </w:rPr>
            </w:pPr>
            <w:r>
              <w:rPr>
                <w:rFonts w:hint="eastAsia"/>
                <w:sz w:val="21"/>
                <w:szCs w:val="21"/>
              </w:rPr>
              <w:t>固定风险源发生火灾后，消防废液泄漏</w:t>
            </w:r>
          </w:p>
        </w:tc>
      </w:tr>
      <w:tr w14:paraId="6C1C7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4" w:hRule="atLeast"/>
          <w:jc w:val="center"/>
        </w:trPr>
        <w:tc>
          <w:tcPr>
            <w:tcW w:w="1093" w:type="dxa"/>
            <w:vAlign w:val="center"/>
          </w:tcPr>
          <w:p w14:paraId="40769BEE">
            <w:pPr>
              <w:spacing w:line="420" w:lineRule="exact"/>
              <w:jc w:val="center"/>
              <w:rPr>
                <w:b/>
                <w:sz w:val="21"/>
                <w:szCs w:val="21"/>
              </w:rPr>
            </w:pPr>
            <w:r>
              <w:rPr>
                <w:b/>
                <w:sz w:val="21"/>
                <w:szCs w:val="21"/>
              </w:rPr>
              <w:t>应急</w:t>
            </w:r>
          </w:p>
          <w:p w14:paraId="4ADE3F44">
            <w:pPr>
              <w:spacing w:line="420" w:lineRule="exact"/>
              <w:jc w:val="center"/>
              <w:rPr>
                <w:b/>
                <w:sz w:val="21"/>
                <w:szCs w:val="21"/>
              </w:rPr>
            </w:pPr>
            <w:r>
              <w:rPr>
                <w:b/>
                <w:sz w:val="21"/>
                <w:szCs w:val="21"/>
              </w:rPr>
              <w:t>程序</w:t>
            </w:r>
          </w:p>
        </w:tc>
        <w:tc>
          <w:tcPr>
            <w:tcW w:w="7412" w:type="dxa"/>
            <w:gridSpan w:val="5"/>
          </w:tcPr>
          <w:p w14:paraId="6FFBBF29">
            <w:pPr>
              <w:spacing w:line="420" w:lineRule="exact"/>
              <w:ind w:firstLine="420" w:firstLineChars="200"/>
              <w:rPr>
                <w:sz w:val="21"/>
                <w:szCs w:val="21"/>
              </w:rPr>
            </w:pPr>
            <w:r>
              <w:rPr>
                <w:sz w:val="21"/>
                <w:szCs w:val="21"/>
              </w:rPr>
              <w:t>事故责任单位负责人或发现人立即报告</w:t>
            </w:r>
            <w:r>
              <w:rPr>
                <w:rFonts w:hint="eastAsia"/>
                <w:sz w:val="21"/>
                <w:szCs w:val="21"/>
              </w:rPr>
              <w:t>县政府办、县应急管理局、</w:t>
            </w:r>
            <w:r>
              <w:rPr>
                <w:sz w:val="21"/>
                <w:szCs w:val="21"/>
              </w:rPr>
              <w:t>市生态环境局绥宁分局，</w:t>
            </w:r>
            <w:r>
              <w:rPr>
                <w:rFonts w:hint="eastAsia"/>
                <w:sz w:val="21"/>
                <w:szCs w:val="21"/>
              </w:rPr>
              <w:t>县政府办、县应急管理局、县农业农村水利局</w:t>
            </w:r>
            <w:r>
              <w:rPr>
                <w:sz w:val="21"/>
                <w:szCs w:val="21"/>
              </w:rPr>
              <w:t>、市生态环境局绥宁分局立即赶赴现场指导事故先期处置工作，并判断事故等级情况；再根据事故的大小及发展态势向相关单位和部门报告。</w:t>
            </w:r>
          </w:p>
        </w:tc>
      </w:tr>
      <w:tr w14:paraId="0A9B6E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6" w:hRule="atLeast"/>
          <w:jc w:val="center"/>
        </w:trPr>
        <w:tc>
          <w:tcPr>
            <w:tcW w:w="1093" w:type="dxa"/>
            <w:vMerge w:val="restart"/>
            <w:tcBorders>
              <w:top w:val="single" w:color="auto" w:sz="4" w:space="0"/>
            </w:tcBorders>
            <w:vAlign w:val="center"/>
          </w:tcPr>
          <w:p w14:paraId="032CA8D1">
            <w:pPr>
              <w:spacing w:line="420" w:lineRule="exact"/>
              <w:jc w:val="center"/>
              <w:rPr>
                <w:b/>
                <w:sz w:val="21"/>
                <w:szCs w:val="21"/>
              </w:rPr>
            </w:pPr>
            <w:r>
              <w:rPr>
                <w:b/>
                <w:sz w:val="21"/>
                <w:szCs w:val="21"/>
              </w:rPr>
              <w:t>应急</w:t>
            </w:r>
          </w:p>
          <w:p w14:paraId="75B70A1A">
            <w:pPr>
              <w:spacing w:line="420" w:lineRule="exact"/>
              <w:jc w:val="center"/>
              <w:rPr>
                <w:b/>
                <w:sz w:val="21"/>
                <w:szCs w:val="21"/>
              </w:rPr>
            </w:pPr>
            <w:r>
              <w:rPr>
                <w:b/>
                <w:sz w:val="21"/>
                <w:szCs w:val="21"/>
              </w:rPr>
              <w:t>报告</w:t>
            </w:r>
          </w:p>
        </w:tc>
        <w:tc>
          <w:tcPr>
            <w:tcW w:w="2016" w:type="dxa"/>
            <w:gridSpan w:val="2"/>
            <w:tcBorders>
              <w:top w:val="single" w:color="auto" w:sz="4" w:space="0"/>
              <w:bottom w:val="single" w:color="auto" w:sz="4" w:space="0"/>
              <w:right w:val="single" w:color="auto" w:sz="4" w:space="0"/>
            </w:tcBorders>
            <w:vAlign w:val="center"/>
          </w:tcPr>
          <w:p w14:paraId="5E5A181F">
            <w:pPr>
              <w:spacing w:line="420" w:lineRule="exact"/>
              <w:jc w:val="center"/>
              <w:rPr>
                <w:sz w:val="21"/>
                <w:szCs w:val="21"/>
              </w:rPr>
            </w:pPr>
            <w:r>
              <w:rPr>
                <w:sz w:val="21"/>
                <w:szCs w:val="21"/>
              </w:rPr>
              <w:t>报告内容</w:t>
            </w:r>
          </w:p>
        </w:tc>
        <w:tc>
          <w:tcPr>
            <w:tcW w:w="5396" w:type="dxa"/>
            <w:gridSpan w:val="3"/>
            <w:tcBorders>
              <w:top w:val="single" w:color="auto" w:sz="4" w:space="0"/>
              <w:left w:val="single" w:color="auto" w:sz="4" w:space="0"/>
              <w:bottom w:val="single" w:color="auto" w:sz="4" w:space="0"/>
            </w:tcBorders>
            <w:vAlign w:val="center"/>
          </w:tcPr>
          <w:p w14:paraId="0174F6CD">
            <w:pPr>
              <w:spacing w:line="420" w:lineRule="exact"/>
              <w:jc w:val="center"/>
              <w:rPr>
                <w:sz w:val="21"/>
                <w:szCs w:val="21"/>
              </w:rPr>
            </w:pPr>
            <w:r>
              <w:rPr>
                <w:sz w:val="21"/>
                <w:szCs w:val="21"/>
              </w:rPr>
              <w:t>事故发生地点、主要风险物质、处置及扩散情况等</w:t>
            </w:r>
          </w:p>
        </w:tc>
      </w:tr>
      <w:tr w14:paraId="53B16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1093" w:type="dxa"/>
            <w:vMerge w:val="continue"/>
            <w:vAlign w:val="center"/>
          </w:tcPr>
          <w:p w14:paraId="111A1707">
            <w:pPr>
              <w:spacing w:line="420" w:lineRule="exact"/>
              <w:jc w:val="center"/>
              <w:rPr>
                <w:b/>
                <w:sz w:val="21"/>
                <w:szCs w:val="21"/>
              </w:rPr>
            </w:pPr>
          </w:p>
        </w:tc>
        <w:tc>
          <w:tcPr>
            <w:tcW w:w="2016" w:type="dxa"/>
            <w:gridSpan w:val="2"/>
            <w:tcBorders>
              <w:top w:val="single" w:color="auto" w:sz="4" w:space="0"/>
              <w:right w:val="single" w:color="auto" w:sz="4" w:space="0"/>
            </w:tcBorders>
            <w:vAlign w:val="center"/>
          </w:tcPr>
          <w:p w14:paraId="501CE78D">
            <w:pPr>
              <w:spacing w:line="420" w:lineRule="exact"/>
              <w:jc w:val="center"/>
              <w:rPr>
                <w:sz w:val="21"/>
                <w:szCs w:val="21"/>
              </w:rPr>
            </w:pPr>
            <w:r>
              <w:rPr>
                <w:rFonts w:hint="eastAsia"/>
                <w:sz w:val="21"/>
                <w:szCs w:val="21"/>
              </w:rPr>
              <w:t>应急管理局莫俊</w:t>
            </w:r>
          </w:p>
        </w:tc>
        <w:tc>
          <w:tcPr>
            <w:tcW w:w="1407" w:type="dxa"/>
            <w:tcBorders>
              <w:top w:val="single" w:color="auto" w:sz="4" w:space="0"/>
              <w:left w:val="single" w:color="auto" w:sz="4" w:space="0"/>
              <w:right w:val="single" w:color="auto" w:sz="4" w:space="0"/>
            </w:tcBorders>
            <w:vAlign w:val="center"/>
          </w:tcPr>
          <w:p w14:paraId="158FEF7F">
            <w:pPr>
              <w:spacing w:line="420" w:lineRule="exact"/>
              <w:jc w:val="center"/>
              <w:rPr>
                <w:sz w:val="21"/>
                <w:szCs w:val="21"/>
              </w:rPr>
            </w:pPr>
            <w:r>
              <w:rPr>
                <w:rFonts w:hint="eastAsia"/>
                <w:sz w:val="21"/>
                <w:szCs w:val="21"/>
              </w:rPr>
              <w:t>13786926799</w:t>
            </w:r>
          </w:p>
        </w:tc>
        <w:tc>
          <w:tcPr>
            <w:tcW w:w="1830" w:type="dxa"/>
            <w:tcBorders>
              <w:top w:val="single" w:color="auto" w:sz="4" w:space="0"/>
              <w:left w:val="single" w:color="auto" w:sz="4" w:space="0"/>
              <w:right w:val="single" w:color="auto" w:sz="4" w:space="0"/>
            </w:tcBorders>
            <w:vAlign w:val="center"/>
          </w:tcPr>
          <w:p w14:paraId="57179334">
            <w:pPr>
              <w:spacing w:line="420" w:lineRule="exact"/>
              <w:jc w:val="center"/>
              <w:rPr>
                <w:sz w:val="21"/>
                <w:szCs w:val="21"/>
              </w:rPr>
            </w:pPr>
            <w:r>
              <w:rPr>
                <w:sz w:val="21"/>
                <w:szCs w:val="21"/>
              </w:rPr>
              <w:t>县政府办</w:t>
            </w:r>
          </w:p>
        </w:tc>
        <w:tc>
          <w:tcPr>
            <w:tcW w:w="2159" w:type="dxa"/>
            <w:tcBorders>
              <w:top w:val="single" w:color="auto" w:sz="4" w:space="0"/>
              <w:left w:val="single" w:color="auto" w:sz="4" w:space="0"/>
            </w:tcBorders>
            <w:vAlign w:val="center"/>
          </w:tcPr>
          <w:p w14:paraId="7365D7FA">
            <w:pPr>
              <w:spacing w:line="420" w:lineRule="exact"/>
              <w:jc w:val="center"/>
              <w:rPr>
                <w:sz w:val="21"/>
                <w:szCs w:val="21"/>
              </w:rPr>
            </w:pPr>
            <w:r>
              <w:rPr>
                <w:sz w:val="21"/>
                <w:szCs w:val="21"/>
              </w:rPr>
              <w:t>7611063</w:t>
            </w:r>
          </w:p>
        </w:tc>
      </w:tr>
      <w:tr w14:paraId="6F923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75" w:hRule="atLeast"/>
          <w:jc w:val="center"/>
        </w:trPr>
        <w:tc>
          <w:tcPr>
            <w:tcW w:w="1093" w:type="dxa"/>
            <w:vAlign w:val="center"/>
          </w:tcPr>
          <w:p w14:paraId="77C179D3">
            <w:pPr>
              <w:spacing w:line="420" w:lineRule="exact"/>
              <w:jc w:val="center"/>
              <w:rPr>
                <w:b/>
                <w:sz w:val="21"/>
                <w:szCs w:val="21"/>
              </w:rPr>
            </w:pPr>
            <w:r>
              <w:rPr>
                <w:b/>
                <w:sz w:val="21"/>
                <w:szCs w:val="21"/>
              </w:rPr>
              <w:t>应急责</w:t>
            </w:r>
          </w:p>
          <w:p w14:paraId="32524F7B">
            <w:pPr>
              <w:spacing w:line="420" w:lineRule="exact"/>
              <w:jc w:val="center"/>
              <w:rPr>
                <w:b/>
                <w:sz w:val="21"/>
                <w:szCs w:val="21"/>
              </w:rPr>
            </w:pPr>
            <w:r>
              <w:rPr>
                <w:b/>
                <w:sz w:val="21"/>
                <w:szCs w:val="21"/>
              </w:rPr>
              <w:t>任单位</w:t>
            </w:r>
          </w:p>
        </w:tc>
        <w:tc>
          <w:tcPr>
            <w:tcW w:w="7412" w:type="dxa"/>
            <w:gridSpan w:val="5"/>
            <w:vAlign w:val="center"/>
          </w:tcPr>
          <w:p w14:paraId="7D0FF0AC">
            <w:pPr>
              <w:spacing w:line="420" w:lineRule="exact"/>
              <w:rPr>
                <w:sz w:val="21"/>
                <w:szCs w:val="21"/>
              </w:rPr>
            </w:pPr>
            <w:r>
              <w:rPr>
                <w:rFonts w:hint="eastAsia"/>
                <w:sz w:val="21"/>
                <w:szCs w:val="21"/>
              </w:rPr>
              <w:t>县政府办、县应急管理局、</w:t>
            </w:r>
            <w:r>
              <w:rPr>
                <w:sz w:val="21"/>
                <w:szCs w:val="21"/>
              </w:rPr>
              <w:t>事故责任单位、市生态环境局绥宁分局、</w:t>
            </w:r>
            <w:r>
              <w:rPr>
                <w:rFonts w:hint="eastAsia" w:ascii="Times New Roman" w:eastAsia="宋体"/>
                <w:sz w:val="21"/>
                <w:szCs w:val="21"/>
                <w:lang w:val="en-US" w:eastAsia="zh-CN"/>
              </w:rPr>
              <w:t>产业园区管委会</w:t>
            </w:r>
            <w:r>
              <w:rPr>
                <w:sz w:val="21"/>
                <w:szCs w:val="21"/>
              </w:rPr>
              <w:t>、</w:t>
            </w:r>
            <w:r>
              <w:rPr>
                <w:rFonts w:hint="eastAsia"/>
                <w:sz w:val="21"/>
                <w:szCs w:val="21"/>
              </w:rPr>
              <w:t>关峡苗族乡政府</w:t>
            </w:r>
            <w:r>
              <w:rPr>
                <w:sz w:val="21"/>
                <w:szCs w:val="21"/>
              </w:rPr>
              <w:t>等。</w:t>
            </w:r>
          </w:p>
        </w:tc>
      </w:tr>
      <w:tr w14:paraId="4FEC8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40" w:hRule="atLeast"/>
          <w:jc w:val="center"/>
        </w:trPr>
        <w:tc>
          <w:tcPr>
            <w:tcW w:w="1093" w:type="dxa"/>
            <w:vAlign w:val="center"/>
          </w:tcPr>
          <w:p w14:paraId="2EC803B9">
            <w:pPr>
              <w:spacing w:line="420" w:lineRule="exact"/>
              <w:jc w:val="center"/>
              <w:rPr>
                <w:b/>
                <w:sz w:val="21"/>
                <w:szCs w:val="21"/>
              </w:rPr>
            </w:pPr>
            <w:r>
              <w:rPr>
                <w:b/>
                <w:sz w:val="21"/>
                <w:szCs w:val="21"/>
              </w:rPr>
              <w:t>应急处</w:t>
            </w:r>
          </w:p>
          <w:p w14:paraId="32ABF990">
            <w:pPr>
              <w:spacing w:line="420" w:lineRule="exact"/>
              <w:jc w:val="center"/>
              <w:rPr>
                <w:b/>
                <w:sz w:val="21"/>
                <w:szCs w:val="21"/>
              </w:rPr>
            </w:pPr>
            <w:r>
              <w:rPr>
                <w:b/>
                <w:sz w:val="21"/>
                <w:szCs w:val="21"/>
              </w:rPr>
              <w:t>置措施</w:t>
            </w:r>
          </w:p>
        </w:tc>
        <w:tc>
          <w:tcPr>
            <w:tcW w:w="7412" w:type="dxa"/>
            <w:gridSpan w:val="5"/>
          </w:tcPr>
          <w:p w14:paraId="3CED9432">
            <w:pPr>
              <w:spacing w:line="360" w:lineRule="exact"/>
              <w:ind w:firstLine="420"/>
              <w:rPr>
                <w:rFonts w:hint="eastAsia"/>
                <w:sz w:val="21"/>
                <w:szCs w:val="21"/>
              </w:rPr>
            </w:pPr>
            <w:r>
              <w:rPr>
                <w:sz w:val="21"/>
                <w:szCs w:val="21"/>
              </w:rPr>
              <w:t>事发责任单位启动本单位的应急预案，力争将</w:t>
            </w:r>
            <w:r>
              <w:rPr>
                <w:rFonts w:hint="eastAsia"/>
                <w:sz w:val="21"/>
                <w:szCs w:val="21"/>
              </w:rPr>
              <w:t>消防废液</w:t>
            </w:r>
            <w:r>
              <w:rPr>
                <w:sz w:val="21"/>
                <w:szCs w:val="21"/>
              </w:rPr>
              <w:t>控制在本单位内、不流入外环境；若</w:t>
            </w:r>
            <w:r>
              <w:rPr>
                <w:rFonts w:hint="eastAsia"/>
                <w:sz w:val="21"/>
                <w:szCs w:val="21"/>
              </w:rPr>
              <w:t>消防废液</w:t>
            </w:r>
            <w:r>
              <w:rPr>
                <w:sz w:val="21"/>
                <w:szCs w:val="21"/>
              </w:rPr>
              <w:t>已经流出厂外</w:t>
            </w:r>
            <w:r>
              <w:rPr>
                <w:rFonts w:hint="eastAsia"/>
                <w:sz w:val="21"/>
                <w:szCs w:val="21"/>
              </w:rPr>
              <w:t>并流向兰溪</w:t>
            </w:r>
            <w:r>
              <w:rPr>
                <w:sz w:val="21"/>
                <w:szCs w:val="21"/>
              </w:rPr>
              <w:t>，则启动饮用水源地</w:t>
            </w:r>
            <w:r>
              <w:rPr>
                <w:rFonts w:hint="eastAsia"/>
                <w:sz w:val="21"/>
                <w:szCs w:val="21"/>
              </w:rPr>
              <w:t>突发</w:t>
            </w:r>
            <w:r>
              <w:rPr>
                <w:sz w:val="21"/>
                <w:szCs w:val="21"/>
              </w:rPr>
              <w:t>环境应急预案，并按照</w:t>
            </w:r>
            <w:r>
              <w:rPr>
                <w:rFonts w:hint="eastAsia"/>
                <w:sz w:val="21"/>
                <w:szCs w:val="21"/>
              </w:rPr>
              <w:t>橙色</w:t>
            </w:r>
            <w:r>
              <w:rPr>
                <w:sz w:val="21"/>
                <w:szCs w:val="21"/>
              </w:rPr>
              <w:t>或</w:t>
            </w:r>
            <w:r>
              <w:rPr>
                <w:rFonts w:hint="eastAsia"/>
                <w:sz w:val="21"/>
                <w:szCs w:val="21"/>
              </w:rPr>
              <w:t>红色</w:t>
            </w:r>
            <w:r>
              <w:rPr>
                <w:sz w:val="21"/>
                <w:szCs w:val="21"/>
              </w:rPr>
              <w:t>响应执行</w:t>
            </w:r>
            <w:r>
              <w:rPr>
                <w:rFonts w:hint="eastAsia"/>
                <w:sz w:val="21"/>
                <w:szCs w:val="21"/>
              </w:rPr>
              <w:t>：</w:t>
            </w:r>
          </w:p>
          <w:p w14:paraId="300EFC6F">
            <w:pPr>
              <w:spacing w:line="360" w:lineRule="exact"/>
              <w:ind w:firstLine="420"/>
              <w:rPr>
                <w:sz w:val="21"/>
                <w:szCs w:val="21"/>
              </w:rPr>
            </w:pPr>
            <w:r>
              <w:rPr>
                <w:rFonts w:hint="eastAsia"/>
                <w:sz w:val="21"/>
                <w:szCs w:val="21"/>
              </w:rPr>
              <w:t>（1）</w:t>
            </w:r>
            <w:r>
              <w:rPr>
                <w:sz w:val="21"/>
                <w:szCs w:val="21"/>
              </w:rPr>
              <w:t>截源  应急处置组</w:t>
            </w:r>
            <w:r>
              <w:rPr>
                <w:rFonts w:hint="eastAsia"/>
                <w:sz w:val="21"/>
                <w:szCs w:val="21"/>
              </w:rPr>
              <w:t>可</w:t>
            </w:r>
            <w:r>
              <w:rPr>
                <w:sz w:val="21"/>
                <w:szCs w:val="21"/>
              </w:rPr>
              <w:t>在水源地保护区陆域内采取以下截流措施：</w:t>
            </w:r>
          </w:p>
          <w:p w14:paraId="1D5C42A9">
            <w:pPr>
              <w:spacing w:line="360" w:lineRule="exact"/>
              <w:ind w:firstLine="420"/>
              <w:rPr>
                <w:sz w:val="21"/>
                <w:szCs w:val="21"/>
              </w:rPr>
            </w:pPr>
            <w:r>
              <w:rPr>
                <w:rFonts w:hint="eastAsia"/>
                <w:sz w:val="21"/>
                <w:szCs w:val="21"/>
              </w:rPr>
              <w:t>1.尽量将消防废液截留在厂内，充分利用公司现有的围堰、应急池等应急设施，对流出的消防废液进行围堵；构筑围堰、挖坑收容，尽量不使消防废液流入水源地保护区。</w:t>
            </w:r>
          </w:p>
          <w:p w14:paraId="393892B9">
            <w:pPr>
              <w:spacing w:line="360" w:lineRule="exact"/>
              <w:ind w:firstLine="420"/>
              <w:rPr>
                <w:rFonts w:hint="eastAsia"/>
                <w:sz w:val="21"/>
                <w:szCs w:val="21"/>
              </w:rPr>
            </w:pPr>
            <w:r>
              <w:rPr>
                <w:rFonts w:hint="eastAsia"/>
                <w:sz w:val="21"/>
                <w:szCs w:val="21"/>
              </w:rPr>
              <w:t>2.利用固定风险源与水源地保护区相近的导流沟，或临近地势低洼处构</w:t>
            </w:r>
            <w:r>
              <w:rPr>
                <w:sz w:val="21"/>
                <w:szCs w:val="21"/>
              </w:rPr>
              <w:t>筑拦截坝等</w:t>
            </w:r>
            <w:r>
              <w:rPr>
                <w:rFonts w:hint="eastAsia"/>
                <w:sz w:val="21"/>
                <w:szCs w:val="21"/>
              </w:rPr>
              <w:t>，避免消防废液进入水体。大量泄漏：构筑围堤或挖坑收容。用水泵转移消防废液至槽车或专用收集器内，回收或运至废水处理场所处置。</w:t>
            </w:r>
          </w:p>
          <w:p w14:paraId="0D833787">
            <w:pPr>
              <w:spacing w:line="360" w:lineRule="exact"/>
              <w:ind w:firstLine="420"/>
              <w:rPr>
                <w:rFonts w:hint="eastAsia"/>
                <w:sz w:val="21"/>
                <w:szCs w:val="21"/>
              </w:rPr>
            </w:pPr>
            <w:r>
              <w:rPr>
                <w:sz w:val="21"/>
                <w:szCs w:val="21"/>
              </w:rPr>
              <w:t>（2）</w:t>
            </w:r>
            <w:r>
              <w:rPr>
                <w:rFonts w:hint="eastAsia"/>
                <w:sz w:val="21"/>
                <w:szCs w:val="21"/>
              </w:rPr>
              <w:t>上报、通报</w:t>
            </w:r>
            <w:r>
              <w:rPr>
                <w:sz w:val="21"/>
                <w:szCs w:val="21"/>
              </w:rPr>
              <w:t xml:space="preserve">  </w:t>
            </w:r>
            <w:r>
              <w:rPr>
                <w:rFonts w:hint="eastAsia"/>
                <w:sz w:val="21"/>
                <w:szCs w:val="21"/>
              </w:rPr>
              <w:t>事故单位或发现人应立即上报县应急管理局和县生态环境分局等单位，县应急管理局通知湘商产业园管委会和关峡水厂做好应对准备。</w:t>
            </w:r>
          </w:p>
          <w:p w14:paraId="6B9DA933">
            <w:pPr>
              <w:spacing w:line="360" w:lineRule="exact"/>
              <w:ind w:firstLine="420"/>
              <w:rPr>
                <w:rFonts w:hint="eastAsia"/>
                <w:sz w:val="21"/>
                <w:szCs w:val="21"/>
              </w:rPr>
            </w:pPr>
            <w:r>
              <w:rPr>
                <w:sz w:val="21"/>
                <w:szCs w:val="21"/>
              </w:rPr>
              <w:t xml:space="preserve">（3）监测  </w:t>
            </w:r>
            <w:r>
              <w:rPr>
                <w:rFonts w:hint="eastAsia"/>
                <w:sz w:val="21"/>
                <w:szCs w:val="21"/>
              </w:rPr>
              <w:t>县应急管理局组织应急监测组</w:t>
            </w:r>
            <w:r>
              <w:rPr>
                <w:sz w:val="21"/>
                <w:szCs w:val="21"/>
              </w:rPr>
              <w:t>在</w:t>
            </w:r>
            <w:r>
              <w:rPr>
                <w:rFonts w:hint="eastAsia"/>
                <w:sz w:val="21"/>
                <w:szCs w:val="21"/>
              </w:rPr>
              <w:t>风险物质</w:t>
            </w:r>
            <w:r>
              <w:rPr>
                <w:sz w:val="21"/>
                <w:szCs w:val="21"/>
              </w:rPr>
              <w:t>等入水源地保护区一级水域、二级水域边界、污染区及</w:t>
            </w:r>
            <w:r>
              <w:rPr>
                <w:rFonts w:hint="eastAsia"/>
                <w:sz w:val="21"/>
                <w:szCs w:val="21"/>
              </w:rPr>
              <w:t>关峡</w:t>
            </w:r>
            <w:r>
              <w:rPr>
                <w:sz w:val="21"/>
                <w:szCs w:val="21"/>
              </w:rPr>
              <w:t>水厂、水源地保护区取水口等位置布点监测，监测因子为</w:t>
            </w:r>
            <w:r>
              <w:rPr>
                <w:rFonts w:hint="eastAsia"/>
                <w:sz w:val="21"/>
                <w:szCs w:val="21"/>
              </w:rPr>
              <w:t>pH、SS、COD、石油类</w:t>
            </w:r>
            <w:r>
              <w:rPr>
                <w:sz w:val="21"/>
                <w:szCs w:val="21"/>
              </w:rPr>
              <w:t>等；</w:t>
            </w:r>
            <w:r>
              <w:rPr>
                <w:rFonts w:hint="eastAsia"/>
                <w:sz w:val="21"/>
                <w:szCs w:val="21"/>
              </w:rPr>
              <w:t>并开展水质跟踪监测，判断各断面、点位水质变化趋势，为县人民政府组织做好应急处置提供依据。</w:t>
            </w:r>
          </w:p>
          <w:p w14:paraId="4BE5A2C5">
            <w:pPr>
              <w:spacing w:line="360" w:lineRule="exact"/>
              <w:ind w:firstLine="420"/>
              <w:rPr>
                <w:sz w:val="21"/>
                <w:szCs w:val="21"/>
              </w:rPr>
            </w:pPr>
            <w:r>
              <w:rPr>
                <w:sz w:val="21"/>
                <w:szCs w:val="21"/>
              </w:rPr>
              <w:t xml:space="preserve">（4）协调  </w:t>
            </w:r>
            <w:r>
              <w:rPr>
                <w:rFonts w:hint="eastAsia"/>
                <w:sz w:val="21"/>
                <w:szCs w:val="21"/>
              </w:rPr>
              <w:t>县应急管理局组织</w:t>
            </w:r>
            <w:r>
              <w:rPr>
                <w:sz w:val="21"/>
                <w:szCs w:val="21"/>
              </w:rPr>
              <w:t>综合组及时告知</w:t>
            </w:r>
            <w:r>
              <w:rPr>
                <w:rFonts w:hint="eastAsia"/>
                <w:sz w:val="21"/>
                <w:szCs w:val="21"/>
              </w:rPr>
              <w:t>湘商产业园管委会和关峡水厂</w:t>
            </w:r>
            <w:r>
              <w:rPr>
                <w:sz w:val="21"/>
                <w:szCs w:val="21"/>
              </w:rPr>
              <w:t>，增加取水水质监测频次，密切关注供水的出水水质情况，</w:t>
            </w:r>
            <w:r>
              <w:rPr>
                <w:rFonts w:hint="eastAsia"/>
                <w:sz w:val="21"/>
                <w:szCs w:val="21"/>
              </w:rPr>
              <w:t>采取强化混凝等措施尽量保证供水水质达标，做好低压供水、停止取水的准备，</w:t>
            </w:r>
            <w:r>
              <w:rPr>
                <w:sz w:val="21"/>
                <w:szCs w:val="21"/>
              </w:rPr>
              <w:t>并将进出水水质异常情况</w:t>
            </w:r>
            <w:r>
              <w:rPr>
                <w:rFonts w:hint="eastAsia"/>
                <w:sz w:val="21"/>
                <w:szCs w:val="21"/>
              </w:rPr>
              <w:t>报告县应急管理局、县生态环境分局</w:t>
            </w:r>
            <w:r>
              <w:rPr>
                <w:sz w:val="21"/>
                <w:szCs w:val="21"/>
              </w:rPr>
              <w:t>、县</w:t>
            </w:r>
            <w:r>
              <w:rPr>
                <w:rFonts w:hint="eastAsia"/>
                <w:sz w:val="21"/>
                <w:szCs w:val="21"/>
              </w:rPr>
              <w:t>卫健局</w:t>
            </w:r>
            <w:r>
              <w:rPr>
                <w:sz w:val="21"/>
                <w:szCs w:val="21"/>
              </w:rPr>
              <w:t>等相关单位。</w:t>
            </w:r>
          </w:p>
          <w:p w14:paraId="31393CCA">
            <w:pPr>
              <w:spacing w:line="360" w:lineRule="exact"/>
              <w:ind w:firstLine="420"/>
              <w:rPr>
                <w:sz w:val="21"/>
                <w:szCs w:val="21"/>
              </w:rPr>
            </w:pPr>
            <w:r>
              <w:rPr>
                <w:sz w:val="21"/>
                <w:szCs w:val="21"/>
              </w:rPr>
              <w:t xml:space="preserve">（5）善后  </w:t>
            </w:r>
            <w:r>
              <w:rPr>
                <w:rFonts w:hint="eastAsia"/>
                <w:sz w:val="21"/>
                <w:szCs w:val="21"/>
              </w:rPr>
              <w:t>县应急管理局组织</w:t>
            </w:r>
            <w:r>
              <w:rPr>
                <w:sz w:val="21"/>
                <w:szCs w:val="21"/>
              </w:rPr>
              <w:t>应急供水保障组负责做好饮用水正常供水保障工作，负责与其他相关单位联系。</w:t>
            </w:r>
          </w:p>
        </w:tc>
      </w:tr>
    </w:tbl>
    <w:p w14:paraId="4D7A0935">
      <w:pPr>
        <w:autoSpaceDE w:val="0"/>
        <w:autoSpaceDN w:val="0"/>
        <w:adjustRightInd w:val="0"/>
        <w:spacing w:line="240" w:lineRule="auto"/>
        <w:jc w:val="center"/>
        <w:rPr>
          <w:b/>
          <w:sz w:val="21"/>
          <w:szCs w:val="21"/>
        </w:rPr>
      </w:pPr>
    </w:p>
    <w:p w14:paraId="2D5C8556">
      <w:pPr>
        <w:autoSpaceDE w:val="0"/>
        <w:autoSpaceDN w:val="0"/>
        <w:adjustRightInd w:val="0"/>
        <w:spacing w:line="240" w:lineRule="auto"/>
        <w:jc w:val="center"/>
        <w:rPr>
          <w:b/>
          <w:szCs w:val="21"/>
          <w:lang w:val="zh-CN"/>
        </w:rPr>
      </w:pPr>
      <w:r>
        <w:rPr>
          <w:b/>
          <w:sz w:val="21"/>
          <w:szCs w:val="21"/>
        </w:rPr>
        <w:t>表</w:t>
      </w:r>
      <w:r>
        <w:rPr>
          <w:b/>
          <w:sz w:val="21"/>
          <w:szCs w:val="21"/>
          <w:lang w:val="zh-CN"/>
        </w:rPr>
        <w:t>3-</w:t>
      </w:r>
      <w:r>
        <w:rPr>
          <w:rFonts w:hint="eastAsia"/>
          <w:b/>
          <w:sz w:val="21"/>
          <w:szCs w:val="21"/>
        </w:rPr>
        <w:t>8</w:t>
      </w:r>
      <w:r>
        <w:rPr>
          <w:b/>
          <w:sz w:val="21"/>
          <w:szCs w:val="21"/>
          <w:lang w:val="zh-CN"/>
        </w:rPr>
        <w:t xml:space="preserve">  陆域流动源突发环境事件应急卡</w:t>
      </w:r>
    </w:p>
    <w:tbl>
      <w:tblPr>
        <w:tblStyle w:val="20"/>
        <w:tblW w:w="89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6"/>
        <w:gridCol w:w="1158"/>
        <w:gridCol w:w="865"/>
        <w:gridCol w:w="2013"/>
        <w:gridCol w:w="1871"/>
        <w:gridCol w:w="1863"/>
      </w:tblGrid>
      <w:tr w14:paraId="2700D6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1146" w:type="dxa"/>
            <w:vMerge w:val="restart"/>
            <w:vAlign w:val="center"/>
          </w:tcPr>
          <w:p w14:paraId="47A0D786">
            <w:pPr>
              <w:spacing w:line="420" w:lineRule="exact"/>
              <w:jc w:val="center"/>
              <w:rPr>
                <w:sz w:val="21"/>
                <w:szCs w:val="21"/>
              </w:rPr>
            </w:pPr>
            <w:r>
              <w:rPr>
                <w:sz w:val="21"/>
                <w:szCs w:val="21"/>
              </w:rPr>
              <w:t>风险</w:t>
            </w:r>
          </w:p>
          <w:p w14:paraId="1BBB051A">
            <w:pPr>
              <w:spacing w:line="420" w:lineRule="exact"/>
              <w:jc w:val="center"/>
              <w:rPr>
                <w:sz w:val="21"/>
                <w:szCs w:val="21"/>
              </w:rPr>
            </w:pPr>
            <w:r>
              <w:rPr>
                <w:sz w:val="21"/>
                <w:szCs w:val="21"/>
              </w:rPr>
              <w:t>特征</w:t>
            </w:r>
          </w:p>
        </w:tc>
        <w:tc>
          <w:tcPr>
            <w:tcW w:w="1158" w:type="dxa"/>
            <w:tcBorders>
              <w:bottom w:val="single" w:color="auto" w:sz="4" w:space="0"/>
              <w:right w:val="single" w:color="auto" w:sz="4" w:space="0"/>
            </w:tcBorders>
            <w:vAlign w:val="center"/>
          </w:tcPr>
          <w:p w14:paraId="509B27F5">
            <w:pPr>
              <w:spacing w:line="420" w:lineRule="exact"/>
              <w:jc w:val="center"/>
              <w:rPr>
                <w:sz w:val="21"/>
                <w:szCs w:val="21"/>
              </w:rPr>
            </w:pPr>
            <w:r>
              <w:rPr>
                <w:sz w:val="21"/>
                <w:szCs w:val="21"/>
              </w:rPr>
              <w:t>事故地点</w:t>
            </w:r>
          </w:p>
        </w:tc>
        <w:tc>
          <w:tcPr>
            <w:tcW w:w="6612" w:type="dxa"/>
            <w:gridSpan w:val="4"/>
            <w:tcBorders>
              <w:left w:val="single" w:color="auto" w:sz="4" w:space="0"/>
              <w:bottom w:val="single" w:color="auto" w:sz="4" w:space="0"/>
            </w:tcBorders>
            <w:vAlign w:val="center"/>
          </w:tcPr>
          <w:p w14:paraId="3627D0F9">
            <w:pPr>
              <w:spacing w:line="240" w:lineRule="auto"/>
              <w:jc w:val="center"/>
              <w:rPr>
                <w:sz w:val="21"/>
                <w:szCs w:val="21"/>
              </w:rPr>
            </w:pPr>
            <w:r>
              <w:rPr>
                <w:rFonts w:hint="eastAsia"/>
                <w:sz w:val="21"/>
                <w:szCs w:val="21"/>
              </w:rPr>
              <w:t>S248上</w:t>
            </w:r>
            <w:r>
              <w:rPr>
                <w:sz w:val="21"/>
                <w:szCs w:val="21"/>
              </w:rPr>
              <w:t>汽车发生交通事故</w:t>
            </w:r>
            <w:r>
              <w:rPr>
                <w:rFonts w:hint="eastAsia"/>
                <w:sz w:val="21"/>
                <w:szCs w:val="21"/>
              </w:rPr>
              <w:t>导致风险物质</w:t>
            </w:r>
            <w:r>
              <w:rPr>
                <w:sz w:val="21"/>
                <w:szCs w:val="21"/>
              </w:rPr>
              <w:t>泄漏</w:t>
            </w:r>
            <w:r>
              <w:rPr>
                <w:rFonts w:hint="eastAsia"/>
                <w:sz w:val="21"/>
                <w:szCs w:val="21"/>
              </w:rPr>
              <w:t>致使</w:t>
            </w:r>
            <w:r>
              <w:rPr>
                <w:sz w:val="21"/>
                <w:szCs w:val="21"/>
              </w:rPr>
              <w:t>水体受到污染</w:t>
            </w:r>
          </w:p>
        </w:tc>
      </w:tr>
      <w:tr w14:paraId="197558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5" w:hRule="atLeast"/>
          <w:jc w:val="center"/>
        </w:trPr>
        <w:tc>
          <w:tcPr>
            <w:tcW w:w="1146" w:type="dxa"/>
            <w:vMerge w:val="continue"/>
            <w:vAlign w:val="center"/>
          </w:tcPr>
          <w:p w14:paraId="5BBB5CD9">
            <w:pPr>
              <w:spacing w:line="420" w:lineRule="exact"/>
              <w:jc w:val="center"/>
              <w:rPr>
                <w:sz w:val="21"/>
                <w:szCs w:val="21"/>
              </w:rPr>
            </w:pPr>
          </w:p>
        </w:tc>
        <w:tc>
          <w:tcPr>
            <w:tcW w:w="1158" w:type="dxa"/>
            <w:tcBorders>
              <w:bottom w:val="single" w:color="auto" w:sz="4" w:space="0"/>
              <w:right w:val="single" w:color="auto" w:sz="4" w:space="0"/>
            </w:tcBorders>
            <w:vAlign w:val="center"/>
          </w:tcPr>
          <w:p w14:paraId="0D6385B4">
            <w:pPr>
              <w:spacing w:line="420" w:lineRule="exact"/>
              <w:jc w:val="center"/>
              <w:rPr>
                <w:sz w:val="21"/>
                <w:szCs w:val="21"/>
              </w:rPr>
            </w:pPr>
            <w:r>
              <w:rPr>
                <w:sz w:val="21"/>
                <w:szCs w:val="21"/>
              </w:rPr>
              <w:t>风险物质</w:t>
            </w:r>
          </w:p>
        </w:tc>
        <w:tc>
          <w:tcPr>
            <w:tcW w:w="6612" w:type="dxa"/>
            <w:gridSpan w:val="4"/>
            <w:tcBorders>
              <w:left w:val="single" w:color="auto" w:sz="4" w:space="0"/>
              <w:bottom w:val="single" w:color="auto" w:sz="4" w:space="0"/>
            </w:tcBorders>
            <w:vAlign w:val="center"/>
          </w:tcPr>
          <w:p w14:paraId="7B9664F3">
            <w:pPr>
              <w:spacing w:line="420" w:lineRule="exact"/>
              <w:jc w:val="center"/>
              <w:rPr>
                <w:rFonts w:hint="eastAsia"/>
                <w:sz w:val="21"/>
                <w:szCs w:val="21"/>
              </w:rPr>
            </w:pPr>
            <w:r>
              <w:rPr>
                <w:sz w:val="21"/>
                <w:szCs w:val="21"/>
              </w:rPr>
              <w:t>柴油、汽油</w:t>
            </w:r>
            <w:r>
              <w:rPr>
                <w:rFonts w:hint="eastAsia"/>
                <w:sz w:val="21"/>
                <w:szCs w:val="21"/>
              </w:rPr>
              <w:t>、危险化学品</w:t>
            </w:r>
          </w:p>
        </w:tc>
      </w:tr>
      <w:tr w14:paraId="1CC047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99" w:hRule="atLeast"/>
          <w:jc w:val="center"/>
        </w:trPr>
        <w:tc>
          <w:tcPr>
            <w:tcW w:w="1146" w:type="dxa"/>
            <w:vMerge w:val="continue"/>
            <w:vAlign w:val="center"/>
          </w:tcPr>
          <w:p w14:paraId="2FC0D7D3">
            <w:pPr>
              <w:spacing w:line="420" w:lineRule="exact"/>
              <w:jc w:val="center"/>
              <w:rPr>
                <w:sz w:val="21"/>
                <w:szCs w:val="21"/>
              </w:rPr>
            </w:pPr>
          </w:p>
        </w:tc>
        <w:tc>
          <w:tcPr>
            <w:tcW w:w="1158" w:type="dxa"/>
            <w:tcBorders>
              <w:top w:val="single" w:color="auto" w:sz="4" w:space="0"/>
              <w:right w:val="single" w:color="auto" w:sz="4" w:space="0"/>
            </w:tcBorders>
            <w:vAlign w:val="center"/>
          </w:tcPr>
          <w:p w14:paraId="3AFAC25F">
            <w:pPr>
              <w:spacing w:line="420" w:lineRule="exact"/>
              <w:jc w:val="center"/>
              <w:rPr>
                <w:sz w:val="21"/>
                <w:szCs w:val="21"/>
              </w:rPr>
            </w:pPr>
            <w:r>
              <w:rPr>
                <w:sz w:val="21"/>
                <w:szCs w:val="21"/>
              </w:rPr>
              <w:t>事故说明</w:t>
            </w:r>
          </w:p>
        </w:tc>
        <w:tc>
          <w:tcPr>
            <w:tcW w:w="6612" w:type="dxa"/>
            <w:gridSpan w:val="4"/>
            <w:tcBorders>
              <w:top w:val="single" w:color="auto" w:sz="4" w:space="0"/>
              <w:left w:val="single" w:color="auto" w:sz="4" w:space="0"/>
            </w:tcBorders>
            <w:vAlign w:val="center"/>
          </w:tcPr>
          <w:p w14:paraId="384F11D6">
            <w:pPr>
              <w:spacing w:line="240" w:lineRule="auto"/>
              <w:jc w:val="center"/>
              <w:rPr>
                <w:sz w:val="21"/>
                <w:szCs w:val="21"/>
              </w:rPr>
            </w:pPr>
            <w:r>
              <w:rPr>
                <w:bCs/>
                <w:sz w:val="21"/>
                <w:szCs w:val="21"/>
                <w:lang w:val="zh-CN"/>
              </w:rPr>
              <w:t>指位于保护区</w:t>
            </w:r>
            <w:r>
              <w:rPr>
                <w:rFonts w:hint="eastAsia"/>
                <w:bCs/>
                <w:sz w:val="21"/>
                <w:szCs w:val="21"/>
              </w:rPr>
              <w:t>上游</w:t>
            </w:r>
            <w:r>
              <w:rPr>
                <w:bCs/>
                <w:sz w:val="21"/>
                <w:szCs w:val="21"/>
                <w:lang w:val="zh-CN"/>
              </w:rPr>
              <w:t>陆域范围中的公路的车辆发生的油品</w:t>
            </w:r>
            <w:r>
              <w:rPr>
                <w:rFonts w:hint="eastAsia" w:ascii="Times New Roman"/>
                <w:bCs/>
                <w:sz w:val="21"/>
                <w:szCs w:val="21"/>
                <w:lang w:val="zh-CN"/>
              </w:rPr>
              <w:t>、</w:t>
            </w:r>
            <w:r>
              <w:rPr>
                <w:rFonts w:hint="eastAsia"/>
                <w:bCs/>
                <w:sz w:val="21"/>
                <w:szCs w:val="21"/>
              </w:rPr>
              <w:t>危险化学品等</w:t>
            </w:r>
            <w:r>
              <w:rPr>
                <w:bCs/>
                <w:sz w:val="21"/>
                <w:szCs w:val="21"/>
                <w:lang w:val="zh-CN"/>
              </w:rPr>
              <w:t>泄漏等环境事件，由于其距离保护区的水域距离较近，可能对</w:t>
            </w:r>
            <w:r>
              <w:rPr>
                <w:bCs/>
                <w:sz w:val="21"/>
                <w:szCs w:val="21"/>
              </w:rPr>
              <w:t>保护区</w:t>
            </w:r>
            <w:r>
              <w:rPr>
                <w:bCs/>
                <w:sz w:val="21"/>
                <w:szCs w:val="21"/>
                <w:lang w:val="zh-CN"/>
              </w:rPr>
              <w:t>水质造成严重影响</w:t>
            </w:r>
            <w:r>
              <w:rPr>
                <w:sz w:val="21"/>
                <w:szCs w:val="21"/>
              </w:rPr>
              <w:t>。</w:t>
            </w:r>
          </w:p>
        </w:tc>
      </w:tr>
      <w:tr w14:paraId="33E3D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26" w:hRule="atLeast"/>
          <w:jc w:val="center"/>
        </w:trPr>
        <w:tc>
          <w:tcPr>
            <w:tcW w:w="1146" w:type="dxa"/>
            <w:vAlign w:val="center"/>
          </w:tcPr>
          <w:p w14:paraId="2E024AF7">
            <w:pPr>
              <w:spacing w:line="420" w:lineRule="exact"/>
              <w:jc w:val="center"/>
              <w:rPr>
                <w:sz w:val="21"/>
                <w:szCs w:val="21"/>
              </w:rPr>
            </w:pPr>
            <w:r>
              <w:rPr>
                <w:sz w:val="21"/>
                <w:szCs w:val="21"/>
              </w:rPr>
              <w:t>应急</w:t>
            </w:r>
          </w:p>
          <w:p w14:paraId="400FAF86">
            <w:pPr>
              <w:spacing w:line="420" w:lineRule="exact"/>
              <w:jc w:val="center"/>
              <w:rPr>
                <w:sz w:val="21"/>
                <w:szCs w:val="21"/>
              </w:rPr>
            </w:pPr>
            <w:r>
              <w:rPr>
                <w:sz w:val="21"/>
                <w:szCs w:val="21"/>
              </w:rPr>
              <w:t>程序</w:t>
            </w:r>
          </w:p>
        </w:tc>
        <w:tc>
          <w:tcPr>
            <w:tcW w:w="7770" w:type="dxa"/>
            <w:gridSpan w:val="5"/>
            <w:vAlign w:val="center"/>
          </w:tcPr>
          <w:p w14:paraId="68DFC53A">
            <w:pPr>
              <w:spacing w:line="240" w:lineRule="auto"/>
              <w:jc w:val="center"/>
              <w:rPr>
                <w:sz w:val="21"/>
                <w:szCs w:val="21"/>
              </w:rPr>
            </w:pPr>
            <w:r>
              <w:rPr>
                <w:sz w:val="21"/>
                <w:szCs w:val="21"/>
              </w:rPr>
              <w:t>事故</w:t>
            </w:r>
            <w:r>
              <w:rPr>
                <w:rFonts w:hint="eastAsia"/>
                <w:sz w:val="21"/>
                <w:szCs w:val="21"/>
              </w:rPr>
              <w:t>车辆司机</w:t>
            </w:r>
            <w:r>
              <w:rPr>
                <w:sz w:val="21"/>
                <w:szCs w:val="21"/>
              </w:rPr>
              <w:t>或发现人立即</w:t>
            </w:r>
            <w:r>
              <w:rPr>
                <w:rFonts w:hint="eastAsia"/>
                <w:sz w:val="21"/>
                <w:szCs w:val="21"/>
              </w:rPr>
              <w:t>上报县政府办、县应急管理局</w:t>
            </w:r>
            <w:r>
              <w:rPr>
                <w:sz w:val="21"/>
                <w:szCs w:val="21"/>
              </w:rPr>
              <w:t>、</w:t>
            </w:r>
            <w:r>
              <w:rPr>
                <w:rFonts w:hint="eastAsia"/>
                <w:sz w:val="21"/>
                <w:szCs w:val="21"/>
              </w:rPr>
              <w:t>县交通局</w:t>
            </w:r>
            <w:r>
              <w:rPr>
                <w:sz w:val="21"/>
                <w:szCs w:val="21"/>
              </w:rPr>
              <w:t>、</w:t>
            </w:r>
            <w:r>
              <w:rPr>
                <w:rFonts w:hint="eastAsia"/>
                <w:sz w:val="21"/>
                <w:szCs w:val="21"/>
              </w:rPr>
              <w:t>生态环境分</w:t>
            </w:r>
            <w:r>
              <w:rPr>
                <w:sz w:val="21"/>
                <w:szCs w:val="21"/>
              </w:rPr>
              <w:t>局</w:t>
            </w:r>
            <w:r>
              <w:rPr>
                <w:rFonts w:hint="eastAsia"/>
                <w:sz w:val="21"/>
                <w:szCs w:val="21"/>
              </w:rPr>
              <w:t>、关峡</w:t>
            </w:r>
            <w:r>
              <w:rPr>
                <w:sz w:val="21"/>
                <w:szCs w:val="21"/>
              </w:rPr>
              <w:t>水厂等，</w:t>
            </w:r>
            <w:r>
              <w:rPr>
                <w:rFonts w:hint="eastAsia"/>
                <w:sz w:val="21"/>
                <w:szCs w:val="21"/>
              </w:rPr>
              <w:t>县政府办、</w:t>
            </w:r>
            <w:r>
              <w:rPr>
                <w:sz w:val="21"/>
                <w:szCs w:val="21"/>
              </w:rPr>
              <w:t>市生态环境局绥宁分局、县农业农村水利局立即赶赴现场指导事故先期处置工作，并判断事故等级情况；再根据事故的大小及发展态势向相关单位和部门报告。</w:t>
            </w:r>
          </w:p>
        </w:tc>
      </w:tr>
      <w:tr w14:paraId="391C7C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6" w:hRule="atLeast"/>
          <w:jc w:val="center"/>
        </w:trPr>
        <w:tc>
          <w:tcPr>
            <w:tcW w:w="1146" w:type="dxa"/>
            <w:vMerge w:val="restart"/>
            <w:tcBorders>
              <w:top w:val="single" w:color="auto" w:sz="4" w:space="0"/>
            </w:tcBorders>
            <w:vAlign w:val="center"/>
          </w:tcPr>
          <w:p w14:paraId="14C93579">
            <w:pPr>
              <w:spacing w:line="420" w:lineRule="exact"/>
              <w:jc w:val="center"/>
              <w:rPr>
                <w:sz w:val="21"/>
                <w:szCs w:val="21"/>
              </w:rPr>
            </w:pPr>
            <w:r>
              <w:rPr>
                <w:sz w:val="21"/>
                <w:szCs w:val="21"/>
              </w:rPr>
              <w:t>应急</w:t>
            </w:r>
          </w:p>
          <w:p w14:paraId="7952E98A">
            <w:pPr>
              <w:spacing w:line="420" w:lineRule="exact"/>
              <w:jc w:val="center"/>
              <w:rPr>
                <w:sz w:val="21"/>
                <w:szCs w:val="21"/>
              </w:rPr>
            </w:pPr>
            <w:r>
              <w:rPr>
                <w:sz w:val="21"/>
                <w:szCs w:val="21"/>
              </w:rPr>
              <w:t>报告</w:t>
            </w:r>
          </w:p>
        </w:tc>
        <w:tc>
          <w:tcPr>
            <w:tcW w:w="2023" w:type="dxa"/>
            <w:gridSpan w:val="2"/>
            <w:tcBorders>
              <w:top w:val="single" w:color="auto" w:sz="4" w:space="0"/>
              <w:bottom w:val="single" w:color="auto" w:sz="4" w:space="0"/>
              <w:right w:val="single" w:color="auto" w:sz="4" w:space="0"/>
            </w:tcBorders>
            <w:vAlign w:val="center"/>
          </w:tcPr>
          <w:p w14:paraId="40936247">
            <w:pPr>
              <w:spacing w:line="420" w:lineRule="exact"/>
              <w:jc w:val="center"/>
              <w:rPr>
                <w:sz w:val="21"/>
                <w:szCs w:val="21"/>
              </w:rPr>
            </w:pPr>
            <w:r>
              <w:rPr>
                <w:sz w:val="21"/>
                <w:szCs w:val="21"/>
              </w:rPr>
              <w:t>报告内容</w:t>
            </w:r>
          </w:p>
        </w:tc>
        <w:tc>
          <w:tcPr>
            <w:tcW w:w="5747" w:type="dxa"/>
            <w:gridSpan w:val="3"/>
            <w:tcBorders>
              <w:top w:val="single" w:color="auto" w:sz="4" w:space="0"/>
              <w:left w:val="single" w:color="auto" w:sz="4" w:space="0"/>
              <w:bottom w:val="single" w:color="auto" w:sz="4" w:space="0"/>
            </w:tcBorders>
            <w:vAlign w:val="center"/>
          </w:tcPr>
          <w:p w14:paraId="4F7F734D">
            <w:pPr>
              <w:spacing w:line="420" w:lineRule="exact"/>
              <w:jc w:val="center"/>
              <w:rPr>
                <w:sz w:val="21"/>
                <w:szCs w:val="21"/>
              </w:rPr>
            </w:pPr>
            <w:r>
              <w:rPr>
                <w:sz w:val="21"/>
                <w:szCs w:val="21"/>
              </w:rPr>
              <w:t>事故发生地点、主要风险物质、处置及扩散情况等</w:t>
            </w:r>
          </w:p>
        </w:tc>
      </w:tr>
      <w:tr w14:paraId="52EBF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8" w:hRule="atLeast"/>
          <w:jc w:val="center"/>
        </w:trPr>
        <w:tc>
          <w:tcPr>
            <w:tcW w:w="1146" w:type="dxa"/>
            <w:vMerge w:val="continue"/>
            <w:vAlign w:val="center"/>
          </w:tcPr>
          <w:p w14:paraId="6890B7B1">
            <w:pPr>
              <w:spacing w:line="420" w:lineRule="exact"/>
              <w:jc w:val="center"/>
              <w:rPr>
                <w:sz w:val="21"/>
                <w:szCs w:val="21"/>
              </w:rPr>
            </w:pPr>
          </w:p>
        </w:tc>
        <w:tc>
          <w:tcPr>
            <w:tcW w:w="2023" w:type="dxa"/>
            <w:gridSpan w:val="2"/>
            <w:tcBorders>
              <w:top w:val="single" w:color="auto" w:sz="4" w:space="0"/>
              <w:right w:val="single" w:color="auto" w:sz="4" w:space="0"/>
            </w:tcBorders>
            <w:vAlign w:val="center"/>
          </w:tcPr>
          <w:p w14:paraId="5FC6ACFC">
            <w:pPr>
              <w:spacing w:line="420" w:lineRule="exact"/>
              <w:jc w:val="center"/>
              <w:rPr>
                <w:sz w:val="21"/>
                <w:szCs w:val="21"/>
              </w:rPr>
            </w:pPr>
            <w:r>
              <w:rPr>
                <w:rFonts w:hint="eastAsia"/>
                <w:sz w:val="21"/>
                <w:szCs w:val="21"/>
              </w:rPr>
              <w:t>应急管理局莫俊</w:t>
            </w:r>
          </w:p>
        </w:tc>
        <w:tc>
          <w:tcPr>
            <w:tcW w:w="2013" w:type="dxa"/>
            <w:tcBorders>
              <w:top w:val="single" w:color="auto" w:sz="4" w:space="0"/>
              <w:left w:val="single" w:color="auto" w:sz="4" w:space="0"/>
              <w:right w:val="single" w:color="auto" w:sz="4" w:space="0"/>
            </w:tcBorders>
            <w:vAlign w:val="center"/>
          </w:tcPr>
          <w:p w14:paraId="31246495">
            <w:pPr>
              <w:spacing w:line="420" w:lineRule="exact"/>
              <w:jc w:val="center"/>
              <w:rPr>
                <w:sz w:val="21"/>
                <w:szCs w:val="21"/>
              </w:rPr>
            </w:pPr>
            <w:r>
              <w:rPr>
                <w:rFonts w:hint="eastAsia"/>
                <w:sz w:val="21"/>
                <w:szCs w:val="21"/>
              </w:rPr>
              <w:t>13786926799</w:t>
            </w:r>
          </w:p>
        </w:tc>
        <w:tc>
          <w:tcPr>
            <w:tcW w:w="1871" w:type="dxa"/>
            <w:tcBorders>
              <w:top w:val="single" w:color="auto" w:sz="4" w:space="0"/>
              <w:left w:val="single" w:color="auto" w:sz="4" w:space="0"/>
              <w:right w:val="single" w:color="auto" w:sz="4" w:space="0"/>
            </w:tcBorders>
            <w:vAlign w:val="center"/>
          </w:tcPr>
          <w:p w14:paraId="4E737492">
            <w:pPr>
              <w:spacing w:line="420" w:lineRule="exact"/>
              <w:jc w:val="center"/>
              <w:rPr>
                <w:sz w:val="21"/>
                <w:szCs w:val="21"/>
              </w:rPr>
            </w:pPr>
            <w:r>
              <w:rPr>
                <w:sz w:val="21"/>
                <w:szCs w:val="21"/>
              </w:rPr>
              <w:t>县政府办</w:t>
            </w:r>
          </w:p>
        </w:tc>
        <w:tc>
          <w:tcPr>
            <w:tcW w:w="1863" w:type="dxa"/>
            <w:tcBorders>
              <w:top w:val="single" w:color="auto" w:sz="4" w:space="0"/>
              <w:left w:val="single" w:color="auto" w:sz="4" w:space="0"/>
            </w:tcBorders>
            <w:vAlign w:val="center"/>
          </w:tcPr>
          <w:p w14:paraId="6C03E6A0">
            <w:pPr>
              <w:spacing w:line="420" w:lineRule="exact"/>
              <w:jc w:val="center"/>
              <w:rPr>
                <w:sz w:val="21"/>
                <w:szCs w:val="21"/>
              </w:rPr>
            </w:pPr>
            <w:r>
              <w:rPr>
                <w:sz w:val="21"/>
                <w:szCs w:val="21"/>
              </w:rPr>
              <w:t>7611063</w:t>
            </w:r>
          </w:p>
        </w:tc>
      </w:tr>
      <w:tr w14:paraId="367209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9" w:hRule="atLeast"/>
          <w:jc w:val="center"/>
        </w:trPr>
        <w:tc>
          <w:tcPr>
            <w:tcW w:w="1146" w:type="dxa"/>
            <w:vAlign w:val="center"/>
          </w:tcPr>
          <w:p w14:paraId="2D2B6EFE">
            <w:pPr>
              <w:spacing w:line="420" w:lineRule="exact"/>
              <w:jc w:val="center"/>
              <w:rPr>
                <w:sz w:val="21"/>
                <w:szCs w:val="21"/>
              </w:rPr>
            </w:pPr>
            <w:r>
              <w:rPr>
                <w:sz w:val="21"/>
                <w:szCs w:val="21"/>
              </w:rPr>
              <w:t>应急责</w:t>
            </w:r>
          </w:p>
          <w:p w14:paraId="60E6D390">
            <w:pPr>
              <w:spacing w:line="420" w:lineRule="exact"/>
              <w:jc w:val="center"/>
              <w:rPr>
                <w:sz w:val="21"/>
                <w:szCs w:val="21"/>
              </w:rPr>
            </w:pPr>
            <w:r>
              <w:rPr>
                <w:sz w:val="21"/>
                <w:szCs w:val="21"/>
              </w:rPr>
              <w:t>任单位</w:t>
            </w:r>
          </w:p>
        </w:tc>
        <w:tc>
          <w:tcPr>
            <w:tcW w:w="7770" w:type="dxa"/>
            <w:gridSpan w:val="5"/>
            <w:vAlign w:val="center"/>
          </w:tcPr>
          <w:p w14:paraId="21511DDE">
            <w:pPr>
              <w:spacing w:line="240" w:lineRule="auto"/>
              <w:rPr>
                <w:sz w:val="21"/>
                <w:szCs w:val="21"/>
              </w:rPr>
            </w:pPr>
            <w:r>
              <w:rPr>
                <w:rFonts w:hint="eastAsia"/>
                <w:sz w:val="21"/>
                <w:szCs w:val="21"/>
              </w:rPr>
              <w:t>县政府办、县应急管理局</w:t>
            </w:r>
            <w:r>
              <w:rPr>
                <w:sz w:val="21"/>
                <w:szCs w:val="21"/>
              </w:rPr>
              <w:t>、县公安局、县交通运输局、县</w:t>
            </w:r>
            <w:r>
              <w:rPr>
                <w:rFonts w:hint="eastAsia"/>
                <w:sz w:val="21"/>
                <w:szCs w:val="21"/>
              </w:rPr>
              <w:t>关峡</w:t>
            </w:r>
            <w:r>
              <w:rPr>
                <w:sz w:val="21"/>
                <w:szCs w:val="21"/>
              </w:rPr>
              <w:t>水</w:t>
            </w:r>
            <w:r>
              <w:rPr>
                <w:rFonts w:hint="eastAsia"/>
                <w:sz w:val="21"/>
                <w:szCs w:val="21"/>
              </w:rPr>
              <w:t>厂</w:t>
            </w:r>
            <w:r>
              <w:rPr>
                <w:sz w:val="21"/>
                <w:szCs w:val="21"/>
              </w:rPr>
              <w:t>、</w:t>
            </w:r>
            <w:r>
              <w:rPr>
                <w:rFonts w:hint="eastAsia"/>
                <w:sz w:val="21"/>
                <w:szCs w:val="21"/>
              </w:rPr>
              <w:t>关峡苗族乡政府政府、</w:t>
            </w:r>
            <w:r>
              <w:rPr>
                <w:sz w:val="21"/>
                <w:szCs w:val="21"/>
              </w:rPr>
              <w:t>市生态环境局绥宁分局等。</w:t>
            </w:r>
          </w:p>
        </w:tc>
      </w:tr>
      <w:tr w14:paraId="799F8E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80" w:hRule="atLeast"/>
          <w:jc w:val="center"/>
        </w:trPr>
        <w:tc>
          <w:tcPr>
            <w:tcW w:w="1146" w:type="dxa"/>
            <w:vAlign w:val="center"/>
          </w:tcPr>
          <w:p w14:paraId="71B7DAF8">
            <w:pPr>
              <w:spacing w:line="420" w:lineRule="exact"/>
              <w:jc w:val="center"/>
              <w:rPr>
                <w:sz w:val="21"/>
                <w:szCs w:val="21"/>
              </w:rPr>
            </w:pPr>
            <w:r>
              <w:rPr>
                <w:sz w:val="21"/>
                <w:szCs w:val="21"/>
              </w:rPr>
              <w:t>应急处</w:t>
            </w:r>
          </w:p>
          <w:p w14:paraId="4B5BCDF4">
            <w:pPr>
              <w:spacing w:line="420" w:lineRule="exact"/>
              <w:jc w:val="center"/>
              <w:rPr>
                <w:sz w:val="21"/>
                <w:szCs w:val="21"/>
              </w:rPr>
            </w:pPr>
            <w:r>
              <w:rPr>
                <w:sz w:val="21"/>
                <w:szCs w:val="21"/>
              </w:rPr>
              <w:t>置措施</w:t>
            </w:r>
          </w:p>
        </w:tc>
        <w:tc>
          <w:tcPr>
            <w:tcW w:w="7770" w:type="dxa"/>
            <w:gridSpan w:val="5"/>
            <w:vAlign w:val="center"/>
          </w:tcPr>
          <w:p w14:paraId="6333E2F3">
            <w:pPr>
              <w:spacing w:line="240" w:lineRule="auto"/>
              <w:jc w:val="left"/>
              <w:rPr>
                <w:sz w:val="21"/>
                <w:szCs w:val="21"/>
              </w:rPr>
            </w:pPr>
            <w:r>
              <w:rPr>
                <w:sz w:val="21"/>
                <w:szCs w:val="21"/>
              </w:rPr>
              <w:t>启动水源地保护区水源地环境应急预案：</w:t>
            </w:r>
          </w:p>
          <w:p w14:paraId="3A5E7626">
            <w:pPr>
              <w:spacing w:line="240" w:lineRule="auto"/>
              <w:ind w:firstLine="420"/>
              <w:rPr>
                <w:sz w:val="21"/>
                <w:szCs w:val="21"/>
              </w:rPr>
            </w:pPr>
            <w:r>
              <w:rPr>
                <w:rFonts w:hint="eastAsia"/>
                <w:sz w:val="21"/>
                <w:szCs w:val="21"/>
              </w:rPr>
              <w:t xml:space="preserve">当事故发生后，可按照以下方案进行应急响应： </w:t>
            </w:r>
          </w:p>
          <w:p w14:paraId="169BECD1">
            <w:pPr>
              <w:spacing w:line="240" w:lineRule="auto"/>
              <w:ind w:firstLine="420"/>
              <w:rPr>
                <w:rFonts w:hint="eastAsia"/>
                <w:sz w:val="21"/>
                <w:szCs w:val="21"/>
              </w:rPr>
            </w:pPr>
            <w:r>
              <w:rPr>
                <w:rFonts w:hint="eastAsia"/>
                <w:sz w:val="21"/>
                <w:szCs w:val="21"/>
              </w:rPr>
              <w:t>（1）截源：县应急管理局组织应急处置组进行截源工作</w:t>
            </w:r>
          </w:p>
          <w:p w14:paraId="20595758">
            <w:pPr>
              <w:spacing w:line="240" w:lineRule="auto"/>
              <w:ind w:firstLine="420"/>
              <w:rPr>
                <w:rFonts w:hint="eastAsia"/>
                <w:sz w:val="21"/>
                <w:szCs w:val="21"/>
              </w:rPr>
            </w:pPr>
            <w:r>
              <w:rPr>
                <w:rFonts w:hint="eastAsia"/>
                <w:sz w:val="21"/>
                <w:szCs w:val="21"/>
              </w:rPr>
              <w:fldChar w:fldCharType="begin"/>
            </w:r>
            <w:r>
              <w:rPr>
                <w:rFonts w:hint="eastAsia"/>
                <w:sz w:val="21"/>
                <w:szCs w:val="21"/>
              </w:rPr>
              <w:instrText xml:space="preserve"> = 1 \* GB3 \* MERGEFORMAT </w:instrText>
            </w:r>
            <w:r>
              <w:rPr>
                <w:rFonts w:hint="eastAsia"/>
                <w:sz w:val="21"/>
                <w:szCs w:val="21"/>
              </w:rPr>
              <w:fldChar w:fldCharType="separate"/>
            </w:r>
            <w:r>
              <w:rPr>
                <w:rFonts w:hint="eastAsia"/>
                <w:sz w:val="21"/>
                <w:szCs w:val="21"/>
              </w:rPr>
              <w:t>①</w:t>
            </w:r>
            <w:r>
              <w:rPr>
                <w:rFonts w:hint="eastAsia"/>
                <w:sz w:val="21"/>
                <w:szCs w:val="21"/>
              </w:rPr>
              <w:fldChar w:fldCharType="end"/>
            </w:r>
            <w:r>
              <w:rPr>
                <w:rFonts w:hint="eastAsia"/>
                <w:sz w:val="21"/>
                <w:szCs w:val="21"/>
              </w:rPr>
              <w:t>泄漏的油品、危化品尚在陆域时，可以用砂石、吸油毡、活性炭等吸附，或建设导流沟等进行收集、拦截；或临近地势低洼处构筑拦截坝等，避免风险物质进入水体；</w:t>
            </w:r>
          </w:p>
          <w:p w14:paraId="2E536AA3">
            <w:pPr>
              <w:spacing w:line="240" w:lineRule="auto"/>
              <w:ind w:firstLine="420"/>
              <w:rPr>
                <w:rFonts w:hint="eastAsia"/>
                <w:sz w:val="21"/>
                <w:szCs w:val="21"/>
              </w:rPr>
            </w:pPr>
            <w:r>
              <w:rPr>
                <w:rFonts w:hint="eastAsia"/>
                <w:sz w:val="21"/>
                <w:szCs w:val="21"/>
              </w:rPr>
              <w:fldChar w:fldCharType="begin"/>
            </w:r>
            <w:r>
              <w:rPr>
                <w:rFonts w:hint="eastAsia"/>
                <w:sz w:val="21"/>
                <w:szCs w:val="21"/>
              </w:rPr>
              <w:instrText xml:space="preserve"> = 2 \* GB3 \* MERGEFORMAT </w:instrText>
            </w:r>
            <w:r>
              <w:rPr>
                <w:rFonts w:hint="eastAsia"/>
                <w:sz w:val="21"/>
                <w:szCs w:val="21"/>
              </w:rPr>
              <w:fldChar w:fldCharType="separate"/>
            </w:r>
            <w:r>
              <w:rPr>
                <w:rFonts w:hint="eastAsia"/>
                <w:sz w:val="21"/>
                <w:szCs w:val="21"/>
              </w:rPr>
              <w:t>②</w:t>
            </w:r>
            <w:r>
              <w:rPr>
                <w:rFonts w:hint="eastAsia"/>
                <w:sz w:val="21"/>
                <w:szCs w:val="21"/>
              </w:rPr>
              <w:fldChar w:fldCharType="end"/>
            </w:r>
            <w:r>
              <w:rPr>
                <w:rFonts w:hint="eastAsia"/>
                <w:sz w:val="21"/>
                <w:szCs w:val="21"/>
              </w:rPr>
              <w:t>泄漏的油品、危化品如已进入水域时，可在污染区设置拦油索、投放干稻草或打捞船收集浮油和不溶性危化品。</w:t>
            </w:r>
          </w:p>
          <w:p w14:paraId="37B87BA8">
            <w:pPr>
              <w:spacing w:line="240" w:lineRule="auto"/>
              <w:ind w:firstLine="420"/>
              <w:rPr>
                <w:rFonts w:hint="eastAsia"/>
                <w:sz w:val="21"/>
                <w:szCs w:val="21"/>
              </w:rPr>
            </w:pPr>
            <w:r>
              <w:rPr>
                <w:rFonts w:hint="eastAsia"/>
                <w:sz w:val="21"/>
                <w:szCs w:val="21"/>
              </w:rPr>
              <w:t>（2）监测  县应急管理局组织应急监测组在风险物质入水源地保护区一级水域、二级水域边界、污染区及自来水厂、水源地保护区取水口等位置布点监测，监测因子为石油类等；并开展水质跟踪监测，判断各断面、点位水质变化趋势，为县人民政府组织做好应急处置提供依据。</w:t>
            </w:r>
          </w:p>
          <w:p w14:paraId="18C29745">
            <w:pPr>
              <w:spacing w:line="240" w:lineRule="auto"/>
              <w:ind w:firstLine="420"/>
              <w:rPr>
                <w:rFonts w:hint="eastAsia"/>
                <w:sz w:val="21"/>
                <w:szCs w:val="21"/>
              </w:rPr>
            </w:pPr>
            <w:r>
              <w:rPr>
                <w:rFonts w:hint="eastAsia"/>
                <w:sz w:val="21"/>
                <w:szCs w:val="21"/>
              </w:rPr>
              <w:t>（3）协调  县应急管理局组织综合组及时告知</w:t>
            </w:r>
            <w:r>
              <w:rPr>
                <w:rFonts w:hint="eastAsia" w:ascii="Times New Roman" w:eastAsia="宋体"/>
                <w:sz w:val="21"/>
                <w:szCs w:val="21"/>
                <w:lang w:val="en-US" w:eastAsia="zh-CN"/>
              </w:rPr>
              <w:t>关峡</w:t>
            </w:r>
            <w:r>
              <w:rPr>
                <w:rFonts w:hint="eastAsia"/>
                <w:sz w:val="21"/>
                <w:szCs w:val="21"/>
              </w:rPr>
              <w:t>自来水厂，增加取水水质监测频次，密切关注供水的出水水质情况，采取强化混凝等措施尽量保证供水水质达标，并将进进出水水质异常情况报告县应急管理局、县生态环境分局、县卫健局等相关单位，关峡水厂准备启动本公司供水应急预案；</w:t>
            </w:r>
          </w:p>
          <w:p w14:paraId="15E94D2F">
            <w:pPr>
              <w:spacing w:line="240" w:lineRule="auto"/>
              <w:ind w:firstLine="420"/>
              <w:rPr>
                <w:sz w:val="21"/>
                <w:szCs w:val="21"/>
              </w:rPr>
            </w:pPr>
            <w:r>
              <w:rPr>
                <w:rFonts w:hint="eastAsia"/>
                <w:sz w:val="21"/>
                <w:szCs w:val="21"/>
              </w:rPr>
              <w:t>（4）善后  县应急管理局组织应急供水保障组负责做好饮用水正常供水保障工作，负责与其他相关单位联系。</w:t>
            </w:r>
          </w:p>
        </w:tc>
      </w:tr>
    </w:tbl>
    <w:p w14:paraId="5E3E3259">
      <w:pPr>
        <w:autoSpaceDE w:val="0"/>
        <w:autoSpaceDN w:val="0"/>
        <w:adjustRightInd w:val="0"/>
        <w:spacing w:line="240" w:lineRule="auto"/>
        <w:jc w:val="center"/>
        <w:rPr>
          <w:b/>
          <w:sz w:val="21"/>
          <w:szCs w:val="21"/>
          <w:lang w:val="zh-CN"/>
        </w:rPr>
      </w:pPr>
    </w:p>
    <w:p w14:paraId="6750BF51">
      <w:pPr>
        <w:autoSpaceDE w:val="0"/>
        <w:autoSpaceDN w:val="0"/>
        <w:adjustRightInd w:val="0"/>
        <w:spacing w:line="240" w:lineRule="auto"/>
        <w:jc w:val="center"/>
        <w:rPr>
          <w:b/>
          <w:sz w:val="21"/>
          <w:szCs w:val="21"/>
          <w:lang w:val="zh-CN"/>
        </w:rPr>
      </w:pPr>
    </w:p>
    <w:p w14:paraId="1B343FDE">
      <w:pPr>
        <w:autoSpaceDE w:val="0"/>
        <w:autoSpaceDN w:val="0"/>
        <w:adjustRightInd w:val="0"/>
        <w:spacing w:line="240" w:lineRule="auto"/>
        <w:jc w:val="center"/>
        <w:rPr>
          <w:b/>
          <w:sz w:val="21"/>
          <w:szCs w:val="21"/>
          <w:lang w:val="zh-CN"/>
        </w:rPr>
      </w:pPr>
    </w:p>
    <w:p w14:paraId="21C8C7CD">
      <w:pPr>
        <w:autoSpaceDE w:val="0"/>
        <w:autoSpaceDN w:val="0"/>
        <w:adjustRightInd w:val="0"/>
        <w:spacing w:line="240" w:lineRule="auto"/>
        <w:jc w:val="center"/>
        <w:rPr>
          <w:b/>
          <w:sz w:val="21"/>
          <w:szCs w:val="21"/>
          <w:lang w:val="zh-CN"/>
        </w:rPr>
      </w:pPr>
    </w:p>
    <w:p w14:paraId="0F8F593D">
      <w:pPr>
        <w:autoSpaceDE w:val="0"/>
        <w:autoSpaceDN w:val="0"/>
        <w:adjustRightInd w:val="0"/>
        <w:spacing w:line="240" w:lineRule="auto"/>
        <w:jc w:val="center"/>
        <w:rPr>
          <w:b/>
          <w:sz w:val="21"/>
          <w:szCs w:val="21"/>
          <w:lang w:val="zh-CN"/>
        </w:rPr>
      </w:pPr>
    </w:p>
    <w:p w14:paraId="0C2BADD5">
      <w:pPr>
        <w:autoSpaceDE w:val="0"/>
        <w:autoSpaceDN w:val="0"/>
        <w:adjustRightInd w:val="0"/>
        <w:spacing w:line="240" w:lineRule="auto"/>
        <w:jc w:val="center"/>
        <w:rPr>
          <w:b/>
          <w:sz w:val="21"/>
          <w:szCs w:val="21"/>
        </w:rPr>
      </w:pPr>
    </w:p>
    <w:p w14:paraId="1586D5AA">
      <w:pPr>
        <w:autoSpaceDE w:val="0"/>
        <w:autoSpaceDN w:val="0"/>
        <w:adjustRightInd w:val="0"/>
        <w:spacing w:line="240" w:lineRule="auto"/>
        <w:jc w:val="center"/>
        <w:rPr>
          <w:b/>
          <w:sz w:val="21"/>
          <w:szCs w:val="21"/>
        </w:rPr>
      </w:pPr>
    </w:p>
    <w:p w14:paraId="3677F870">
      <w:pPr>
        <w:autoSpaceDE w:val="0"/>
        <w:autoSpaceDN w:val="0"/>
        <w:adjustRightInd w:val="0"/>
        <w:spacing w:line="240" w:lineRule="auto"/>
        <w:jc w:val="center"/>
        <w:rPr>
          <w:b/>
          <w:sz w:val="21"/>
          <w:szCs w:val="21"/>
        </w:rPr>
      </w:pPr>
    </w:p>
    <w:p w14:paraId="08E3CA35">
      <w:pPr>
        <w:autoSpaceDE w:val="0"/>
        <w:autoSpaceDN w:val="0"/>
        <w:adjustRightInd w:val="0"/>
        <w:spacing w:line="240" w:lineRule="auto"/>
        <w:jc w:val="center"/>
        <w:rPr>
          <w:b/>
          <w:sz w:val="21"/>
          <w:szCs w:val="21"/>
          <w:lang w:val="zh-CN"/>
        </w:rPr>
      </w:pPr>
      <w:r>
        <w:rPr>
          <w:b/>
          <w:sz w:val="21"/>
          <w:szCs w:val="21"/>
        </w:rPr>
        <w:t>表</w:t>
      </w:r>
      <w:r>
        <w:rPr>
          <w:b/>
          <w:sz w:val="21"/>
          <w:szCs w:val="21"/>
          <w:lang w:val="zh-CN"/>
        </w:rPr>
        <w:t>3-</w:t>
      </w:r>
      <w:r>
        <w:rPr>
          <w:rFonts w:hint="eastAsia"/>
          <w:b/>
          <w:sz w:val="21"/>
          <w:szCs w:val="21"/>
        </w:rPr>
        <w:t>9</w:t>
      </w:r>
      <w:r>
        <w:rPr>
          <w:b/>
          <w:sz w:val="21"/>
          <w:szCs w:val="21"/>
          <w:lang w:val="zh-CN"/>
        </w:rPr>
        <w:t xml:space="preserve">  监测断面水质超标环境事件应急卡</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3"/>
        <w:gridCol w:w="1105"/>
        <w:gridCol w:w="630"/>
        <w:gridCol w:w="1688"/>
        <w:gridCol w:w="1830"/>
        <w:gridCol w:w="2159"/>
      </w:tblGrid>
      <w:tr w14:paraId="6A66B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0" w:hRule="atLeast"/>
          <w:jc w:val="center"/>
        </w:trPr>
        <w:tc>
          <w:tcPr>
            <w:tcW w:w="1093" w:type="dxa"/>
            <w:vMerge w:val="restart"/>
            <w:vAlign w:val="center"/>
          </w:tcPr>
          <w:p w14:paraId="48D07753">
            <w:pPr>
              <w:spacing w:line="240" w:lineRule="auto"/>
              <w:jc w:val="center"/>
              <w:rPr>
                <w:sz w:val="21"/>
                <w:szCs w:val="21"/>
              </w:rPr>
            </w:pPr>
            <w:r>
              <w:rPr>
                <w:sz w:val="21"/>
                <w:szCs w:val="21"/>
              </w:rPr>
              <w:t>风险</w:t>
            </w:r>
          </w:p>
          <w:p w14:paraId="79A7190A">
            <w:pPr>
              <w:spacing w:line="240" w:lineRule="auto"/>
              <w:jc w:val="center"/>
              <w:rPr>
                <w:sz w:val="21"/>
                <w:szCs w:val="21"/>
              </w:rPr>
            </w:pPr>
            <w:r>
              <w:rPr>
                <w:sz w:val="21"/>
                <w:szCs w:val="21"/>
              </w:rPr>
              <w:t>特征</w:t>
            </w:r>
          </w:p>
        </w:tc>
        <w:tc>
          <w:tcPr>
            <w:tcW w:w="1105" w:type="dxa"/>
            <w:tcBorders>
              <w:bottom w:val="single" w:color="auto" w:sz="4" w:space="0"/>
              <w:right w:val="single" w:color="auto" w:sz="4" w:space="0"/>
            </w:tcBorders>
            <w:vAlign w:val="center"/>
          </w:tcPr>
          <w:p w14:paraId="3026DB9B">
            <w:pPr>
              <w:spacing w:line="240" w:lineRule="auto"/>
              <w:jc w:val="center"/>
              <w:rPr>
                <w:sz w:val="21"/>
                <w:szCs w:val="21"/>
              </w:rPr>
            </w:pPr>
            <w:r>
              <w:rPr>
                <w:sz w:val="21"/>
                <w:szCs w:val="21"/>
              </w:rPr>
              <w:t>事故地点</w:t>
            </w:r>
          </w:p>
        </w:tc>
        <w:tc>
          <w:tcPr>
            <w:tcW w:w="6307" w:type="dxa"/>
            <w:gridSpan w:val="4"/>
            <w:tcBorders>
              <w:left w:val="single" w:color="auto" w:sz="4" w:space="0"/>
              <w:bottom w:val="single" w:color="auto" w:sz="4" w:space="0"/>
            </w:tcBorders>
            <w:vAlign w:val="center"/>
          </w:tcPr>
          <w:p w14:paraId="0E86E9E7">
            <w:pPr>
              <w:spacing w:line="240" w:lineRule="auto"/>
              <w:jc w:val="center"/>
              <w:rPr>
                <w:sz w:val="21"/>
                <w:szCs w:val="21"/>
              </w:rPr>
            </w:pPr>
            <w:r>
              <w:rPr>
                <w:sz w:val="21"/>
                <w:szCs w:val="21"/>
              </w:rPr>
              <w:t>水源地一级保护区、二级保护区断面</w:t>
            </w:r>
          </w:p>
        </w:tc>
      </w:tr>
      <w:tr w14:paraId="3E7389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1093" w:type="dxa"/>
            <w:vMerge w:val="continue"/>
            <w:vAlign w:val="center"/>
          </w:tcPr>
          <w:p w14:paraId="1BEA7FB2">
            <w:pPr>
              <w:spacing w:line="520" w:lineRule="exact"/>
              <w:ind w:firstLine="482"/>
              <w:jc w:val="center"/>
              <w:rPr>
                <w:b/>
                <w:szCs w:val="21"/>
              </w:rPr>
            </w:pPr>
          </w:p>
        </w:tc>
        <w:tc>
          <w:tcPr>
            <w:tcW w:w="1105" w:type="dxa"/>
            <w:tcBorders>
              <w:bottom w:val="single" w:color="auto" w:sz="4" w:space="0"/>
              <w:right w:val="single" w:color="auto" w:sz="4" w:space="0"/>
            </w:tcBorders>
            <w:vAlign w:val="center"/>
          </w:tcPr>
          <w:p w14:paraId="7AFE4579">
            <w:pPr>
              <w:spacing w:line="240" w:lineRule="auto"/>
              <w:jc w:val="center"/>
              <w:rPr>
                <w:sz w:val="21"/>
                <w:szCs w:val="21"/>
              </w:rPr>
            </w:pPr>
            <w:r>
              <w:rPr>
                <w:sz w:val="21"/>
                <w:szCs w:val="21"/>
              </w:rPr>
              <w:t>风险物质</w:t>
            </w:r>
          </w:p>
        </w:tc>
        <w:tc>
          <w:tcPr>
            <w:tcW w:w="6307" w:type="dxa"/>
            <w:gridSpan w:val="4"/>
            <w:tcBorders>
              <w:left w:val="single" w:color="auto" w:sz="4" w:space="0"/>
              <w:bottom w:val="single" w:color="auto" w:sz="4" w:space="0"/>
            </w:tcBorders>
            <w:vAlign w:val="center"/>
          </w:tcPr>
          <w:p w14:paraId="07DC9016">
            <w:pPr>
              <w:spacing w:line="240" w:lineRule="auto"/>
              <w:jc w:val="center"/>
              <w:rPr>
                <w:sz w:val="21"/>
                <w:szCs w:val="21"/>
              </w:rPr>
            </w:pPr>
            <w:r>
              <w:rPr>
                <w:sz w:val="21"/>
                <w:szCs w:val="21"/>
              </w:rPr>
              <w:t>COD、NH</w:t>
            </w:r>
            <w:r>
              <w:rPr>
                <w:sz w:val="21"/>
                <w:szCs w:val="21"/>
                <w:vertAlign w:val="subscript"/>
              </w:rPr>
              <w:t>3</w:t>
            </w:r>
            <w:r>
              <w:rPr>
                <w:sz w:val="21"/>
                <w:szCs w:val="21"/>
              </w:rPr>
              <w:t>-N、TP、TN</w:t>
            </w:r>
          </w:p>
        </w:tc>
      </w:tr>
      <w:tr w14:paraId="0DD59D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7" w:hRule="atLeast"/>
          <w:jc w:val="center"/>
        </w:trPr>
        <w:tc>
          <w:tcPr>
            <w:tcW w:w="1093" w:type="dxa"/>
            <w:vMerge w:val="continue"/>
            <w:vAlign w:val="center"/>
          </w:tcPr>
          <w:p w14:paraId="2E621913">
            <w:pPr>
              <w:spacing w:line="520" w:lineRule="exact"/>
              <w:ind w:firstLine="482"/>
              <w:jc w:val="center"/>
              <w:rPr>
                <w:b/>
                <w:szCs w:val="21"/>
              </w:rPr>
            </w:pPr>
          </w:p>
        </w:tc>
        <w:tc>
          <w:tcPr>
            <w:tcW w:w="1105" w:type="dxa"/>
            <w:tcBorders>
              <w:top w:val="single" w:color="auto" w:sz="4" w:space="0"/>
              <w:right w:val="single" w:color="auto" w:sz="4" w:space="0"/>
            </w:tcBorders>
            <w:vAlign w:val="center"/>
          </w:tcPr>
          <w:p w14:paraId="06B9D896">
            <w:pPr>
              <w:spacing w:line="240" w:lineRule="auto"/>
              <w:jc w:val="center"/>
              <w:rPr>
                <w:sz w:val="21"/>
                <w:szCs w:val="21"/>
              </w:rPr>
            </w:pPr>
            <w:r>
              <w:rPr>
                <w:sz w:val="21"/>
                <w:szCs w:val="21"/>
              </w:rPr>
              <w:t>事故说明</w:t>
            </w:r>
          </w:p>
        </w:tc>
        <w:tc>
          <w:tcPr>
            <w:tcW w:w="6307" w:type="dxa"/>
            <w:gridSpan w:val="4"/>
            <w:tcBorders>
              <w:top w:val="single" w:color="auto" w:sz="4" w:space="0"/>
              <w:left w:val="single" w:color="auto" w:sz="4" w:space="0"/>
            </w:tcBorders>
            <w:vAlign w:val="center"/>
          </w:tcPr>
          <w:p w14:paraId="7990E7F7">
            <w:pPr>
              <w:spacing w:line="240" w:lineRule="auto"/>
              <w:jc w:val="left"/>
              <w:rPr>
                <w:sz w:val="21"/>
                <w:szCs w:val="21"/>
              </w:rPr>
            </w:pPr>
            <w:r>
              <w:rPr>
                <w:sz w:val="21"/>
                <w:szCs w:val="21"/>
              </w:rPr>
              <w:t>监测断面水质监测项目中，任意1个及以上项目超标3倍及以上的现象</w:t>
            </w:r>
          </w:p>
        </w:tc>
      </w:tr>
      <w:tr w14:paraId="2532F0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76" w:hRule="atLeast"/>
          <w:jc w:val="center"/>
        </w:trPr>
        <w:tc>
          <w:tcPr>
            <w:tcW w:w="1093" w:type="dxa"/>
            <w:vAlign w:val="center"/>
          </w:tcPr>
          <w:p w14:paraId="2DA4A180">
            <w:pPr>
              <w:spacing w:line="240" w:lineRule="auto"/>
              <w:jc w:val="center"/>
              <w:rPr>
                <w:sz w:val="21"/>
                <w:szCs w:val="21"/>
              </w:rPr>
            </w:pPr>
            <w:r>
              <w:rPr>
                <w:sz w:val="21"/>
                <w:szCs w:val="21"/>
              </w:rPr>
              <w:t>应急</w:t>
            </w:r>
          </w:p>
          <w:p w14:paraId="2E6C08F9">
            <w:pPr>
              <w:spacing w:line="240" w:lineRule="auto"/>
              <w:jc w:val="center"/>
              <w:rPr>
                <w:sz w:val="21"/>
                <w:szCs w:val="21"/>
              </w:rPr>
            </w:pPr>
            <w:r>
              <w:rPr>
                <w:sz w:val="21"/>
                <w:szCs w:val="21"/>
              </w:rPr>
              <w:t>程序</w:t>
            </w:r>
          </w:p>
        </w:tc>
        <w:tc>
          <w:tcPr>
            <w:tcW w:w="7412" w:type="dxa"/>
            <w:gridSpan w:val="5"/>
            <w:vAlign w:val="center"/>
          </w:tcPr>
          <w:p w14:paraId="111E7990">
            <w:pPr>
              <w:spacing w:line="240" w:lineRule="auto"/>
              <w:jc w:val="center"/>
              <w:rPr>
                <w:sz w:val="21"/>
                <w:szCs w:val="21"/>
              </w:rPr>
            </w:pPr>
            <w:r>
              <w:rPr>
                <w:sz w:val="21"/>
                <w:szCs w:val="21"/>
              </w:rPr>
              <w:t>事故责任单位负责人或发现人立即报告</w:t>
            </w:r>
            <w:r>
              <w:rPr>
                <w:rFonts w:hint="eastAsia"/>
                <w:sz w:val="21"/>
                <w:szCs w:val="21"/>
              </w:rPr>
              <w:t>县政府办、</w:t>
            </w:r>
            <w:r>
              <w:rPr>
                <w:rFonts w:hint="eastAsia" w:ascii="Times New Roman" w:eastAsia="宋体"/>
                <w:sz w:val="21"/>
                <w:szCs w:val="21"/>
                <w:lang w:val="en-US" w:eastAsia="zh-CN"/>
              </w:rPr>
              <w:t>关峡</w:t>
            </w:r>
            <w:r>
              <w:rPr>
                <w:sz w:val="21"/>
                <w:szCs w:val="21"/>
              </w:rPr>
              <w:t>水厂、县农业农村水利局、</w:t>
            </w:r>
            <w:r>
              <w:rPr>
                <w:rFonts w:hint="eastAsia"/>
                <w:sz w:val="21"/>
                <w:szCs w:val="21"/>
              </w:rPr>
              <w:t>市生态环境局绥宁分局</w:t>
            </w:r>
            <w:r>
              <w:rPr>
                <w:sz w:val="21"/>
                <w:szCs w:val="21"/>
              </w:rPr>
              <w:t>等，</w:t>
            </w:r>
            <w:r>
              <w:rPr>
                <w:rFonts w:hint="eastAsia"/>
                <w:sz w:val="21"/>
                <w:szCs w:val="21"/>
              </w:rPr>
              <w:t>县政府办、市生态环境局绥宁分局</w:t>
            </w:r>
            <w:r>
              <w:rPr>
                <w:sz w:val="21"/>
                <w:szCs w:val="21"/>
              </w:rPr>
              <w:t>、县农业农村水利局立即赶赴现场指导事故先期处置工作，并判断事故等级情况；再根据事故的大小及发展态势向相关单位和部门报告。</w:t>
            </w:r>
          </w:p>
        </w:tc>
      </w:tr>
      <w:tr w14:paraId="4A5065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6" w:hRule="atLeast"/>
          <w:jc w:val="center"/>
        </w:trPr>
        <w:tc>
          <w:tcPr>
            <w:tcW w:w="1093" w:type="dxa"/>
            <w:vMerge w:val="restart"/>
            <w:tcBorders>
              <w:top w:val="single" w:color="auto" w:sz="4" w:space="0"/>
            </w:tcBorders>
            <w:vAlign w:val="center"/>
          </w:tcPr>
          <w:p w14:paraId="45AE26D2">
            <w:pPr>
              <w:spacing w:line="240" w:lineRule="auto"/>
              <w:jc w:val="center"/>
              <w:rPr>
                <w:sz w:val="21"/>
                <w:szCs w:val="21"/>
              </w:rPr>
            </w:pPr>
            <w:r>
              <w:rPr>
                <w:sz w:val="21"/>
                <w:szCs w:val="21"/>
              </w:rPr>
              <w:t>应急</w:t>
            </w:r>
          </w:p>
          <w:p w14:paraId="1CF33263">
            <w:pPr>
              <w:spacing w:line="240" w:lineRule="auto"/>
              <w:jc w:val="center"/>
              <w:rPr>
                <w:sz w:val="21"/>
                <w:szCs w:val="21"/>
              </w:rPr>
            </w:pPr>
            <w:r>
              <w:rPr>
                <w:sz w:val="21"/>
                <w:szCs w:val="21"/>
              </w:rPr>
              <w:t>报告</w:t>
            </w:r>
          </w:p>
        </w:tc>
        <w:tc>
          <w:tcPr>
            <w:tcW w:w="1735" w:type="dxa"/>
            <w:gridSpan w:val="2"/>
            <w:tcBorders>
              <w:top w:val="single" w:color="auto" w:sz="4" w:space="0"/>
              <w:bottom w:val="single" w:color="auto" w:sz="4" w:space="0"/>
              <w:right w:val="single" w:color="auto" w:sz="4" w:space="0"/>
            </w:tcBorders>
            <w:vAlign w:val="center"/>
          </w:tcPr>
          <w:p w14:paraId="5D711413">
            <w:pPr>
              <w:spacing w:line="240" w:lineRule="auto"/>
              <w:jc w:val="center"/>
              <w:rPr>
                <w:sz w:val="21"/>
                <w:szCs w:val="21"/>
              </w:rPr>
            </w:pPr>
            <w:r>
              <w:rPr>
                <w:sz w:val="21"/>
                <w:szCs w:val="21"/>
              </w:rPr>
              <w:t>报告内容</w:t>
            </w:r>
          </w:p>
        </w:tc>
        <w:tc>
          <w:tcPr>
            <w:tcW w:w="5677" w:type="dxa"/>
            <w:gridSpan w:val="3"/>
            <w:tcBorders>
              <w:top w:val="single" w:color="auto" w:sz="4" w:space="0"/>
              <w:left w:val="single" w:color="auto" w:sz="4" w:space="0"/>
              <w:bottom w:val="single" w:color="auto" w:sz="4" w:space="0"/>
            </w:tcBorders>
            <w:vAlign w:val="center"/>
          </w:tcPr>
          <w:p w14:paraId="1052524F">
            <w:pPr>
              <w:spacing w:line="240" w:lineRule="auto"/>
              <w:jc w:val="center"/>
              <w:rPr>
                <w:sz w:val="21"/>
                <w:szCs w:val="21"/>
              </w:rPr>
            </w:pPr>
            <w:r>
              <w:rPr>
                <w:sz w:val="21"/>
                <w:szCs w:val="21"/>
              </w:rPr>
              <w:t>超标因子种类、个数、超标情况、超标原因等</w:t>
            </w:r>
          </w:p>
        </w:tc>
      </w:tr>
      <w:tr w14:paraId="1D08A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1093" w:type="dxa"/>
            <w:vMerge w:val="continue"/>
            <w:vAlign w:val="center"/>
          </w:tcPr>
          <w:p w14:paraId="3861D1FB">
            <w:pPr>
              <w:spacing w:line="520" w:lineRule="exact"/>
              <w:ind w:firstLine="482"/>
              <w:jc w:val="center"/>
              <w:rPr>
                <w:b/>
                <w:szCs w:val="21"/>
              </w:rPr>
            </w:pPr>
          </w:p>
        </w:tc>
        <w:tc>
          <w:tcPr>
            <w:tcW w:w="1735" w:type="dxa"/>
            <w:gridSpan w:val="2"/>
            <w:tcBorders>
              <w:top w:val="single" w:color="auto" w:sz="4" w:space="0"/>
              <w:right w:val="single" w:color="auto" w:sz="4" w:space="0"/>
            </w:tcBorders>
            <w:vAlign w:val="center"/>
          </w:tcPr>
          <w:p w14:paraId="70FADFF3">
            <w:pPr>
              <w:spacing w:line="420" w:lineRule="exact"/>
              <w:jc w:val="center"/>
              <w:rPr>
                <w:sz w:val="21"/>
                <w:szCs w:val="21"/>
              </w:rPr>
            </w:pPr>
            <w:r>
              <w:rPr>
                <w:rFonts w:hint="eastAsia"/>
                <w:sz w:val="21"/>
                <w:szCs w:val="21"/>
              </w:rPr>
              <w:t>应急管理局莫俊</w:t>
            </w:r>
          </w:p>
        </w:tc>
        <w:tc>
          <w:tcPr>
            <w:tcW w:w="1688" w:type="dxa"/>
            <w:tcBorders>
              <w:top w:val="single" w:color="auto" w:sz="4" w:space="0"/>
              <w:left w:val="single" w:color="auto" w:sz="4" w:space="0"/>
              <w:right w:val="single" w:color="auto" w:sz="4" w:space="0"/>
            </w:tcBorders>
            <w:vAlign w:val="center"/>
          </w:tcPr>
          <w:p w14:paraId="3946B885">
            <w:pPr>
              <w:spacing w:line="420" w:lineRule="exact"/>
              <w:jc w:val="center"/>
              <w:rPr>
                <w:sz w:val="21"/>
                <w:szCs w:val="21"/>
              </w:rPr>
            </w:pPr>
            <w:r>
              <w:rPr>
                <w:rFonts w:hint="eastAsia"/>
                <w:sz w:val="21"/>
                <w:szCs w:val="21"/>
              </w:rPr>
              <w:t>13786926799</w:t>
            </w:r>
          </w:p>
        </w:tc>
        <w:tc>
          <w:tcPr>
            <w:tcW w:w="1830" w:type="dxa"/>
            <w:tcBorders>
              <w:top w:val="single" w:color="auto" w:sz="4" w:space="0"/>
              <w:left w:val="single" w:color="auto" w:sz="4" w:space="0"/>
              <w:right w:val="single" w:color="auto" w:sz="4" w:space="0"/>
            </w:tcBorders>
            <w:vAlign w:val="center"/>
          </w:tcPr>
          <w:p w14:paraId="7D401C4B">
            <w:pPr>
              <w:spacing w:line="420" w:lineRule="exact"/>
              <w:jc w:val="center"/>
              <w:rPr>
                <w:sz w:val="21"/>
                <w:szCs w:val="21"/>
              </w:rPr>
            </w:pPr>
            <w:r>
              <w:rPr>
                <w:sz w:val="21"/>
                <w:szCs w:val="21"/>
              </w:rPr>
              <w:t>县政府办</w:t>
            </w:r>
          </w:p>
        </w:tc>
        <w:tc>
          <w:tcPr>
            <w:tcW w:w="2159" w:type="dxa"/>
            <w:tcBorders>
              <w:top w:val="single" w:color="auto" w:sz="4" w:space="0"/>
              <w:left w:val="single" w:color="auto" w:sz="4" w:space="0"/>
            </w:tcBorders>
            <w:vAlign w:val="center"/>
          </w:tcPr>
          <w:p w14:paraId="765185C7">
            <w:pPr>
              <w:spacing w:line="420" w:lineRule="exact"/>
              <w:jc w:val="center"/>
              <w:rPr>
                <w:sz w:val="21"/>
                <w:szCs w:val="21"/>
              </w:rPr>
            </w:pPr>
            <w:r>
              <w:rPr>
                <w:sz w:val="21"/>
                <w:szCs w:val="21"/>
              </w:rPr>
              <w:t>7611063</w:t>
            </w:r>
          </w:p>
        </w:tc>
      </w:tr>
      <w:tr w14:paraId="10F4AF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75" w:hRule="atLeast"/>
          <w:jc w:val="center"/>
        </w:trPr>
        <w:tc>
          <w:tcPr>
            <w:tcW w:w="1093" w:type="dxa"/>
            <w:vAlign w:val="center"/>
          </w:tcPr>
          <w:p w14:paraId="54002ED0">
            <w:pPr>
              <w:spacing w:line="240" w:lineRule="auto"/>
              <w:jc w:val="center"/>
              <w:rPr>
                <w:sz w:val="21"/>
                <w:szCs w:val="21"/>
              </w:rPr>
            </w:pPr>
            <w:r>
              <w:rPr>
                <w:sz w:val="21"/>
                <w:szCs w:val="21"/>
              </w:rPr>
              <w:t>应急责</w:t>
            </w:r>
          </w:p>
          <w:p w14:paraId="7C1CDA22">
            <w:pPr>
              <w:spacing w:line="240" w:lineRule="auto"/>
              <w:jc w:val="center"/>
              <w:rPr>
                <w:sz w:val="21"/>
                <w:szCs w:val="21"/>
              </w:rPr>
            </w:pPr>
            <w:r>
              <w:rPr>
                <w:sz w:val="21"/>
                <w:szCs w:val="21"/>
              </w:rPr>
              <w:t>任单位</w:t>
            </w:r>
          </w:p>
        </w:tc>
        <w:tc>
          <w:tcPr>
            <w:tcW w:w="7412" w:type="dxa"/>
            <w:gridSpan w:val="5"/>
            <w:vAlign w:val="center"/>
          </w:tcPr>
          <w:p w14:paraId="1FA69BC6">
            <w:pPr>
              <w:spacing w:line="240" w:lineRule="auto"/>
              <w:rPr>
                <w:sz w:val="21"/>
                <w:szCs w:val="21"/>
              </w:rPr>
            </w:pPr>
            <w:r>
              <w:rPr>
                <w:rFonts w:hint="eastAsia"/>
                <w:sz w:val="21"/>
                <w:szCs w:val="21"/>
              </w:rPr>
              <w:t>县政府办、</w:t>
            </w:r>
            <w:r>
              <w:rPr>
                <w:sz w:val="21"/>
                <w:szCs w:val="21"/>
              </w:rPr>
              <w:t>事故责任单位、</w:t>
            </w:r>
            <w:r>
              <w:rPr>
                <w:rFonts w:hint="eastAsia"/>
                <w:sz w:val="21"/>
                <w:szCs w:val="21"/>
              </w:rPr>
              <w:t>县应急管理局</w:t>
            </w:r>
            <w:r>
              <w:rPr>
                <w:sz w:val="21"/>
                <w:szCs w:val="21"/>
              </w:rPr>
              <w:t>、</w:t>
            </w:r>
            <w:r>
              <w:rPr>
                <w:rFonts w:hint="eastAsia"/>
                <w:sz w:val="21"/>
                <w:szCs w:val="21"/>
              </w:rPr>
              <w:t>市生态环境局绥宁分局、</w:t>
            </w:r>
            <w:r>
              <w:rPr>
                <w:sz w:val="21"/>
                <w:szCs w:val="21"/>
              </w:rPr>
              <w:t>县</w:t>
            </w:r>
            <w:r>
              <w:rPr>
                <w:rFonts w:hint="eastAsia" w:ascii="Times New Roman" w:eastAsia="宋体"/>
                <w:sz w:val="21"/>
                <w:szCs w:val="21"/>
                <w:lang w:val="en-US" w:eastAsia="zh-CN"/>
              </w:rPr>
              <w:t>关峡水厂</w:t>
            </w:r>
            <w:r>
              <w:rPr>
                <w:sz w:val="21"/>
                <w:szCs w:val="21"/>
              </w:rPr>
              <w:t>等。</w:t>
            </w:r>
          </w:p>
        </w:tc>
      </w:tr>
      <w:tr w14:paraId="4E2DDA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8" w:hRule="atLeast"/>
          <w:jc w:val="center"/>
        </w:trPr>
        <w:tc>
          <w:tcPr>
            <w:tcW w:w="1093" w:type="dxa"/>
            <w:vAlign w:val="center"/>
          </w:tcPr>
          <w:p w14:paraId="7068E387">
            <w:pPr>
              <w:spacing w:line="240" w:lineRule="auto"/>
              <w:jc w:val="center"/>
              <w:rPr>
                <w:sz w:val="21"/>
                <w:szCs w:val="21"/>
              </w:rPr>
            </w:pPr>
            <w:r>
              <w:rPr>
                <w:sz w:val="21"/>
                <w:szCs w:val="21"/>
              </w:rPr>
              <w:t>应急处</w:t>
            </w:r>
          </w:p>
          <w:p w14:paraId="5DE96328">
            <w:pPr>
              <w:spacing w:line="240" w:lineRule="auto"/>
              <w:jc w:val="center"/>
              <w:rPr>
                <w:sz w:val="21"/>
                <w:szCs w:val="21"/>
              </w:rPr>
            </w:pPr>
            <w:r>
              <w:rPr>
                <w:sz w:val="21"/>
                <w:szCs w:val="21"/>
              </w:rPr>
              <w:t>置措施</w:t>
            </w:r>
          </w:p>
        </w:tc>
        <w:tc>
          <w:tcPr>
            <w:tcW w:w="7412" w:type="dxa"/>
            <w:gridSpan w:val="5"/>
          </w:tcPr>
          <w:p w14:paraId="20F013E5">
            <w:pPr>
              <w:rPr>
                <w:sz w:val="21"/>
                <w:szCs w:val="21"/>
              </w:rPr>
            </w:pPr>
            <w:r>
              <w:rPr>
                <w:sz w:val="21"/>
                <w:szCs w:val="21"/>
              </w:rPr>
              <w:t>启动水源地保护区突发环境事件应急预案；</w:t>
            </w:r>
          </w:p>
          <w:p w14:paraId="6D62FD08">
            <w:pPr>
              <w:rPr>
                <w:sz w:val="21"/>
                <w:szCs w:val="21"/>
              </w:rPr>
            </w:pPr>
            <w:r>
              <w:rPr>
                <w:sz w:val="21"/>
                <w:szCs w:val="21"/>
              </w:rPr>
              <w:t xml:space="preserve">（1）监测  </w:t>
            </w:r>
            <w:r>
              <w:rPr>
                <w:rFonts w:hint="eastAsia"/>
                <w:sz w:val="21"/>
                <w:szCs w:val="21"/>
              </w:rPr>
              <w:t>县政府办组织</w:t>
            </w:r>
            <w:r>
              <w:rPr>
                <w:sz w:val="21"/>
                <w:szCs w:val="21"/>
              </w:rPr>
              <w:t>应急监测小组在水源地一级保护区、二级保护区等断面中超标断面处及</w:t>
            </w:r>
            <w:r>
              <w:rPr>
                <w:rFonts w:hint="eastAsia"/>
                <w:sz w:val="21"/>
                <w:szCs w:val="21"/>
              </w:rPr>
              <w:t>关峡</w:t>
            </w:r>
            <w:r>
              <w:rPr>
                <w:sz w:val="21"/>
                <w:szCs w:val="21"/>
              </w:rPr>
              <w:t>水厂、引水工程取水口等位置布点监测，监测因子为饮用水常规监测项目、重点监测超标因子；</w:t>
            </w:r>
            <w:r>
              <w:rPr>
                <w:rFonts w:hint="eastAsia"/>
                <w:sz w:val="21"/>
                <w:szCs w:val="21"/>
              </w:rPr>
              <w:t>并开展水质跟踪监测，判断各断面、点位水质变化趋势，为县人民政府组织做好应急处置提供依据。</w:t>
            </w:r>
          </w:p>
          <w:p w14:paraId="45A0B87A">
            <w:pPr>
              <w:rPr>
                <w:rFonts w:hint="eastAsia"/>
                <w:sz w:val="21"/>
                <w:szCs w:val="21"/>
              </w:rPr>
            </w:pPr>
            <w:r>
              <w:rPr>
                <w:sz w:val="21"/>
                <w:szCs w:val="21"/>
              </w:rPr>
              <w:t xml:space="preserve">（2）协调 </w:t>
            </w:r>
            <w:r>
              <w:rPr>
                <w:rFonts w:hint="eastAsia"/>
                <w:sz w:val="21"/>
                <w:szCs w:val="21"/>
              </w:rPr>
              <w:t>县政府办组织</w:t>
            </w:r>
            <w:r>
              <w:rPr>
                <w:sz w:val="21"/>
                <w:szCs w:val="21"/>
              </w:rPr>
              <w:t>综合组及时告知</w:t>
            </w:r>
            <w:r>
              <w:rPr>
                <w:rFonts w:hint="eastAsia"/>
                <w:sz w:val="21"/>
                <w:szCs w:val="21"/>
              </w:rPr>
              <w:t>关峡</w:t>
            </w:r>
            <w:r>
              <w:rPr>
                <w:sz w:val="21"/>
                <w:szCs w:val="21"/>
              </w:rPr>
              <w:t>水厂，增加取水水质监测频次，密切关注出水水质情况，</w:t>
            </w:r>
            <w:r>
              <w:rPr>
                <w:rFonts w:hint="eastAsia"/>
                <w:sz w:val="21"/>
                <w:szCs w:val="21"/>
              </w:rPr>
              <w:t>采取强化混凝等措施尽量保证供水水质达标，</w:t>
            </w:r>
            <w:r>
              <w:rPr>
                <w:sz w:val="21"/>
                <w:szCs w:val="21"/>
              </w:rPr>
              <w:t>并将进出水水质异常情况</w:t>
            </w:r>
            <w:r>
              <w:rPr>
                <w:rFonts w:hint="eastAsia"/>
                <w:sz w:val="21"/>
                <w:szCs w:val="21"/>
              </w:rPr>
              <w:t>告知县应急管理局</w:t>
            </w:r>
            <w:r>
              <w:rPr>
                <w:sz w:val="21"/>
                <w:szCs w:val="21"/>
              </w:rPr>
              <w:t>、</w:t>
            </w:r>
            <w:r>
              <w:rPr>
                <w:rFonts w:hint="eastAsia"/>
                <w:sz w:val="21"/>
                <w:szCs w:val="21"/>
              </w:rPr>
              <w:t>市生态环境局绥宁分局</w:t>
            </w:r>
            <w:r>
              <w:rPr>
                <w:sz w:val="21"/>
                <w:szCs w:val="21"/>
              </w:rPr>
              <w:t>、</w:t>
            </w:r>
            <w:r>
              <w:rPr>
                <w:rFonts w:hint="eastAsia"/>
                <w:sz w:val="21"/>
                <w:szCs w:val="21"/>
              </w:rPr>
              <w:t>县卫健局</w:t>
            </w:r>
            <w:r>
              <w:rPr>
                <w:sz w:val="21"/>
                <w:szCs w:val="21"/>
              </w:rPr>
              <w:t>等相关单位</w:t>
            </w:r>
            <w:r>
              <w:rPr>
                <w:rFonts w:hint="eastAsia"/>
                <w:sz w:val="21"/>
                <w:szCs w:val="21"/>
              </w:rPr>
              <w:t>。</w:t>
            </w:r>
          </w:p>
          <w:p w14:paraId="6BB26FAA">
            <w:pPr>
              <w:rPr>
                <w:rFonts w:hint="eastAsia"/>
                <w:sz w:val="21"/>
                <w:szCs w:val="21"/>
              </w:rPr>
            </w:pPr>
            <w:r>
              <w:rPr>
                <w:sz w:val="21"/>
                <w:szCs w:val="21"/>
              </w:rPr>
              <w:t xml:space="preserve">（3）保障  </w:t>
            </w:r>
            <w:r>
              <w:rPr>
                <w:rFonts w:hint="eastAsia"/>
                <w:sz w:val="21"/>
                <w:szCs w:val="21"/>
              </w:rPr>
              <w:t>县政府办组织</w:t>
            </w:r>
            <w:r>
              <w:rPr>
                <w:sz w:val="21"/>
                <w:szCs w:val="21"/>
              </w:rPr>
              <w:t>应急供水保障组及时了解绥宁县的饮用水供水情况，综合组及时向无水小区居民发出通告等</w:t>
            </w:r>
            <w:r>
              <w:rPr>
                <w:rFonts w:hint="eastAsia"/>
                <w:sz w:val="21"/>
                <w:szCs w:val="21"/>
              </w:rPr>
              <w:t>。</w:t>
            </w:r>
          </w:p>
          <w:p w14:paraId="6B348D63">
            <w:pPr>
              <w:rPr>
                <w:sz w:val="21"/>
                <w:szCs w:val="21"/>
              </w:rPr>
            </w:pPr>
            <w:r>
              <w:rPr>
                <w:sz w:val="21"/>
                <w:szCs w:val="21"/>
              </w:rPr>
              <w:t xml:space="preserve">（4）处置  </w:t>
            </w:r>
            <w:r>
              <w:rPr>
                <w:rFonts w:hint="eastAsia"/>
                <w:sz w:val="21"/>
                <w:szCs w:val="21"/>
              </w:rPr>
              <w:t>县政府办组织</w:t>
            </w:r>
            <w:r>
              <w:rPr>
                <w:sz w:val="21"/>
                <w:szCs w:val="21"/>
              </w:rPr>
              <w:t>应急处置组根据超标因子及超标原因进行现场处置，如动植物尸体可实施打捞、浮油可收集等。</w:t>
            </w:r>
          </w:p>
        </w:tc>
      </w:tr>
    </w:tbl>
    <w:p w14:paraId="113F38A5">
      <w:pPr>
        <w:pStyle w:val="67"/>
        <w:ind w:firstLine="480"/>
        <w:rPr>
          <w:rFonts w:ascii="Times New Roman" w:hAnsi="Times New Roman"/>
        </w:rPr>
      </w:pPr>
    </w:p>
    <w:p w14:paraId="3661A945">
      <w:pPr>
        <w:pStyle w:val="67"/>
        <w:ind w:firstLine="480"/>
        <w:rPr>
          <w:rFonts w:ascii="Times New Roman" w:hAnsi="Times New Roman"/>
        </w:rPr>
      </w:pPr>
    </w:p>
    <w:p w14:paraId="446AF566">
      <w:pPr>
        <w:pStyle w:val="67"/>
        <w:ind w:firstLine="480"/>
        <w:rPr>
          <w:rFonts w:ascii="Times New Roman" w:hAnsi="Times New Roman"/>
        </w:rPr>
      </w:pPr>
    </w:p>
    <w:p w14:paraId="532AB2B5">
      <w:pPr>
        <w:pStyle w:val="67"/>
        <w:ind w:firstLine="0" w:firstLineChars="0"/>
        <w:rPr>
          <w:rFonts w:ascii="Times New Roman" w:hAnsi="Times New Roman"/>
        </w:rPr>
      </w:pPr>
    </w:p>
    <w:p w14:paraId="5EBC4205">
      <w:pPr>
        <w:autoSpaceDE w:val="0"/>
        <w:autoSpaceDN w:val="0"/>
        <w:adjustRightInd w:val="0"/>
        <w:spacing w:line="480" w:lineRule="exact"/>
        <w:ind w:firstLine="482"/>
        <w:jc w:val="center"/>
        <w:rPr>
          <w:b/>
          <w:sz w:val="21"/>
          <w:szCs w:val="21"/>
        </w:rPr>
      </w:pPr>
    </w:p>
    <w:p w14:paraId="27565558">
      <w:pPr>
        <w:autoSpaceDE w:val="0"/>
        <w:autoSpaceDN w:val="0"/>
        <w:adjustRightInd w:val="0"/>
        <w:spacing w:line="480" w:lineRule="exact"/>
        <w:ind w:firstLine="482"/>
        <w:jc w:val="center"/>
        <w:rPr>
          <w:b/>
          <w:sz w:val="21"/>
          <w:szCs w:val="21"/>
        </w:rPr>
      </w:pPr>
    </w:p>
    <w:p w14:paraId="644E410C">
      <w:pPr>
        <w:autoSpaceDE w:val="0"/>
        <w:autoSpaceDN w:val="0"/>
        <w:adjustRightInd w:val="0"/>
        <w:spacing w:line="480" w:lineRule="exact"/>
        <w:ind w:firstLine="482"/>
        <w:jc w:val="center"/>
        <w:rPr>
          <w:b/>
          <w:sz w:val="21"/>
          <w:szCs w:val="21"/>
        </w:rPr>
      </w:pPr>
    </w:p>
    <w:p w14:paraId="648919FA">
      <w:pPr>
        <w:autoSpaceDE w:val="0"/>
        <w:autoSpaceDN w:val="0"/>
        <w:adjustRightInd w:val="0"/>
        <w:spacing w:line="480" w:lineRule="exact"/>
        <w:jc w:val="center"/>
        <w:rPr>
          <w:b/>
          <w:szCs w:val="21"/>
          <w:lang w:val="zh-CN"/>
        </w:rPr>
      </w:pPr>
      <w:r>
        <w:rPr>
          <w:b/>
          <w:sz w:val="21"/>
          <w:szCs w:val="21"/>
        </w:rPr>
        <w:t>表</w:t>
      </w:r>
      <w:r>
        <w:rPr>
          <w:b/>
          <w:sz w:val="21"/>
          <w:szCs w:val="21"/>
          <w:lang w:val="zh-CN"/>
        </w:rPr>
        <w:t>3-</w:t>
      </w:r>
      <w:r>
        <w:rPr>
          <w:rFonts w:hint="eastAsia"/>
          <w:b/>
          <w:sz w:val="21"/>
          <w:szCs w:val="21"/>
        </w:rPr>
        <w:t>10</w:t>
      </w:r>
      <w:r>
        <w:rPr>
          <w:b/>
          <w:sz w:val="21"/>
          <w:szCs w:val="21"/>
          <w:lang w:val="zh-CN"/>
        </w:rPr>
        <w:t xml:space="preserve">  暴雨引发次生环境事件应急卡</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3"/>
        <w:gridCol w:w="1105"/>
        <w:gridCol w:w="847"/>
        <w:gridCol w:w="1471"/>
        <w:gridCol w:w="1830"/>
        <w:gridCol w:w="2159"/>
      </w:tblGrid>
      <w:tr w14:paraId="014AD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7" w:hRule="atLeast"/>
          <w:jc w:val="center"/>
        </w:trPr>
        <w:tc>
          <w:tcPr>
            <w:tcW w:w="1093" w:type="dxa"/>
            <w:vMerge w:val="restart"/>
            <w:vAlign w:val="center"/>
          </w:tcPr>
          <w:p w14:paraId="743B07A7">
            <w:pPr>
              <w:spacing w:line="240" w:lineRule="auto"/>
              <w:jc w:val="center"/>
              <w:rPr>
                <w:sz w:val="21"/>
                <w:szCs w:val="21"/>
              </w:rPr>
            </w:pPr>
            <w:r>
              <w:rPr>
                <w:sz w:val="21"/>
                <w:szCs w:val="21"/>
              </w:rPr>
              <w:t>风险</w:t>
            </w:r>
          </w:p>
          <w:p w14:paraId="62ED8CC2">
            <w:pPr>
              <w:spacing w:line="240" w:lineRule="auto"/>
              <w:jc w:val="center"/>
              <w:rPr>
                <w:sz w:val="21"/>
                <w:szCs w:val="21"/>
              </w:rPr>
            </w:pPr>
            <w:r>
              <w:rPr>
                <w:sz w:val="21"/>
                <w:szCs w:val="21"/>
              </w:rPr>
              <w:t>特征</w:t>
            </w:r>
          </w:p>
        </w:tc>
        <w:tc>
          <w:tcPr>
            <w:tcW w:w="1105" w:type="dxa"/>
            <w:tcBorders>
              <w:bottom w:val="single" w:color="auto" w:sz="4" w:space="0"/>
              <w:right w:val="single" w:color="auto" w:sz="4" w:space="0"/>
            </w:tcBorders>
            <w:vAlign w:val="center"/>
          </w:tcPr>
          <w:p w14:paraId="42F0BF43">
            <w:pPr>
              <w:spacing w:line="240" w:lineRule="auto"/>
              <w:jc w:val="center"/>
              <w:rPr>
                <w:sz w:val="21"/>
                <w:szCs w:val="21"/>
              </w:rPr>
            </w:pPr>
            <w:r>
              <w:rPr>
                <w:sz w:val="21"/>
                <w:szCs w:val="21"/>
              </w:rPr>
              <w:t>事故地点</w:t>
            </w:r>
          </w:p>
        </w:tc>
        <w:tc>
          <w:tcPr>
            <w:tcW w:w="6307" w:type="dxa"/>
            <w:gridSpan w:val="4"/>
            <w:tcBorders>
              <w:left w:val="single" w:color="auto" w:sz="4" w:space="0"/>
              <w:bottom w:val="single" w:color="auto" w:sz="4" w:space="0"/>
            </w:tcBorders>
            <w:vAlign w:val="center"/>
          </w:tcPr>
          <w:p w14:paraId="24114D83">
            <w:pPr>
              <w:spacing w:line="240" w:lineRule="auto"/>
              <w:jc w:val="center"/>
              <w:rPr>
                <w:sz w:val="21"/>
                <w:szCs w:val="21"/>
              </w:rPr>
            </w:pPr>
            <w:r>
              <w:rPr>
                <w:rFonts w:hint="eastAsia"/>
                <w:sz w:val="21"/>
                <w:szCs w:val="21"/>
              </w:rPr>
              <w:t>保护区及其上游</w:t>
            </w:r>
            <w:r>
              <w:rPr>
                <w:sz w:val="21"/>
                <w:szCs w:val="21"/>
              </w:rPr>
              <w:t>出现强暴雨</w:t>
            </w:r>
          </w:p>
        </w:tc>
      </w:tr>
      <w:tr w14:paraId="5A2DE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5" w:hRule="atLeast"/>
          <w:jc w:val="center"/>
        </w:trPr>
        <w:tc>
          <w:tcPr>
            <w:tcW w:w="1093" w:type="dxa"/>
            <w:vMerge w:val="continue"/>
            <w:vAlign w:val="center"/>
          </w:tcPr>
          <w:p w14:paraId="786ED851">
            <w:pPr>
              <w:spacing w:line="460" w:lineRule="exact"/>
              <w:ind w:firstLine="482"/>
              <w:jc w:val="center"/>
              <w:rPr>
                <w:b/>
                <w:szCs w:val="21"/>
              </w:rPr>
            </w:pPr>
          </w:p>
        </w:tc>
        <w:tc>
          <w:tcPr>
            <w:tcW w:w="1105" w:type="dxa"/>
            <w:tcBorders>
              <w:bottom w:val="single" w:color="auto" w:sz="4" w:space="0"/>
              <w:right w:val="single" w:color="auto" w:sz="4" w:space="0"/>
            </w:tcBorders>
            <w:vAlign w:val="center"/>
          </w:tcPr>
          <w:p w14:paraId="34D457D8">
            <w:pPr>
              <w:spacing w:line="240" w:lineRule="auto"/>
              <w:jc w:val="center"/>
              <w:rPr>
                <w:sz w:val="21"/>
                <w:szCs w:val="21"/>
              </w:rPr>
            </w:pPr>
            <w:r>
              <w:rPr>
                <w:sz w:val="21"/>
                <w:szCs w:val="21"/>
              </w:rPr>
              <w:t>风险物质</w:t>
            </w:r>
          </w:p>
        </w:tc>
        <w:tc>
          <w:tcPr>
            <w:tcW w:w="6307" w:type="dxa"/>
            <w:gridSpan w:val="4"/>
            <w:tcBorders>
              <w:left w:val="single" w:color="auto" w:sz="4" w:space="0"/>
              <w:bottom w:val="single" w:color="auto" w:sz="4" w:space="0"/>
            </w:tcBorders>
            <w:vAlign w:val="center"/>
          </w:tcPr>
          <w:p w14:paraId="2007EB14">
            <w:pPr>
              <w:spacing w:line="240" w:lineRule="auto"/>
              <w:jc w:val="center"/>
              <w:rPr>
                <w:sz w:val="21"/>
                <w:szCs w:val="21"/>
              </w:rPr>
            </w:pPr>
            <w:r>
              <w:rPr>
                <w:sz w:val="21"/>
                <w:szCs w:val="21"/>
              </w:rPr>
              <w:t>含COD、氨氮</w:t>
            </w:r>
            <w:r>
              <w:rPr>
                <w:rFonts w:hint="eastAsia"/>
                <w:sz w:val="21"/>
                <w:szCs w:val="21"/>
              </w:rPr>
              <w:t>、SS</w:t>
            </w:r>
            <w:r>
              <w:rPr>
                <w:sz w:val="21"/>
                <w:szCs w:val="21"/>
              </w:rPr>
              <w:t>等污水</w:t>
            </w:r>
          </w:p>
        </w:tc>
      </w:tr>
      <w:tr w14:paraId="4F0AA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06" w:hRule="atLeast"/>
          <w:jc w:val="center"/>
        </w:trPr>
        <w:tc>
          <w:tcPr>
            <w:tcW w:w="1093" w:type="dxa"/>
            <w:vMerge w:val="continue"/>
            <w:vAlign w:val="center"/>
          </w:tcPr>
          <w:p w14:paraId="713BE581">
            <w:pPr>
              <w:spacing w:line="460" w:lineRule="exact"/>
              <w:ind w:firstLine="482"/>
              <w:jc w:val="center"/>
              <w:rPr>
                <w:b/>
                <w:szCs w:val="21"/>
              </w:rPr>
            </w:pPr>
          </w:p>
        </w:tc>
        <w:tc>
          <w:tcPr>
            <w:tcW w:w="1105" w:type="dxa"/>
            <w:tcBorders>
              <w:top w:val="single" w:color="auto" w:sz="4" w:space="0"/>
              <w:right w:val="single" w:color="auto" w:sz="4" w:space="0"/>
            </w:tcBorders>
            <w:vAlign w:val="center"/>
          </w:tcPr>
          <w:p w14:paraId="5816D440">
            <w:pPr>
              <w:spacing w:line="240" w:lineRule="auto"/>
              <w:jc w:val="center"/>
              <w:rPr>
                <w:sz w:val="21"/>
                <w:szCs w:val="21"/>
              </w:rPr>
            </w:pPr>
            <w:r>
              <w:rPr>
                <w:sz w:val="21"/>
                <w:szCs w:val="21"/>
              </w:rPr>
              <w:t>事故说明</w:t>
            </w:r>
          </w:p>
        </w:tc>
        <w:tc>
          <w:tcPr>
            <w:tcW w:w="6307" w:type="dxa"/>
            <w:gridSpan w:val="4"/>
            <w:tcBorders>
              <w:top w:val="single" w:color="auto" w:sz="4" w:space="0"/>
              <w:left w:val="single" w:color="auto" w:sz="4" w:space="0"/>
            </w:tcBorders>
            <w:vAlign w:val="center"/>
          </w:tcPr>
          <w:p w14:paraId="43C70EF5">
            <w:pPr>
              <w:spacing w:line="240" w:lineRule="auto"/>
              <w:rPr>
                <w:sz w:val="21"/>
                <w:szCs w:val="21"/>
              </w:rPr>
            </w:pPr>
            <w:r>
              <w:rPr>
                <w:sz w:val="21"/>
                <w:szCs w:val="21"/>
              </w:rPr>
              <w:t>当水源地保护区汇雨面积范围内发生强暴雨，可能造成</w:t>
            </w:r>
            <w:r>
              <w:rPr>
                <w:rFonts w:hint="eastAsia"/>
                <w:sz w:val="21"/>
                <w:szCs w:val="21"/>
              </w:rPr>
              <w:t>非点源</w:t>
            </w:r>
            <w:r>
              <w:rPr>
                <w:sz w:val="21"/>
                <w:szCs w:val="21"/>
              </w:rPr>
              <w:t>源项的环境风险物质流失，进入水源地保护区，造成保护区水质污染。</w:t>
            </w:r>
          </w:p>
        </w:tc>
      </w:tr>
      <w:tr w14:paraId="3300F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59" w:hRule="atLeast"/>
          <w:jc w:val="center"/>
        </w:trPr>
        <w:tc>
          <w:tcPr>
            <w:tcW w:w="1093" w:type="dxa"/>
            <w:vAlign w:val="center"/>
          </w:tcPr>
          <w:p w14:paraId="34FA38D3">
            <w:pPr>
              <w:spacing w:line="240" w:lineRule="auto"/>
              <w:jc w:val="center"/>
              <w:rPr>
                <w:sz w:val="21"/>
                <w:szCs w:val="21"/>
              </w:rPr>
            </w:pPr>
            <w:r>
              <w:rPr>
                <w:sz w:val="21"/>
                <w:szCs w:val="21"/>
              </w:rPr>
              <w:t>应急</w:t>
            </w:r>
          </w:p>
          <w:p w14:paraId="37D81838">
            <w:pPr>
              <w:spacing w:line="240" w:lineRule="auto"/>
              <w:jc w:val="center"/>
              <w:rPr>
                <w:sz w:val="21"/>
                <w:szCs w:val="21"/>
              </w:rPr>
            </w:pPr>
            <w:r>
              <w:rPr>
                <w:sz w:val="21"/>
                <w:szCs w:val="21"/>
              </w:rPr>
              <w:t>程序</w:t>
            </w:r>
          </w:p>
        </w:tc>
        <w:tc>
          <w:tcPr>
            <w:tcW w:w="7412" w:type="dxa"/>
            <w:gridSpan w:val="5"/>
            <w:vAlign w:val="center"/>
          </w:tcPr>
          <w:p w14:paraId="2D2E0978">
            <w:pPr>
              <w:spacing w:line="240" w:lineRule="auto"/>
              <w:jc w:val="both"/>
              <w:rPr>
                <w:sz w:val="21"/>
                <w:szCs w:val="21"/>
              </w:rPr>
            </w:pPr>
            <w:r>
              <w:rPr>
                <w:sz w:val="21"/>
                <w:szCs w:val="21"/>
              </w:rPr>
              <w:t>事故责任单位负责人或发现人或气象局立即报告</w:t>
            </w:r>
            <w:r>
              <w:rPr>
                <w:rFonts w:hint="eastAsia"/>
                <w:sz w:val="21"/>
                <w:szCs w:val="21"/>
              </w:rPr>
              <w:t>县政府办、</w:t>
            </w:r>
            <w:r>
              <w:rPr>
                <w:sz w:val="21"/>
                <w:szCs w:val="21"/>
              </w:rPr>
              <w:t>县农业农村水利局、</w:t>
            </w:r>
            <w:r>
              <w:rPr>
                <w:rFonts w:hint="eastAsia"/>
                <w:sz w:val="21"/>
                <w:szCs w:val="21"/>
              </w:rPr>
              <w:t>市生态环境局绥宁分局</w:t>
            </w:r>
            <w:r>
              <w:rPr>
                <w:sz w:val="21"/>
                <w:szCs w:val="21"/>
              </w:rPr>
              <w:t>、县</w:t>
            </w:r>
            <w:r>
              <w:rPr>
                <w:rFonts w:hint="eastAsia" w:ascii="Times New Roman" w:eastAsia="宋体"/>
                <w:sz w:val="21"/>
                <w:szCs w:val="21"/>
                <w:lang w:val="en-US" w:eastAsia="zh-CN"/>
              </w:rPr>
              <w:t>关峡</w:t>
            </w:r>
            <w:r>
              <w:rPr>
                <w:sz w:val="21"/>
                <w:szCs w:val="21"/>
              </w:rPr>
              <w:t>水厂等，</w:t>
            </w:r>
            <w:r>
              <w:rPr>
                <w:rFonts w:hint="eastAsia"/>
                <w:sz w:val="21"/>
                <w:szCs w:val="21"/>
              </w:rPr>
              <w:t>县政府办、市生态环境局绥宁分局</w:t>
            </w:r>
            <w:r>
              <w:rPr>
                <w:sz w:val="21"/>
                <w:szCs w:val="21"/>
              </w:rPr>
              <w:t>、县农业农村水利局立即赶赴现场指导事故先期处置工作，并判断事故等级情况；再根据事故的大小及发展态势向相关单位和部门报告。</w:t>
            </w:r>
          </w:p>
        </w:tc>
      </w:tr>
      <w:tr w14:paraId="62EE43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5" w:hRule="atLeast"/>
          <w:jc w:val="center"/>
        </w:trPr>
        <w:tc>
          <w:tcPr>
            <w:tcW w:w="1093" w:type="dxa"/>
            <w:vMerge w:val="restart"/>
            <w:tcBorders>
              <w:top w:val="single" w:color="auto" w:sz="4" w:space="0"/>
            </w:tcBorders>
            <w:vAlign w:val="center"/>
          </w:tcPr>
          <w:p w14:paraId="4409CCC0">
            <w:pPr>
              <w:spacing w:line="240" w:lineRule="auto"/>
              <w:jc w:val="center"/>
              <w:rPr>
                <w:sz w:val="21"/>
                <w:szCs w:val="21"/>
              </w:rPr>
            </w:pPr>
            <w:r>
              <w:rPr>
                <w:sz w:val="21"/>
                <w:szCs w:val="21"/>
              </w:rPr>
              <w:t>应急</w:t>
            </w:r>
          </w:p>
          <w:p w14:paraId="3AB7D82C">
            <w:pPr>
              <w:spacing w:line="240" w:lineRule="auto"/>
              <w:jc w:val="center"/>
              <w:rPr>
                <w:sz w:val="21"/>
                <w:szCs w:val="21"/>
              </w:rPr>
            </w:pPr>
            <w:r>
              <w:rPr>
                <w:sz w:val="21"/>
                <w:szCs w:val="21"/>
              </w:rPr>
              <w:t>报告</w:t>
            </w:r>
          </w:p>
        </w:tc>
        <w:tc>
          <w:tcPr>
            <w:tcW w:w="1952" w:type="dxa"/>
            <w:gridSpan w:val="2"/>
            <w:tcBorders>
              <w:top w:val="single" w:color="auto" w:sz="4" w:space="0"/>
              <w:bottom w:val="single" w:color="auto" w:sz="4" w:space="0"/>
              <w:right w:val="single" w:color="auto" w:sz="4" w:space="0"/>
            </w:tcBorders>
            <w:vAlign w:val="center"/>
          </w:tcPr>
          <w:p w14:paraId="5C4297B0">
            <w:pPr>
              <w:spacing w:line="240" w:lineRule="auto"/>
              <w:jc w:val="center"/>
              <w:rPr>
                <w:sz w:val="21"/>
                <w:szCs w:val="21"/>
              </w:rPr>
            </w:pPr>
            <w:r>
              <w:rPr>
                <w:sz w:val="21"/>
                <w:szCs w:val="21"/>
              </w:rPr>
              <w:t>报告内容</w:t>
            </w:r>
          </w:p>
        </w:tc>
        <w:tc>
          <w:tcPr>
            <w:tcW w:w="5460" w:type="dxa"/>
            <w:gridSpan w:val="3"/>
            <w:tcBorders>
              <w:top w:val="single" w:color="auto" w:sz="4" w:space="0"/>
              <w:left w:val="single" w:color="auto" w:sz="4" w:space="0"/>
              <w:bottom w:val="single" w:color="auto" w:sz="4" w:space="0"/>
            </w:tcBorders>
            <w:vAlign w:val="center"/>
          </w:tcPr>
          <w:p w14:paraId="069EAB3C">
            <w:pPr>
              <w:spacing w:line="240" w:lineRule="auto"/>
              <w:jc w:val="center"/>
              <w:rPr>
                <w:sz w:val="21"/>
                <w:szCs w:val="21"/>
              </w:rPr>
            </w:pPr>
            <w:r>
              <w:rPr>
                <w:sz w:val="21"/>
                <w:szCs w:val="21"/>
              </w:rPr>
              <w:t>事故发生地点、主要风险物质、处置及扩散情况等</w:t>
            </w:r>
          </w:p>
        </w:tc>
      </w:tr>
      <w:tr w14:paraId="0643A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1" w:hRule="atLeast"/>
          <w:jc w:val="center"/>
        </w:trPr>
        <w:tc>
          <w:tcPr>
            <w:tcW w:w="1093" w:type="dxa"/>
            <w:vMerge w:val="continue"/>
            <w:vAlign w:val="center"/>
          </w:tcPr>
          <w:p w14:paraId="0E394E49">
            <w:pPr>
              <w:spacing w:line="240" w:lineRule="auto"/>
              <w:jc w:val="center"/>
              <w:rPr>
                <w:sz w:val="21"/>
                <w:szCs w:val="21"/>
              </w:rPr>
            </w:pPr>
          </w:p>
        </w:tc>
        <w:tc>
          <w:tcPr>
            <w:tcW w:w="1952" w:type="dxa"/>
            <w:gridSpan w:val="2"/>
            <w:tcBorders>
              <w:top w:val="single" w:color="auto" w:sz="4" w:space="0"/>
              <w:right w:val="single" w:color="auto" w:sz="4" w:space="0"/>
            </w:tcBorders>
            <w:vAlign w:val="center"/>
          </w:tcPr>
          <w:p w14:paraId="00254400">
            <w:pPr>
              <w:spacing w:line="420" w:lineRule="exact"/>
              <w:jc w:val="center"/>
              <w:rPr>
                <w:sz w:val="21"/>
                <w:szCs w:val="21"/>
              </w:rPr>
            </w:pPr>
            <w:r>
              <w:rPr>
                <w:rFonts w:hint="eastAsia"/>
                <w:sz w:val="21"/>
                <w:szCs w:val="21"/>
              </w:rPr>
              <w:t>应急管理局莫俊</w:t>
            </w:r>
          </w:p>
        </w:tc>
        <w:tc>
          <w:tcPr>
            <w:tcW w:w="1471" w:type="dxa"/>
            <w:tcBorders>
              <w:top w:val="single" w:color="auto" w:sz="4" w:space="0"/>
              <w:left w:val="single" w:color="auto" w:sz="4" w:space="0"/>
              <w:right w:val="single" w:color="auto" w:sz="4" w:space="0"/>
            </w:tcBorders>
            <w:vAlign w:val="center"/>
          </w:tcPr>
          <w:p w14:paraId="528FA24A">
            <w:pPr>
              <w:spacing w:line="420" w:lineRule="exact"/>
              <w:jc w:val="center"/>
              <w:rPr>
                <w:sz w:val="21"/>
                <w:szCs w:val="21"/>
              </w:rPr>
            </w:pPr>
            <w:r>
              <w:rPr>
                <w:rFonts w:hint="eastAsia"/>
                <w:sz w:val="21"/>
                <w:szCs w:val="21"/>
              </w:rPr>
              <w:t>13786926799</w:t>
            </w:r>
          </w:p>
        </w:tc>
        <w:tc>
          <w:tcPr>
            <w:tcW w:w="1830" w:type="dxa"/>
            <w:tcBorders>
              <w:top w:val="single" w:color="auto" w:sz="4" w:space="0"/>
              <w:left w:val="single" w:color="auto" w:sz="4" w:space="0"/>
              <w:right w:val="single" w:color="auto" w:sz="4" w:space="0"/>
            </w:tcBorders>
            <w:vAlign w:val="center"/>
          </w:tcPr>
          <w:p w14:paraId="2C300C10">
            <w:pPr>
              <w:spacing w:line="420" w:lineRule="exact"/>
              <w:jc w:val="center"/>
              <w:rPr>
                <w:sz w:val="21"/>
                <w:szCs w:val="21"/>
              </w:rPr>
            </w:pPr>
            <w:r>
              <w:rPr>
                <w:sz w:val="21"/>
                <w:szCs w:val="21"/>
              </w:rPr>
              <w:t>县政府办</w:t>
            </w:r>
          </w:p>
        </w:tc>
        <w:tc>
          <w:tcPr>
            <w:tcW w:w="2159" w:type="dxa"/>
            <w:tcBorders>
              <w:top w:val="single" w:color="auto" w:sz="4" w:space="0"/>
              <w:left w:val="single" w:color="auto" w:sz="4" w:space="0"/>
            </w:tcBorders>
            <w:vAlign w:val="center"/>
          </w:tcPr>
          <w:p w14:paraId="0C33BCA3">
            <w:pPr>
              <w:spacing w:line="420" w:lineRule="exact"/>
              <w:jc w:val="center"/>
              <w:rPr>
                <w:sz w:val="21"/>
                <w:szCs w:val="21"/>
              </w:rPr>
            </w:pPr>
            <w:r>
              <w:rPr>
                <w:sz w:val="21"/>
                <w:szCs w:val="21"/>
              </w:rPr>
              <w:t>7611063</w:t>
            </w:r>
          </w:p>
        </w:tc>
      </w:tr>
      <w:tr w14:paraId="6BDDD3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75" w:hRule="atLeast"/>
          <w:jc w:val="center"/>
        </w:trPr>
        <w:tc>
          <w:tcPr>
            <w:tcW w:w="1093" w:type="dxa"/>
            <w:vAlign w:val="center"/>
          </w:tcPr>
          <w:p w14:paraId="0A959954">
            <w:pPr>
              <w:spacing w:line="240" w:lineRule="auto"/>
              <w:jc w:val="center"/>
              <w:rPr>
                <w:sz w:val="21"/>
                <w:szCs w:val="21"/>
              </w:rPr>
            </w:pPr>
            <w:r>
              <w:rPr>
                <w:sz w:val="21"/>
                <w:szCs w:val="21"/>
              </w:rPr>
              <w:t>应急责</w:t>
            </w:r>
          </w:p>
          <w:p w14:paraId="4243EA92">
            <w:pPr>
              <w:spacing w:line="240" w:lineRule="auto"/>
              <w:jc w:val="center"/>
              <w:rPr>
                <w:sz w:val="21"/>
                <w:szCs w:val="21"/>
              </w:rPr>
            </w:pPr>
            <w:r>
              <w:rPr>
                <w:sz w:val="21"/>
                <w:szCs w:val="21"/>
              </w:rPr>
              <w:t>任单位</w:t>
            </w:r>
          </w:p>
        </w:tc>
        <w:tc>
          <w:tcPr>
            <w:tcW w:w="7412" w:type="dxa"/>
            <w:gridSpan w:val="5"/>
            <w:vAlign w:val="center"/>
          </w:tcPr>
          <w:p w14:paraId="1AEC4C2A">
            <w:pPr>
              <w:spacing w:line="240" w:lineRule="auto"/>
              <w:rPr>
                <w:sz w:val="21"/>
                <w:szCs w:val="21"/>
              </w:rPr>
            </w:pPr>
            <w:r>
              <w:rPr>
                <w:rFonts w:hint="eastAsia"/>
                <w:sz w:val="21"/>
                <w:szCs w:val="21"/>
              </w:rPr>
              <w:t>县政府办、县应急管理局</w:t>
            </w:r>
            <w:r>
              <w:rPr>
                <w:sz w:val="21"/>
                <w:szCs w:val="21"/>
              </w:rPr>
              <w:t>、</w:t>
            </w:r>
            <w:r>
              <w:rPr>
                <w:rFonts w:hint="eastAsia"/>
                <w:sz w:val="21"/>
                <w:szCs w:val="21"/>
              </w:rPr>
              <w:t>市生态环境局绥宁分局、关峡水厂</w:t>
            </w:r>
            <w:r>
              <w:rPr>
                <w:sz w:val="21"/>
                <w:szCs w:val="21"/>
              </w:rPr>
              <w:t>等。</w:t>
            </w:r>
          </w:p>
        </w:tc>
      </w:tr>
      <w:tr w14:paraId="3D8F4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415" w:hRule="atLeast"/>
          <w:jc w:val="center"/>
        </w:trPr>
        <w:tc>
          <w:tcPr>
            <w:tcW w:w="1093" w:type="dxa"/>
            <w:vAlign w:val="center"/>
          </w:tcPr>
          <w:p w14:paraId="3394C686">
            <w:pPr>
              <w:spacing w:line="240" w:lineRule="auto"/>
              <w:jc w:val="center"/>
              <w:rPr>
                <w:sz w:val="21"/>
                <w:szCs w:val="21"/>
              </w:rPr>
            </w:pPr>
            <w:r>
              <w:rPr>
                <w:sz w:val="21"/>
                <w:szCs w:val="21"/>
              </w:rPr>
              <w:t>应急处</w:t>
            </w:r>
          </w:p>
          <w:p w14:paraId="415C5047">
            <w:pPr>
              <w:spacing w:line="240" w:lineRule="auto"/>
              <w:jc w:val="center"/>
              <w:rPr>
                <w:sz w:val="21"/>
                <w:szCs w:val="21"/>
              </w:rPr>
            </w:pPr>
            <w:r>
              <w:rPr>
                <w:sz w:val="21"/>
                <w:szCs w:val="21"/>
              </w:rPr>
              <w:t>置措施</w:t>
            </w:r>
          </w:p>
        </w:tc>
        <w:tc>
          <w:tcPr>
            <w:tcW w:w="7412" w:type="dxa"/>
            <w:gridSpan w:val="5"/>
          </w:tcPr>
          <w:p w14:paraId="679A88D6">
            <w:pPr>
              <w:jc w:val="left"/>
              <w:rPr>
                <w:sz w:val="21"/>
                <w:szCs w:val="21"/>
              </w:rPr>
            </w:pPr>
            <w:r>
              <w:rPr>
                <w:sz w:val="21"/>
                <w:szCs w:val="21"/>
              </w:rPr>
              <w:t xml:space="preserve">    暴雨造成</w:t>
            </w:r>
            <w:r>
              <w:rPr>
                <w:rFonts w:hint="eastAsia"/>
                <w:sz w:val="21"/>
                <w:szCs w:val="21"/>
              </w:rPr>
              <w:t>非点源</w:t>
            </w:r>
            <w:r>
              <w:rPr>
                <w:sz w:val="21"/>
                <w:szCs w:val="21"/>
              </w:rPr>
              <w:t>源项的环境风险物质流失，</w:t>
            </w:r>
            <w:r>
              <w:rPr>
                <w:rFonts w:hint="eastAsia"/>
                <w:sz w:val="21"/>
                <w:szCs w:val="21"/>
              </w:rPr>
              <w:t>农田退水控制工程管理单位应</w:t>
            </w:r>
            <w:r>
              <w:rPr>
                <w:sz w:val="21"/>
                <w:szCs w:val="21"/>
              </w:rPr>
              <w:t>力争将环境风险物质控制在</w:t>
            </w:r>
            <w:r>
              <w:rPr>
                <w:rFonts w:hint="eastAsia"/>
                <w:sz w:val="21"/>
                <w:szCs w:val="21"/>
              </w:rPr>
              <w:t>农田退水控制工程</w:t>
            </w:r>
            <w:r>
              <w:rPr>
                <w:sz w:val="21"/>
                <w:szCs w:val="21"/>
              </w:rPr>
              <w:t>内、不流入外环境；若环境风险物质已经流出饮用水水源保护区范围，向水源地保护区扩散，则启动水源地保护区突发环境事件应急预案；</w:t>
            </w:r>
          </w:p>
          <w:p w14:paraId="25B69E97">
            <w:pPr>
              <w:ind w:firstLine="420" w:firstLineChars="200"/>
              <w:jc w:val="left"/>
              <w:rPr>
                <w:rFonts w:hint="eastAsia"/>
                <w:sz w:val="21"/>
                <w:szCs w:val="21"/>
              </w:rPr>
            </w:pPr>
            <w:r>
              <w:rPr>
                <w:sz w:val="21"/>
                <w:szCs w:val="21"/>
              </w:rPr>
              <w:t>（1）</w:t>
            </w:r>
            <w:r>
              <w:rPr>
                <w:rFonts w:hint="eastAsia"/>
                <w:sz w:val="21"/>
                <w:szCs w:val="21"/>
              </w:rPr>
              <w:t>县政府办组织相关单位加强农田退水控制工程的管理，及时对收集渠进行疏通，保证处理设施的正常运转，尽量避免非点源</w:t>
            </w:r>
            <w:r>
              <w:rPr>
                <w:sz w:val="21"/>
                <w:szCs w:val="21"/>
              </w:rPr>
              <w:t>源项的环境风险物质流失</w:t>
            </w:r>
            <w:r>
              <w:rPr>
                <w:rFonts w:hint="eastAsia"/>
                <w:sz w:val="21"/>
                <w:szCs w:val="21"/>
              </w:rPr>
              <w:t>至水体。</w:t>
            </w:r>
          </w:p>
          <w:p w14:paraId="3C7F1CD7">
            <w:pPr>
              <w:ind w:firstLine="420" w:firstLineChars="200"/>
              <w:jc w:val="left"/>
              <w:rPr>
                <w:sz w:val="21"/>
                <w:szCs w:val="21"/>
              </w:rPr>
            </w:pPr>
            <w:r>
              <w:rPr>
                <w:sz w:val="21"/>
                <w:szCs w:val="21"/>
              </w:rPr>
              <w:t>（</w:t>
            </w:r>
            <w:r>
              <w:rPr>
                <w:rFonts w:hint="eastAsia"/>
                <w:sz w:val="21"/>
                <w:szCs w:val="21"/>
              </w:rPr>
              <w:t>2</w:t>
            </w:r>
            <w:r>
              <w:rPr>
                <w:sz w:val="21"/>
                <w:szCs w:val="21"/>
              </w:rPr>
              <w:t xml:space="preserve">）监测  </w:t>
            </w:r>
            <w:r>
              <w:rPr>
                <w:rFonts w:hint="eastAsia"/>
                <w:sz w:val="21"/>
                <w:szCs w:val="21"/>
              </w:rPr>
              <w:t>县政府办组织</w:t>
            </w:r>
            <w:r>
              <w:rPr>
                <w:sz w:val="21"/>
                <w:szCs w:val="21"/>
              </w:rPr>
              <w:t>应急监测组在水源地一级保护区、二级保护区等断面中超标断面处及</w:t>
            </w:r>
            <w:r>
              <w:rPr>
                <w:rFonts w:hint="eastAsia"/>
                <w:sz w:val="21"/>
                <w:szCs w:val="21"/>
              </w:rPr>
              <w:t>关峡</w:t>
            </w:r>
            <w:r>
              <w:rPr>
                <w:sz w:val="21"/>
                <w:szCs w:val="21"/>
              </w:rPr>
              <w:t>水厂取水口等位置布点监测，监测因子为COD、氨氮、</w:t>
            </w:r>
            <w:r>
              <w:rPr>
                <w:rFonts w:hint="eastAsia"/>
                <w:sz w:val="21"/>
                <w:szCs w:val="21"/>
              </w:rPr>
              <w:t>SS</w:t>
            </w:r>
            <w:r>
              <w:rPr>
                <w:sz w:val="21"/>
                <w:szCs w:val="21"/>
              </w:rPr>
              <w:t>等；</w:t>
            </w:r>
            <w:r>
              <w:rPr>
                <w:rFonts w:hint="eastAsia"/>
                <w:sz w:val="21"/>
                <w:szCs w:val="21"/>
              </w:rPr>
              <w:t>并开展水质跟踪监测，判断各断面、点位水质变化趋势，为县人民政府组织做好应急处置提供依据。</w:t>
            </w:r>
          </w:p>
          <w:p w14:paraId="2FE640A5">
            <w:pPr>
              <w:ind w:firstLine="420" w:firstLineChars="200"/>
              <w:jc w:val="left"/>
              <w:rPr>
                <w:sz w:val="21"/>
                <w:szCs w:val="21"/>
              </w:rPr>
            </w:pPr>
            <w:r>
              <w:rPr>
                <w:sz w:val="21"/>
                <w:szCs w:val="21"/>
              </w:rPr>
              <w:t>（</w:t>
            </w:r>
            <w:r>
              <w:rPr>
                <w:rFonts w:hint="eastAsia"/>
                <w:sz w:val="21"/>
                <w:szCs w:val="21"/>
              </w:rPr>
              <w:t>3</w:t>
            </w:r>
            <w:r>
              <w:rPr>
                <w:sz w:val="21"/>
                <w:szCs w:val="21"/>
              </w:rPr>
              <w:t xml:space="preserve">）协调  </w:t>
            </w:r>
            <w:r>
              <w:rPr>
                <w:rFonts w:hint="eastAsia"/>
                <w:sz w:val="21"/>
                <w:szCs w:val="21"/>
              </w:rPr>
              <w:t>县政府办组织</w:t>
            </w:r>
            <w:r>
              <w:rPr>
                <w:sz w:val="21"/>
                <w:szCs w:val="21"/>
              </w:rPr>
              <w:t>综合组及时告知自来水厂，增加取水水质监测频次，密切关注供水的出水水质情况，</w:t>
            </w:r>
            <w:r>
              <w:rPr>
                <w:rFonts w:hint="eastAsia"/>
                <w:sz w:val="21"/>
                <w:szCs w:val="21"/>
              </w:rPr>
              <w:t>采取强化混凝等措施尽量保证供水水质达标，</w:t>
            </w:r>
            <w:r>
              <w:rPr>
                <w:sz w:val="21"/>
                <w:szCs w:val="21"/>
              </w:rPr>
              <w:t>并将进出水水质异常情况</w:t>
            </w:r>
            <w:r>
              <w:rPr>
                <w:rFonts w:hint="eastAsia"/>
                <w:sz w:val="21"/>
                <w:szCs w:val="21"/>
              </w:rPr>
              <w:t>告知</w:t>
            </w:r>
            <w:r>
              <w:rPr>
                <w:sz w:val="21"/>
                <w:szCs w:val="21"/>
              </w:rPr>
              <w:t>现场应急指挥部及</w:t>
            </w:r>
            <w:r>
              <w:rPr>
                <w:rFonts w:hint="eastAsia"/>
                <w:sz w:val="21"/>
                <w:szCs w:val="21"/>
              </w:rPr>
              <w:t>市生态环境局绥宁分局</w:t>
            </w:r>
            <w:r>
              <w:rPr>
                <w:sz w:val="21"/>
                <w:szCs w:val="21"/>
              </w:rPr>
              <w:t>等。</w:t>
            </w:r>
          </w:p>
          <w:p w14:paraId="29CE391B">
            <w:pPr>
              <w:ind w:firstLine="420" w:firstLineChars="200"/>
              <w:jc w:val="left"/>
              <w:rPr>
                <w:sz w:val="21"/>
                <w:szCs w:val="21"/>
              </w:rPr>
            </w:pPr>
            <w:r>
              <w:rPr>
                <w:sz w:val="21"/>
                <w:szCs w:val="21"/>
              </w:rPr>
              <w:t>（</w:t>
            </w:r>
            <w:r>
              <w:rPr>
                <w:rFonts w:hint="eastAsia"/>
                <w:sz w:val="21"/>
                <w:szCs w:val="21"/>
              </w:rPr>
              <w:t>4</w:t>
            </w:r>
            <w:r>
              <w:rPr>
                <w:sz w:val="21"/>
                <w:szCs w:val="21"/>
              </w:rPr>
              <w:t xml:space="preserve">）善后  </w:t>
            </w:r>
            <w:r>
              <w:rPr>
                <w:rFonts w:hint="eastAsia"/>
                <w:sz w:val="21"/>
                <w:szCs w:val="21"/>
              </w:rPr>
              <w:t>县政府办组织</w:t>
            </w:r>
            <w:r>
              <w:rPr>
                <w:sz w:val="21"/>
                <w:szCs w:val="21"/>
              </w:rPr>
              <w:t>应急供水保障组负责做好饮用水正常供水保障工作，负责与其他相关单位联系。</w:t>
            </w:r>
          </w:p>
        </w:tc>
      </w:tr>
    </w:tbl>
    <w:p w14:paraId="240CA1CF">
      <w:pPr>
        <w:bidi w:val="0"/>
        <w:jc w:val="center"/>
        <w:rPr>
          <w:rFonts w:ascii="Times New Roman" w:hAnsi="Times New Roman" w:eastAsia="宋体" w:cs="Times New Roman"/>
          <w:b/>
          <w:color w:val="auto"/>
          <w:sz w:val="21"/>
          <w:szCs w:val="21"/>
          <w:u w:val="none"/>
          <w:lang w:val="zh-CN"/>
        </w:rPr>
      </w:pPr>
      <w:r>
        <w:rPr>
          <w:rFonts w:ascii="Times New Roman" w:hAnsi="Times New Roman" w:eastAsia="宋体" w:cs="Times New Roman"/>
          <w:b/>
          <w:color w:val="auto"/>
          <w:sz w:val="21"/>
          <w:szCs w:val="21"/>
          <w:u w:val="none"/>
        </w:rPr>
        <w:t>表</w:t>
      </w:r>
      <w:r>
        <w:rPr>
          <w:rFonts w:ascii="Times New Roman" w:hAnsi="Times New Roman" w:eastAsia="宋体" w:cs="Times New Roman"/>
          <w:b/>
          <w:color w:val="auto"/>
          <w:sz w:val="21"/>
          <w:szCs w:val="21"/>
          <w:u w:val="none"/>
          <w:lang w:val="zh-CN"/>
        </w:rPr>
        <w:t>3-</w:t>
      </w:r>
      <w:r>
        <w:rPr>
          <w:rFonts w:hint="eastAsia" w:ascii="Times New Roman" w:hAnsi="Times New Roman" w:eastAsia="宋体" w:cs="Times New Roman"/>
          <w:b/>
          <w:color w:val="auto"/>
          <w:sz w:val="21"/>
          <w:szCs w:val="21"/>
          <w:u w:val="none"/>
        </w:rPr>
        <w:t>1</w:t>
      </w:r>
      <w:r>
        <w:rPr>
          <w:rFonts w:hint="eastAsia" w:ascii="Times New Roman" w:hAnsi="Times New Roman" w:eastAsia="宋体" w:cs="Times New Roman"/>
          <w:b/>
          <w:color w:val="auto"/>
          <w:sz w:val="21"/>
          <w:szCs w:val="21"/>
          <w:u w:val="none"/>
          <w:lang w:val="en-US" w:eastAsia="zh-CN"/>
        </w:rPr>
        <w:t>1</w:t>
      </w:r>
      <w:r>
        <w:rPr>
          <w:rFonts w:ascii="Times New Roman" w:hAnsi="Times New Roman" w:eastAsia="宋体" w:cs="Times New Roman"/>
          <w:b/>
          <w:color w:val="auto"/>
          <w:sz w:val="21"/>
          <w:szCs w:val="21"/>
          <w:u w:val="none"/>
          <w:lang w:val="zh-CN"/>
        </w:rPr>
        <w:t xml:space="preserve">  </w:t>
      </w:r>
      <w:r>
        <w:rPr>
          <w:rFonts w:hint="eastAsia" w:ascii="Times New Roman" w:hAnsi="Times New Roman" w:eastAsia="宋体" w:cs="Times New Roman"/>
          <w:b/>
          <w:color w:val="auto"/>
          <w:sz w:val="21"/>
          <w:szCs w:val="21"/>
          <w:u w:val="none"/>
          <w:lang w:val="en-US" w:eastAsia="zh-CN"/>
        </w:rPr>
        <w:t>水华</w:t>
      </w:r>
      <w:r>
        <w:rPr>
          <w:rFonts w:ascii="Times New Roman" w:hAnsi="Times New Roman" w:eastAsia="宋体" w:cs="Times New Roman"/>
          <w:b/>
          <w:color w:val="auto"/>
          <w:sz w:val="21"/>
          <w:szCs w:val="21"/>
          <w:u w:val="none"/>
          <w:lang w:val="zh-CN"/>
        </w:rPr>
        <w:t>环境事件应急卡</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3"/>
        <w:gridCol w:w="1105"/>
        <w:gridCol w:w="825"/>
        <w:gridCol w:w="1920"/>
        <w:gridCol w:w="1785"/>
        <w:gridCol w:w="1777"/>
      </w:tblGrid>
      <w:tr w14:paraId="1A36B6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0" w:hRule="atLeast"/>
          <w:jc w:val="center"/>
        </w:trPr>
        <w:tc>
          <w:tcPr>
            <w:tcW w:w="1093" w:type="dxa"/>
            <w:vMerge w:val="restart"/>
            <w:noWrap w:val="0"/>
            <w:vAlign w:val="center"/>
          </w:tcPr>
          <w:p w14:paraId="06CECB20">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风险</w:t>
            </w:r>
          </w:p>
          <w:p w14:paraId="7828439B">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特征</w:t>
            </w:r>
          </w:p>
        </w:tc>
        <w:tc>
          <w:tcPr>
            <w:tcW w:w="1105" w:type="dxa"/>
            <w:tcBorders>
              <w:bottom w:val="single" w:color="auto" w:sz="4" w:space="0"/>
              <w:right w:val="single" w:color="auto" w:sz="4" w:space="0"/>
            </w:tcBorders>
            <w:noWrap w:val="0"/>
            <w:vAlign w:val="center"/>
          </w:tcPr>
          <w:p w14:paraId="243592D6">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事故地点</w:t>
            </w:r>
          </w:p>
        </w:tc>
        <w:tc>
          <w:tcPr>
            <w:tcW w:w="6307" w:type="dxa"/>
            <w:gridSpan w:val="4"/>
            <w:tcBorders>
              <w:left w:val="single" w:color="auto" w:sz="4" w:space="0"/>
              <w:bottom w:val="single" w:color="auto" w:sz="4" w:space="0"/>
            </w:tcBorders>
            <w:noWrap w:val="0"/>
            <w:vAlign w:val="center"/>
          </w:tcPr>
          <w:p w14:paraId="0EF70001">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水源</w:t>
            </w:r>
            <w:r>
              <w:rPr>
                <w:rFonts w:hint="eastAsia" w:ascii="Times New Roman" w:hAnsi="Times New Roman" w:eastAsia="宋体" w:cs="Times New Roman"/>
                <w:color w:val="auto"/>
                <w:sz w:val="21"/>
                <w:szCs w:val="21"/>
                <w:u w:val="wave"/>
                <w:lang w:val="en-US" w:eastAsia="zh-CN"/>
              </w:rPr>
              <w:t>地</w:t>
            </w:r>
            <w:r>
              <w:rPr>
                <w:rFonts w:hint="eastAsia" w:ascii="Times New Roman" w:hAnsi="Times New Roman" w:eastAsia="宋体" w:cs="Times New Roman"/>
                <w:color w:val="auto"/>
                <w:sz w:val="21"/>
                <w:szCs w:val="21"/>
                <w:u w:val="wave"/>
              </w:rPr>
              <w:t>保护区水域范围内</w:t>
            </w:r>
          </w:p>
        </w:tc>
      </w:tr>
      <w:tr w14:paraId="1814B0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0" w:hRule="atLeast"/>
          <w:jc w:val="center"/>
        </w:trPr>
        <w:tc>
          <w:tcPr>
            <w:tcW w:w="1093" w:type="dxa"/>
            <w:vMerge w:val="continue"/>
            <w:noWrap w:val="0"/>
            <w:vAlign w:val="center"/>
          </w:tcPr>
          <w:p w14:paraId="7ACB9F8E">
            <w:pPr>
              <w:spacing w:line="240" w:lineRule="auto"/>
              <w:jc w:val="center"/>
              <w:rPr>
                <w:rFonts w:hint="eastAsia" w:ascii="Times New Roman" w:hAnsi="Times New Roman" w:eastAsia="宋体" w:cs="Times New Roman"/>
                <w:color w:val="auto"/>
                <w:sz w:val="21"/>
                <w:szCs w:val="21"/>
                <w:u w:val="wave"/>
              </w:rPr>
            </w:pPr>
          </w:p>
        </w:tc>
        <w:tc>
          <w:tcPr>
            <w:tcW w:w="1105" w:type="dxa"/>
            <w:tcBorders>
              <w:bottom w:val="single" w:color="auto" w:sz="4" w:space="0"/>
              <w:right w:val="single" w:color="auto" w:sz="4" w:space="0"/>
            </w:tcBorders>
            <w:noWrap w:val="0"/>
            <w:vAlign w:val="center"/>
          </w:tcPr>
          <w:p w14:paraId="03957A87">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风险物质</w:t>
            </w:r>
          </w:p>
        </w:tc>
        <w:tc>
          <w:tcPr>
            <w:tcW w:w="6307" w:type="dxa"/>
            <w:gridSpan w:val="4"/>
            <w:tcBorders>
              <w:left w:val="single" w:color="auto" w:sz="4" w:space="0"/>
              <w:bottom w:val="single" w:color="auto" w:sz="4" w:space="0"/>
            </w:tcBorders>
            <w:noWrap w:val="0"/>
            <w:vAlign w:val="center"/>
          </w:tcPr>
          <w:p w14:paraId="0D61E2CC">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含氨氮、磷污水</w:t>
            </w:r>
          </w:p>
        </w:tc>
      </w:tr>
      <w:tr w14:paraId="42E46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75" w:hRule="atLeast"/>
          <w:jc w:val="center"/>
        </w:trPr>
        <w:tc>
          <w:tcPr>
            <w:tcW w:w="1093" w:type="dxa"/>
            <w:vMerge w:val="continue"/>
            <w:noWrap w:val="0"/>
            <w:vAlign w:val="center"/>
          </w:tcPr>
          <w:p w14:paraId="6672D401">
            <w:pPr>
              <w:spacing w:line="240" w:lineRule="auto"/>
              <w:jc w:val="center"/>
              <w:rPr>
                <w:rFonts w:hint="eastAsia" w:ascii="Times New Roman" w:hAnsi="Times New Roman" w:eastAsia="宋体" w:cs="Times New Roman"/>
                <w:color w:val="auto"/>
                <w:sz w:val="21"/>
                <w:szCs w:val="21"/>
                <w:u w:val="wave"/>
              </w:rPr>
            </w:pPr>
          </w:p>
        </w:tc>
        <w:tc>
          <w:tcPr>
            <w:tcW w:w="1105" w:type="dxa"/>
            <w:tcBorders>
              <w:top w:val="single" w:color="auto" w:sz="4" w:space="0"/>
              <w:right w:val="single" w:color="auto" w:sz="4" w:space="0"/>
            </w:tcBorders>
            <w:noWrap w:val="0"/>
            <w:vAlign w:val="center"/>
          </w:tcPr>
          <w:p w14:paraId="38B0FFEF">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事故说明</w:t>
            </w:r>
          </w:p>
        </w:tc>
        <w:tc>
          <w:tcPr>
            <w:tcW w:w="6307" w:type="dxa"/>
            <w:gridSpan w:val="4"/>
            <w:tcBorders>
              <w:top w:val="single" w:color="auto" w:sz="4" w:space="0"/>
              <w:left w:val="single" w:color="auto" w:sz="4" w:space="0"/>
            </w:tcBorders>
            <w:noWrap w:val="0"/>
            <w:vAlign w:val="center"/>
          </w:tcPr>
          <w:p w14:paraId="04B1BE5F">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水体出现富营养化现象时</w:t>
            </w:r>
            <w:r>
              <w:rPr>
                <w:rFonts w:hint="eastAsia" w:ascii="Times New Roman" w:hAnsi="Times New Roman" w:eastAsia="宋体" w:cs="Times New Roman"/>
                <w:color w:val="auto"/>
                <w:sz w:val="21"/>
                <w:szCs w:val="21"/>
                <w:u w:val="wave"/>
                <w:lang w:eastAsia="zh-CN"/>
              </w:rPr>
              <w:t>，</w:t>
            </w:r>
            <w:r>
              <w:rPr>
                <w:rFonts w:hint="eastAsia" w:ascii="Times New Roman" w:hAnsi="Times New Roman" w:eastAsia="宋体" w:cs="Times New Roman"/>
                <w:color w:val="auto"/>
                <w:sz w:val="21"/>
                <w:szCs w:val="21"/>
                <w:u w:val="wave"/>
              </w:rPr>
              <w:t>藻类大量繁殖</w:t>
            </w:r>
            <w:r>
              <w:rPr>
                <w:rFonts w:hint="eastAsia" w:ascii="Times New Roman" w:hAnsi="Times New Roman" w:eastAsia="宋体" w:cs="Times New Roman"/>
                <w:color w:val="auto"/>
                <w:sz w:val="21"/>
                <w:szCs w:val="21"/>
                <w:u w:val="wave"/>
                <w:lang w:eastAsia="zh-CN"/>
              </w:rPr>
              <w:t>，</w:t>
            </w:r>
            <w:r>
              <w:rPr>
                <w:rFonts w:hint="eastAsia" w:ascii="Times New Roman" w:hAnsi="Times New Roman" w:eastAsia="宋体" w:cs="Times New Roman"/>
                <w:color w:val="auto"/>
                <w:sz w:val="21"/>
                <w:szCs w:val="21"/>
                <w:u w:val="wave"/>
              </w:rPr>
              <w:t>水质恶化而有腥臭</w:t>
            </w:r>
            <w:r>
              <w:rPr>
                <w:rFonts w:hint="eastAsia" w:ascii="Times New Roman" w:hAnsi="Times New Roman" w:eastAsia="宋体" w:cs="Times New Roman"/>
                <w:color w:val="auto"/>
                <w:sz w:val="21"/>
                <w:szCs w:val="21"/>
                <w:u w:val="wave"/>
                <w:lang w:eastAsia="zh-CN"/>
              </w:rPr>
              <w:t>，</w:t>
            </w:r>
            <w:r>
              <w:rPr>
                <w:rFonts w:hint="eastAsia" w:ascii="Times New Roman" w:hAnsi="Times New Roman" w:eastAsia="宋体" w:cs="Times New Roman"/>
                <w:color w:val="auto"/>
                <w:sz w:val="21"/>
                <w:szCs w:val="21"/>
                <w:u w:val="wave"/>
              </w:rPr>
              <w:t>水中缺氧</w:t>
            </w:r>
            <w:r>
              <w:rPr>
                <w:rFonts w:hint="eastAsia" w:ascii="Times New Roman" w:hAnsi="Times New Roman" w:eastAsia="宋体" w:cs="Times New Roman"/>
                <w:color w:val="auto"/>
                <w:sz w:val="21"/>
                <w:szCs w:val="21"/>
                <w:u w:val="wave"/>
                <w:lang w:eastAsia="zh-CN"/>
              </w:rPr>
              <w:t>，</w:t>
            </w:r>
            <w:r>
              <w:rPr>
                <w:rFonts w:hint="eastAsia" w:ascii="Times New Roman" w:hAnsi="Times New Roman" w:eastAsia="宋体" w:cs="Times New Roman"/>
                <w:color w:val="auto"/>
                <w:sz w:val="21"/>
                <w:szCs w:val="21"/>
                <w:u w:val="wave"/>
              </w:rPr>
              <w:t>造成鱼类窒息死亡。若蓝藻</w:t>
            </w:r>
            <w:r>
              <w:rPr>
                <w:rFonts w:hint="eastAsia" w:ascii="Times New Roman" w:hAnsi="Times New Roman" w:eastAsia="宋体" w:cs="Times New Roman"/>
                <w:color w:val="auto"/>
                <w:sz w:val="21"/>
                <w:szCs w:val="21"/>
                <w:u w:val="wave"/>
                <w:lang w:val="en-US" w:eastAsia="zh-CN"/>
              </w:rPr>
              <w:t>或水华</w:t>
            </w:r>
            <w:r>
              <w:rPr>
                <w:rFonts w:hint="eastAsia" w:ascii="Times New Roman" w:hAnsi="Times New Roman" w:eastAsia="宋体" w:cs="Times New Roman"/>
                <w:color w:val="auto"/>
                <w:sz w:val="21"/>
                <w:szCs w:val="21"/>
                <w:u w:val="wave"/>
              </w:rPr>
              <w:t>爆发处理不当或不及时，则会造成水体污染，影响饮用水取水及供水安全</w:t>
            </w:r>
          </w:p>
        </w:tc>
      </w:tr>
      <w:tr w14:paraId="4863B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10" w:hRule="atLeast"/>
          <w:jc w:val="center"/>
        </w:trPr>
        <w:tc>
          <w:tcPr>
            <w:tcW w:w="1093" w:type="dxa"/>
            <w:noWrap w:val="0"/>
            <w:vAlign w:val="center"/>
          </w:tcPr>
          <w:p w14:paraId="42D1159D">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应急</w:t>
            </w:r>
          </w:p>
          <w:p w14:paraId="22AD589C">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程序</w:t>
            </w:r>
          </w:p>
        </w:tc>
        <w:tc>
          <w:tcPr>
            <w:tcW w:w="7412" w:type="dxa"/>
            <w:gridSpan w:val="5"/>
            <w:noWrap w:val="0"/>
            <w:vAlign w:val="top"/>
          </w:tcPr>
          <w:p w14:paraId="0C626AF6">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事故责任单位负责人或发现人立即报告</w:t>
            </w:r>
            <w:r>
              <w:rPr>
                <w:rFonts w:hint="eastAsia" w:ascii="Times New Roman" w:hAnsi="Times New Roman" w:eastAsia="宋体" w:cs="Times New Roman"/>
                <w:color w:val="auto"/>
                <w:sz w:val="21"/>
                <w:szCs w:val="21"/>
                <w:u w:val="wave"/>
                <w:lang w:val="en-US" w:eastAsia="zh-CN"/>
              </w:rPr>
              <w:t>县政府办、应急管理局、邵阳市生态环境局绥宁分局、县农业农村水利局</w:t>
            </w:r>
            <w:r>
              <w:rPr>
                <w:rFonts w:hint="eastAsia" w:ascii="Times New Roman" w:hAnsi="Times New Roman" w:eastAsia="宋体" w:cs="Times New Roman"/>
                <w:color w:val="auto"/>
                <w:sz w:val="21"/>
                <w:szCs w:val="21"/>
                <w:u w:val="wave"/>
              </w:rPr>
              <w:t>等，</w:t>
            </w:r>
            <w:r>
              <w:rPr>
                <w:rFonts w:hint="eastAsia" w:ascii="Times New Roman" w:hAnsi="Times New Roman" w:eastAsia="宋体" w:cs="Times New Roman"/>
                <w:color w:val="auto"/>
                <w:sz w:val="21"/>
                <w:szCs w:val="21"/>
                <w:u w:val="wave"/>
                <w:lang w:val="en-US" w:eastAsia="zh-CN"/>
              </w:rPr>
              <w:t>应急管理局、生态环境分局、农业农村水利局</w:t>
            </w:r>
            <w:r>
              <w:rPr>
                <w:rFonts w:hint="eastAsia" w:ascii="Times New Roman" w:hAnsi="Times New Roman" w:eastAsia="宋体" w:cs="Times New Roman"/>
                <w:color w:val="auto"/>
                <w:sz w:val="21"/>
                <w:szCs w:val="21"/>
                <w:u w:val="wave"/>
              </w:rPr>
              <w:t>立即赶赴现场指导事故先期处置工作，并判断事故等级情况；</w:t>
            </w:r>
            <w:r>
              <w:rPr>
                <w:rFonts w:ascii="Times New Roman" w:hAnsi="Times New Roman" w:eastAsia="宋体" w:cs="Times New Roman"/>
                <w:color w:val="auto"/>
                <w:sz w:val="21"/>
                <w:szCs w:val="21"/>
                <w:u w:val="wave"/>
              </w:rPr>
              <w:t>再根据事故的大小及发展态势向</w:t>
            </w:r>
            <w:r>
              <w:rPr>
                <w:rFonts w:hint="eastAsia" w:ascii="Times New Roman" w:hAnsi="Times New Roman" w:eastAsia="宋体" w:cs="Times New Roman"/>
                <w:color w:val="auto"/>
                <w:sz w:val="21"/>
                <w:szCs w:val="21"/>
                <w:u w:val="wave"/>
              </w:rPr>
              <w:t>相关单位和部门</w:t>
            </w:r>
            <w:r>
              <w:rPr>
                <w:rFonts w:ascii="Times New Roman" w:hAnsi="Times New Roman" w:eastAsia="宋体" w:cs="Times New Roman"/>
                <w:color w:val="auto"/>
                <w:sz w:val="21"/>
                <w:szCs w:val="21"/>
                <w:u w:val="wave"/>
              </w:rPr>
              <w:t>报</w:t>
            </w:r>
            <w:r>
              <w:rPr>
                <w:rFonts w:hint="eastAsia" w:ascii="Times New Roman" w:hAnsi="Times New Roman" w:eastAsia="宋体" w:cs="Times New Roman"/>
                <w:color w:val="auto"/>
                <w:sz w:val="21"/>
                <w:szCs w:val="21"/>
                <w:u w:val="wave"/>
              </w:rPr>
              <w:t>。</w:t>
            </w:r>
          </w:p>
        </w:tc>
      </w:tr>
      <w:tr w14:paraId="2975C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6" w:hRule="atLeast"/>
          <w:jc w:val="center"/>
        </w:trPr>
        <w:tc>
          <w:tcPr>
            <w:tcW w:w="1093" w:type="dxa"/>
            <w:vMerge w:val="restart"/>
            <w:tcBorders>
              <w:top w:val="single" w:color="auto" w:sz="4" w:space="0"/>
            </w:tcBorders>
            <w:noWrap w:val="0"/>
            <w:vAlign w:val="center"/>
          </w:tcPr>
          <w:p w14:paraId="1A0B52FB">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应急</w:t>
            </w:r>
          </w:p>
          <w:p w14:paraId="0288E296">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报告</w:t>
            </w:r>
          </w:p>
        </w:tc>
        <w:tc>
          <w:tcPr>
            <w:tcW w:w="1930" w:type="dxa"/>
            <w:gridSpan w:val="2"/>
            <w:tcBorders>
              <w:top w:val="single" w:color="auto" w:sz="4" w:space="0"/>
              <w:bottom w:val="single" w:color="auto" w:sz="4" w:space="0"/>
              <w:right w:val="single" w:color="auto" w:sz="4" w:space="0"/>
            </w:tcBorders>
            <w:noWrap w:val="0"/>
            <w:vAlign w:val="center"/>
          </w:tcPr>
          <w:p w14:paraId="1F49B8CD">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报告内容</w:t>
            </w:r>
          </w:p>
        </w:tc>
        <w:tc>
          <w:tcPr>
            <w:tcW w:w="5482" w:type="dxa"/>
            <w:gridSpan w:val="3"/>
            <w:tcBorders>
              <w:top w:val="single" w:color="auto" w:sz="4" w:space="0"/>
              <w:left w:val="single" w:color="auto" w:sz="4" w:space="0"/>
              <w:bottom w:val="single" w:color="auto" w:sz="4" w:space="0"/>
            </w:tcBorders>
            <w:noWrap w:val="0"/>
            <w:vAlign w:val="center"/>
          </w:tcPr>
          <w:p w14:paraId="4BCE35BA">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事故发生地点、主要风险物质、处置及扩散情况等</w:t>
            </w:r>
          </w:p>
        </w:tc>
      </w:tr>
      <w:tr w14:paraId="3FB2C4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1093" w:type="dxa"/>
            <w:vMerge w:val="continue"/>
            <w:noWrap w:val="0"/>
            <w:vAlign w:val="center"/>
          </w:tcPr>
          <w:p w14:paraId="60B36FCF">
            <w:pPr>
              <w:spacing w:line="240" w:lineRule="auto"/>
              <w:jc w:val="center"/>
              <w:rPr>
                <w:rFonts w:hint="eastAsia" w:ascii="Times New Roman" w:hAnsi="Times New Roman" w:eastAsia="宋体" w:cs="Times New Roman"/>
                <w:color w:val="auto"/>
                <w:sz w:val="21"/>
                <w:szCs w:val="21"/>
                <w:u w:val="wave"/>
              </w:rPr>
            </w:pPr>
          </w:p>
        </w:tc>
        <w:tc>
          <w:tcPr>
            <w:tcW w:w="1930" w:type="dxa"/>
            <w:gridSpan w:val="2"/>
            <w:tcBorders>
              <w:top w:val="single" w:color="auto" w:sz="4" w:space="0"/>
              <w:right w:val="single" w:color="auto" w:sz="4" w:space="0"/>
            </w:tcBorders>
            <w:noWrap w:val="0"/>
            <w:vAlign w:val="center"/>
          </w:tcPr>
          <w:p w14:paraId="10E5D6D8">
            <w:pPr>
              <w:spacing w:line="420" w:lineRule="exact"/>
              <w:jc w:val="center"/>
              <w:rPr>
                <w:rFonts w:hint="eastAsia" w:ascii="Times New Roman" w:hAnsi="Times New Roman" w:eastAsia="宋体" w:cs="Times New Roman"/>
                <w:kern w:val="2"/>
                <w:sz w:val="21"/>
                <w:szCs w:val="21"/>
                <w:u w:val="wave"/>
                <w:lang w:val="en-US" w:eastAsia="zh-CN" w:bidi="ar-SA"/>
              </w:rPr>
            </w:pPr>
            <w:r>
              <w:rPr>
                <w:rFonts w:hint="eastAsia"/>
                <w:sz w:val="21"/>
                <w:szCs w:val="21"/>
                <w:u w:val="wave"/>
              </w:rPr>
              <w:t>应急管理局莫俊</w:t>
            </w:r>
          </w:p>
        </w:tc>
        <w:tc>
          <w:tcPr>
            <w:tcW w:w="1920" w:type="dxa"/>
            <w:tcBorders>
              <w:top w:val="single" w:color="auto" w:sz="4" w:space="0"/>
              <w:left w:val="single" w:color="auto" w:sz="4" w:space="0"/>
              <w:right w:val="single" w:color="auto" w:sz="4" w:space="0"/>
            </w:tcBorders>
            <w:noWrap w:val="0"/>
            <w:vAlign w:val="center"/>
          </w:tcPr>
          <w:p w14:paraId="5C2DC0E9">
            <w:pPr>
              <w:spacing w:line="420" w:lineRule="exact"/>
              <w:jc w:val="center"/>
              <w:rPr>
                <w:rFonts w:ascii="Times New Roman" w:hAnsi="Times New Roman" w:eastAsia="宋体" w:cs="Times New Roman"/>
                <w:kern w:val="2"/>
                <w:sz w:val="21"/>
                <w:szCs w:val="21"/>
                <w:u w:val="wave"/>
                <w:lang w:val="en-US" w:eastAsia="zh-CN" w:bidi="ar-SA"/>
              </w:rPr>
            </w:pPr>
            <w:r>
              <w:rPr>
                <w:rFonts w:hint="eastAsia"/>
                <w:sz w:val="21"/>
                <w:szCs w:val="21"/>
                <w:u w:val="wave"/>
              </w:rPr>
              <w:t>13786926799</w:t>
            </w:r>
          </w:p>
        </w:tc>
        <w:tc>
          <w:tcPr>
            <w:tcW w:w="1785" w:type="dxa"/>
            <w:tcBorders>
              <w:top w:val="single" w:color="auto" w:sz="4" w:space="0"/>
              <w:left w:val="single" w:color="auto" w:sz="4" w:space="0"/>
              <w:right w:val="single" w:color="auto" w:sz="4" w:space="0"/>
            </w:tcBorders>
            <w:noWrap w:val="0"/>
            <w:vAlign w:val="center"/>
          </w:tcPr>
          <w:p w14:paraId="75203C59">
            <w:pPr>
              <w:spacing w:line="420" w:lineRule="exact"/>
              <w:jc w:val="center"/>
              <w:rPr>
                <w:rFonts w:hint="eastAsia" w:ascii="Times New Roman" w:hAnsi="Times New Roman" w:eastAsia="宋体" w:cs="Times New Roman"/>
                <w:kern w:val="2"/>
                <w:sz w:val="21"/>
                <w:szCs w:val="21"/>
                <w:u w:val="wave"/>
                <w:lang w:val="en-US" w:eastAsia="zh-CN" w:bidi="ar-SA"/>
              </w:rPr>
            </w:pPr>
            <w:r>
              <w:rPr>
                <w:sz w:val="21"/>
                <w:szCs w:val="21"/>
                <w:u w:val="wave"/>
              </w:rPr>
              <w:t>县政府办</w:t>
            </w:r>
          </w:p>
        </w:tc>
        <w:tc>
          <w:tcPr>
            <w:tcW w:w="1777" w:type="dxa"/>
            <w:tcBorders>
              <w:top w:val="single" w:color="auto" w:sz="4" w:space="0"/>
              <w:left w:val="single" w:color="auto" w:sz="4" w:space="0"/>
            </w:tcBorders>
            <w:noWrap w:val="0"/>
            <w:vAlign w:val="center"/>
          </w:tcPr>
          <w:p w14:paraId="17626B64">
            <w:pPr>
              <w:spacing w:line="420" w:lineRule="exact"/>
              <w:jc w:val="center"/>
              <w:rPr>
                <w:rFonts w:hint="eastAsia" w:ascii="Times New Roman" w:hAnsi="Times New Roman" w:eastAsia="宋体" w:cs="Times New Roman"/>
                <w:kern w:val="2"/>
                <w:sz w:val="21"/>
                <w:szCs w:val="21"/>
                <w:u w:val="wave"/>
                <w:lang w:val="en-US" w:eastAsia="zh-CN" w:bidi="ar-SA"/>
              </w:rPr>
            </w:pPr>
            <w:r>
              <w:rPr>
                <w:sz w:val="21"/>
                <w:szCs w:val="21"/>
                <w:u w:val="wave"/>
              </w:rPr>
              <w:t>7611063</w:t>
            </w:r>
          </w:p>
        </w:tc>
      </w:tr>
      <w:tr w14:paraId="017E23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8" w:hRule="atLeast"/>
          <w:jc w:val="center"/>
        </w:trPr>
        <w:tc>
          <w:tcPr>
            <w:tcW w:w="1093" w:type="dxa"/>
            <w:noWrap w:val="0"/>
            <w:vAlign w:val="center"/>
          </w:tcPr>
          <w:p w14:paraId="6367B79C">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应急责</w:t>
            </w:r>
          </w:p>
          <w:p w14:paraId="434E4093">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任单位</w:t>
            </w:r>
          </w:p>
        </w:tc>
        <w:tc>
          <w:tcPr>
            <w:tcW w:w="7412" w:type="dxa"/>
            <w:gridSpan w:val="5"/>
            <w:noWrap w:val="0"/>
            <w:vAlign w:val="center"/>
          </w:tcPr>
          <w:p w14:paraId="60A9FB5A">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县人民政府、县</w:t>
            </w:r>
            <w:r>
              <w:rPr>
                <w:rFonts w:hint="eastAsia" w:ascii="Times New Roman" w:hAnsi="Times New Roman" w:eastAsia="宋体" w:cs="Times New Roman"/>
                <w:color w:val="auto"/>
                <w:sz w:val="21"/>
                <w:szCs w:val="21"/>
                <w:u w:val="wave"/>
                <w:lang w:val="en-US" w:eastAsia="zh-CN"/>
              </w:rPr>
              <w:t>生态环境分局</w:t>
            </w:r>
            <w:r>
              <w:rPr>
                <w:rFonts w:ascii="Times New Roman" w:hAnsi="Times New Roman" w:eastAsia="宋体" w:cs="Times New Roman"/>
                <w:color w:val="auto"/>
                <w:sz w:val="21"/>
                <w:szCs w:val="21"/>
                <w:u w:val="wave"/>
              </w:rPr>
              <w:t>、</w:t>
            </w:r>
            <w:r>
              <w:rPr>
                <w:rFonts w:hint="eastAsia" w:ascii="Times New Roman" w:hAnsi="Times New Roman" w:eastAsia="宋体" w:cs="Times New Roman"/>
                <w:color w:val="auto"/>
                <w:sz w:val="21"/>
                <w:szCs w:val="21"/>
                <w:u w:val="wave"/>
                <w:lang w:val="en-US" w:eastAsia="zh-CN"/>
              </w:rPr>
              <w:t>县应急管理局</w:t>
            </w:r>
            <w:r>
              <w:rPr>
                <w:rFonts w:ascii="Times New Roman" w:hAnsi="Times New Roman" w:eastAsia="宋体" w:cs="Times New Roman"/>
                <w:color w:val="auto"/>
                <w:sz w:val="21"/>
                <w:szCs w:val="21"/>
                <w:u w:val="wave"/>
              </w:rPr>
              <w:t>、</w:t>
            </w:r>
            <w:r>
              <w:rPr>
                <w:rFonts w:hint="eastAsia" w:ascii="Times New Roman" w:hAnsi="Times New Roman" w:eastAsia="宋体" w:cs="Times New Roman"/>
                <w:color w:val="auto"/>
                <w:sz w:val="21"/>
                <w:szCs w:val="21"/>
                <w:u w:val="wave"/>
              </w:rPr>
              <w:t>县</w:t>
            </w:r>
            <w:r>
              <w:rPr>
                <w:rFonts w:hint="eastAsia" w:ascii="Times New Roman" w:hAnsi="Times New Roman" w:eastAsia="宋体" w:cs="Times New Roman"/>
                <w:color w:val="auto"/>
                <w:sz w:val="21"/>
                <w:szCs w:val="21"/>
                <w:u w:val="wave"/>
                <w:lang w:val="en-US" w:eastAsia="zh-CN"/>
              </w:rPr>
              <w:t>卫健</w:t>
            </w:r>
            <w:r>
              <w:rPr>
                <w:rFonts w:ascii="Times New Roman" w:hAnsi="Times New Roman" w:eastAsia="宋体" w:cs="Times New Roman"/>
                <w:color w:val="auto"/>
                <w:sz w:val="21"/>
                <w:szCs w:val="21"/>
                <w:u w:val="wave"/>
              </w:rPr>
              <w:t>局、</w:t>
            </w:r>
            <w:r>
              <w:rPr>
                <w:rFonts w:hint="eastAsia" w:ascii="Times New Roman" w:hAnsi="Times New Roman" w:eastAsia="宋体" w:cs="Times New Roman"/>
                <w:color w:val="auto"/>
                <w:sz w:val="21"/>
                <w:szCs w:val="21"/>
                <w:u w:val="wave"/>
              </w:rPr>
              <w:t>县</w:t>
            </w:r>
            <w:r>
              <w:rPr>
                <w:rFonts w:ascii="Times New Roman" w:hAnsi="Times New Roman" w:eastAsia="宋体" w:cs="Times New Roman"/>
                <w:color w:val="auto"/>
                <w:sz w:val="21"/>
                <w:szCs w:val="21"/>
                <w:u w:val="wave"/>
              </w:rPr>
              <w:t>农业</w:t>
            </w:r>
            <w:r>
              <w:rPr>
                <w:rFonts w:hint="eastAsia" w:ascii="Times New Roman" w:hAnsi="Times New Roman" w:eastAsia="宋体" w:cs="Times New Roman"/>
                <w:color w:val="auto"/>
                <w:sz w:val="21"/>
                <w:szCs w:val="21"/>
                <w:u w:val="wave"/>
                <w:lang w:val="en-US" w:eastAsia="zh-CN"/>
              </w:rPr>
              <w:t>农村水利</w:t>
            </w:r>
            <w:r>
              <w:rPr>
                <w:rFonts w:ascii="Times New Roman" w:hAnsi="Times New Roman" w:eastAsia="宋体" w:cs="Times New Roman"/>
                <w:color w:val="auto"/>
                <w:sz w:val="21"/>
                <w:szCs w:val="21"/>
                <w:u w:val="wave"/>
              </w:rPr>
              <w:t>局、水厂、</w:t>
            </w:r>
            <w:r>
              <w:rPr>
                <w:rFonts w:hint="eastAsia" w:ascii="Times New Roman" w:hAnsi="Times New Roman" w:eastAsia="宋体" w:cs="Times New Roman"/>
                <w:color w:val="auto"/>
                <w:sz w:val="21"/>
                <w:szCs w:val="21"/>
                <w:u w:val="wave"/>
                <w:lang w:val="en-US" w:eastAsia="zh-CN"/>
              </w:rPr>
              <w:t>乡</w:t>
            </w:r>
            <w:r>
              <w:rPr>
                <w:rFonts w:ascii="Times New Roman" w:hAnsi="Times New Roman" w:eastAsia="宋体" w:cs="Times New Roman"/>
                <w:color w:val="auto"/>
                <w:sz w:val="21"/>
                <w:szCs w:val="21"/>
                <w:u w:val="wave"/>
              </w:rPr>
              <w:t>政府</w:t>
            </w:r>
            <w:r>
              <w:rPr>
                <w:rFonts w:hint="eastAsia" w:ascii="Times New Roman" w:hAnsi="Times New Roman" w:eastAsia="宋体" w:cs="Times New Roman"/>
                <w:color w:val="auto"/>
                <w:sz w:val="21"/>
                <w:szCs w:val="21"/>
                <w:u w:val="wave"/>
              </w:rPr>
              <w:t>等</w:t>
            </w:r>
          </w:p>
        </w:tc>
      </w:tr>
      <w:tr w14:paraId="3B4C5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02" w:hRule="atLeast"/>
          <w:jc w:val="center"/>
        </w:trPr>
        <w:tc>
          <w:tcPr>
            <w:tcW w:w="1093" w:type="dxa"/>
            <w:noWrap w:val="0"/>
            <w:vAlign w:val="center"/>
          </w:tcPr>
          <w:p w14:paraId="1E7DD7A2">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应急处</w:t>
            </w:r>
          </w:p>
          <w:p w14:paraId="0AD265FD">
            <w:pPr>
              <w:spacing w:line="240" w:lineRule="auto"/>
              <w:jc w:val="center"/>
              <w:rPr>
                <w:rFonts w:hint="eastAsia" w:ascii="Times New Roman" w:hAnsi="Times New Roman" w:eastAsia="宋体" w:cs="Times New Roman"/>
                <w:color w:val="auto"/>
                <w:sz w:val="21"/>
                <w:szCs w:val="21"/>
                <w:u w:val="wave"/>
              </w:rPr>
            </w:pPr>
            <w:r>
              <w:rPr>
                <w:rFonts w:hint="eastAsia" w:ascii="Times New Roman" w:hAnsi="Times New Roman" w:eastAsia="宋体" w:cs="Times New Roman"/>
                <w:color w:val="auto"/>
                <w:sz w:val="21"/>
                <w:szCs w:val="21"/>
                <w:u w:val="wave"/>
              </w:rPr>
              <w:t>置措施</w:t>
            </w:r>
          </w:p>
        </w:tc>
        <w:tc>
          <w:tcPr>
            <w:tcW w:w="7412" w:type="dxa"/>
            <w:gridSpan w:val="5"/>
            <w:noWrap w:val="0"/>
            <w:vAlign w:val="top"/>
          </w:tcPr>
          <w:p w14:paraId="49262DE5">
            <w:pPr>
              <w:spacing w:line="240" w:lineRule="auto"/>
              <w:jc w:val="both"/>
              <w:rPr>
                <w:rFonts w:ascii="Times New Roman" w:hAnsi="Times New Roman" w:eastAsia="宋体" w:cs="Times New Roman"/>
                <w:color w:val="auto"/>
                <w:sz w:val="21"/>
                <w:szCs w:val="21"/>
                <w:u w:val="wave"/>
              </w:rPr>
            </w:pPr>
            <w:r>
              <w:rPr>
                <w:rFonts w:ascii="Times New Roman" w:hAnsi="Times New Roman" w:eastAsia="宋体" w:cs="Times New Roman"/>
                <w:color w:val="auto"/>
                <w:sz w:val="21"/>
                <w:szCs w:val="21"/>
                <w:u w:val="wave"/>
              </w:rPr>
              <w:t>发现饮用水地发生蓝藻</w:t>
            </w:r>
            <w:r>
              <w:rPr>
                <w:rFonts w:hint="eastAsia" w:ascii="Times New Roman" w:hAnsi="Times New Roman" w:eastAsia="宋体" w:cs="Times New Roman"/>
                <w:color w:val="auto"/>
                <w:sz w:val="21"/>
                <w:szCs w:val="21"/>
                <w:u w:val="wave"/>
                <w:lang w:eastAsia="zh-CN"/>
              </w:rPr>
              <w:t>、</w:t>
            </w:r>
            <w:r>
              <w:rPr>
                <w:rFonts w:hint="eastAsia" w:ascii="Times New Roman" w:hAnsi="Times New Roman" w:eastAsia="宋体" w:cs="Times New Roman"/>
                <w:color w:val="auto"/>
                <w:sz w:val="21"/>
                <w:szCs w:val="21"/>
                <w:u w:val="wave"/>
                <w:lang w:val="en-US" w:eastAsia="zh-CN"/>
              </w:rPr>
              <w:t>水华</w:t>
            </w:r>
            <w:r>
              <w:rPr>
                <w:rFonts w:ascii="Times New Roman" w:hAnsi="Times New Roman" w:eastAsia="宋体" w:cs="Times New Roman"/>
                <w:color w:val="auto"/>
                <w:sz w:val="21"/>
                <w:szCs w:val="21"/>
                <w:u w:val="wave"/>
              </w:rPr>
              <w:t>爆发时，则启动饮用水源地环境应急预案；</w:t>
            </w:r>
          </w:p>
          <w:p w14:paraId="7893E941">
            <w:pPr>
              <w:spacing w:line="240" w:lineRule="auto"/>
              <w:jc w:val="both"/>
              <w:rPr>
                <w:rFonts w:ascii="Times New Roman" w:hAnsi="Times New Roman" w:eastAsia="宋体" w:cs="Times New Roman"/>
                <w:color w:val="auto"/>
                <w:sz w:val="21"/>
                <w:szCs w:val="21"/>
                <w:u w:val="wave"/>
              </w:rPr>
            </w:pPr>
            <w:r>
              <w:rPr>
                <w:rFonts w:ascii="Times New Roman" w:hAnsi="Times New Roman" w:eastAsia="宋体" w:cs="Times New Roman"/>
                <w:color w:val="auto"/>
                <w:sz w:val="21"/>
                <w:szCs w:val="21"/>
                <w:u w:val="wave"/>
              </w:rPr>
              <w:t xml:space="preserve">（1）截源  </w:t>
            </w:r>
            <w:r>
              <w:rPr>
                <w:rFonts w:hint="eastAsia" w:ascii="Times New Roman" w:hAnsi="Times New Roman" w:eastAsia="宋体" w:cs="Times New Roman"/>
                <w:color w:val="auto"/>
                <w:sz w:val="21"/>
                <w:szCs w:val="21"/>
                <w:u w:val="wave"/>
                <w:lang w:val="en-US" w:eastAsia="zh-CN"/>
              </w:rPr>
              <w:t>市生态环境局绥宁</w:t>
            </w:r>
            <w:r>
              <w:rPr>
                <w:rFonts w:ascii="Times New Roman" w:hAnsi="Times New Roman" w:eastAsia="宋体" w:cs="Times New Roman"/>
                <w:color w:val="auto"/>
                <w:sz w:val="21"/>
                <w:szCs w:val="21"/>
                <w:u w:val="wave"/>
              </w:rPr>
              <w:t>污染控制小组可根据蓝藻</w:t>
            </w:r>
            <w:r>
              <w:rPr>
                <w:rFonts w:hint="eastAsia" w:ascii="Times New Roman" w:hAnsi="Times New Roman" w:eastAsia="宋体" w:cs="Times New Roman"/>
                <w:color w:val="auto"/>
                <w:sz w:val="21"/>
                <w:szCs w:val="21"/>
                <w:u w:val="wave"/>
                <w:lang w:eastAsia="zh-CN"/>
              </w:rPr>
              <w:t>、</w:t>
            </w:r>
            <w:r>
              <w:rPr>
                <w:rFonts w:hint="eastAsia" w:ascii="Times New Roman" w:hAnsi="Times New Roman" w:eastAsia="宋体" w:cs="Times New Roman"/>
                <w:color w:val="auto"/>
                <w:sz w:val="21"/>
                <w:szCs w:val="21"/>
                <w:u w:val="wave"/>
                <w:lang w:val="en-US" w:eastAsia="zh-CN"/>
              </w:rPr>
              <w:t>水华</w:t>
            </w:r>
            <w:r>
              <w:rPr>
                <w:rFonts w:ascii="Times New Roman" w:hAnsi="Times New Roman" w:eastAsia="宋体" w:cs="Times New Roman"/>
                <w:color w:val="auto"/>
                <w:sz w:val="21"/>
                <w:szCs w:val="21"/>
                <w:u w:val="wave"/>
              </w:rPr>
              <w:t>爆发的区域范围采取以下措施从源头上控制蓝藻爆发：</w:t>
            </w:r>
          </w:p>
          <w:p w14:paraId="39987A7B">
            <w:pPr>
              <w:spacing w:line="240" w:lineRule="auto"/>
              <w:jc w:val="both"/>
              <w:rPr>
                <w:rFonts w:ascii="Times New Roman" w:hAnsi="Times New Roman" w:eastAsia="宋体" w:cs="Times New Roman"/>
                <w:color w:val="auto"/>
                <w:sz w:val="21"/>
                <w:szCs w:val="21"/>
                <w:u w:val="wave"/>
              </w:rPr>
            </w:pPr>
            <w:r>
              <w:rPr>
                <w:rFonts w:ascii="Times New Roman" w:hAnsi="Times New Roman" w:eastAsia="宋体" w:cs="Times New Roman"/>
                <w:color w:val="auto"/>
                <w:sz w:val="21"/>
                <w:szCs w:val="21"/>
                <w:u w:val="wave"/>
              </w:rPr>
              <w:t>①机械除藻  通过打捞船及人工围捕等机械清除的物理措施除藻；</w:t>
            </w:r>
          </w:p>
          <w:p w14:paraId="34CEBF70">
            <w:pPr>
              <w:spacing w:line="240" w:lineRule="auto"/>
              <w:jc w:val="both"/>
              <w:rPr>
                <w:rFonts w:ascii="Times New Roman" w:hAnsi="Times New Roman" w:eastAsia="宋体" w:cs="Times New Roman"/>
                <w:color w:val="auto"/>
                <w:sz w:val="21"/>
                <w:szCs w:val="21"/>
                <w:u w:val="wave"/>
              </w:rPr>
            </w:pPr>
            <w:r>
              <w:rPr>
                <w:rFonts w:ascii="Times New Roman" w:hAnsi="Times New Roman" w:eastAsia="宋体" w:cs="Times New Roman"/>
                <w:color w:val="auto"/>
                <w:sz w:val="21"/>
                <w:szCs w:val="21"/>
                <w:u w:val="wave"/>
              </w:rPr>
              <w:t>②药剂除藻  按照2.5~15mg/L向蓝藻爆发水域投放PAFC（聚合氯化铝铁）除藻；</w:t>
            </w:r>
          </w:p>
          <w:p w14:paraId="377B7BD2">
            <w:pPr>
              <w:spacing w:line="240" w:lineRule="auto"/>
              <w:jc w:val="both"/>
              <w:rPr>
                <w:rFonts w:ascii="Times New Roman" w:hAnsi="Times New Roman" w:eastAsia="宋体" w:cs="Times New Roman"/>
                <w:color w:val="auto"/>
                <w:sz w:val="21"/>
                <w:szCs w:val="21"/>
                <w:u w:val="wave"/>
              </w:rPr>
            </w:pPr>
            <w:r>
              <w:rPr>
                <w:rFonts w:ascii="Times New Roman" w:hAnsi="Times New Roman" w:eastAsia="宋体" w:cs="Times New Roman"/>
                <w:color w:val="auto"/>
                <w:sz w:val="21"/>
                <w:szCs w:val="21"/>
                <w:u w:val="wave"/>
              </w:rPr>
              <w:t>③光敏剂（H</w:t>
            </w:r>
            <w:r>
              <w:rPr>
                <w:rFonts w:ascii="Times New Roman" w:hAnsi="Times New Roman" w:eastAsia="宋体" w:cs="Times New Roman"/>
                <w:color w:val="auto"/>
                <w:sz w:val="21"/>
                <w:szCs w:val="21"/>
                <w:u w:val="wave"/>
                <w:vertAlign w:val="subscript"/>
              </w:rPr>
              <w:t>2</w:t>
            </w:r>
            <w:r>
              <w:rPr>
                <w:rFonts w:ascii="Times New Roman" w:hAnsi="Times New Roman" w:eastAsia="宋体" w:cs="Times New Roman"/>
                <w:color w:val="auto"/>
                <w:sz w:val="21"/>
                <w:szCs w:val="21"/>
                <w:u w:val="wave"/>
              </w:rPr>
              <w:t>O</w:t>
            </w:r>
            <w:r>
              <w:rPr>
                <w:rFonts w:ascii="Times New Roman" w:hAnsi="Times New Roman" w:eastAsia="宋体" w:cs="Times New Roman"/>
                <w:color w:val="auto"/>
                <w:sz w:val="21"/>
                <w:szCs w:val="21"/>
                <w:u w:val="wave"/>
                <w:vertAlign w:val="subscript"/>
              </w:rPr>
              <w:t>2</w:t>
            </w:r>
            <w:r>
              <w:rPr>
                <w:rFonts w:ascii="Times New Roman" w:hAnsi="Times New Roman" w:eastAsia="宋体" w:cs="Times New Roman"/>
                <w:color w:val="auto"/>
                <w:sz w:val="21"/>
                <w:szCs w:val="21"/>
                <w:u w:val="wave"/>
              </w:rPr>
              <w:t>）抑藻  按照2mg/L向蓝藻爆发水域投放光敏剂（H</w:t>
            </w:r>
            <w:r>
              <w:rPr>
                <w:rFonts w:ascii="Times New Roman" w:hAnsi="Times New Roman" w:eastAsia="宋体" w:cs="Times New Roman"/>
                <w:color w:val="auto"/>
                <w:sz w:val="21"/>
                <w:szCs w:val="21"/>
                <w:u w:val="wave"/>
                <w:vertAlign w:val="subscript"/>
              </w:rPr>
              <w:t>2</w:t>
            </w:r>
            <w:r>
              <w:rPr>
                <w:rFonts w:ascii="Times New Roman" w:hAnsi="Times New Roman" w:eastAsia="宋体" w:cs="Times New Roman"/>
                <w:color w:val="auto"/>
                <w:sz w:val="21"/>
                <w:szCs w:val="21"/>
                <w:u w:val="wave"/>
              </w:rPr>
              <w:t>O</w:t>
            </w:r>
            <w:r>
              <w:rPr>
                <w:rFonts w:ascii="Times New Roman" w:hAnsi="Times New Roman" w:eastAsia="宋体" w:cs="Times New Roman"/>
                <w:color w:val="auto"/>
                <w:sz w:val="21"/>
                <w:szCs w:val="21"/>
                <w:u w:val="wave"/>
                <w:vertAlign w:val="subscript"/>
              </w:rPr>
              <w:t>2</w:t>
            </w:r>
            <w:r>
              <w:rPr>
                <w:rFonts w:ascii="Times New Roman" w:hAnsi="Times New Roman" w:eastAsia="宋体" w:cs="Times New Roman"/>
                <w:color w:val="auto"/>
                <w:sz w:val="21"/>
                <w:szCs w:val="21"/>
                <w:u w:val="wave"/>
              </w:rPr>
              <w:t>）抑藻。</w:t>
            </w:r>
          </w:p>
          <w:p w14:paraId="3FFF8123">
            <w:pPr>
              <w:spacing w:line="240" w:lineRule="auto"/>
              <w:jc w:val="both"/>
              <w:rPr>
                <w:rFonts w:ascii="Times New Roman" w:hAnsi="Times New Roman" w:eastAsia="宋体" w:cs="Times New Roman"/>
                <w:color w:val="auto"/>
                <w:sz w:val="21"/>
                <w:szCs w:val="21"/>
                <w:u w:val="wave"/>
              </w:rPr>
            </w:pPr>
            <w:r>
              <w:rPr>
                <w:rFonts w:ascii="Times New Roman" w:hAnsi="Times New Roman" w:eastAsia="宋体" w:cs="Times New Roman"/>
                <w:color w:val="auto"/>
                <w:sz w:val="21"/>
                <w:szCs w:val="21"/>
                <w:u w:val="wave"/>
              </w:rPr>
              <w:t>（2）监测  应急监测小组在取水口附近水域处布点监测，监测因子为总磷、总氮、叶绿素a、澡生物量、透明度、高锰酸盐等；</w:t>
            </w:r>
          </w:p>
          <w:p w14:paraId="0522D34A">
            <w:pPr>
              <w:spacing w:line="240" w:lineRule="auto"/>
              <w:jc w:val="both"/>
              <w:rPr>
                <w:rFonts w:ascii="Times New Roman" w:hAnsi="Times New Roman" w:eastAsia="宋体" w:cs="Times New Roman"/>
                <w:color w:val="auto"/>
                <w:sz w:val="21"/>
                <w:szCs w:val="21"/>
                <w:u w:val="wave"/>
              </w:rPr>
            </w:pPr>
            <w:r>
              <w:rPr>
                <w:rFonts w:ascii="Times New Roman" w:hAnsi="Times New Roman" w:eastAsia="宋体" w:cs="Times New Roman"/>
                <w:color w:val="auto"/>
                <w:sz w:val="21"/>
                <w:szCs w:val="21"/>
                <w:u w:val="wave"/>
              </w:rPr>
              <w:t>（3）协调  及时告知</w:t>
            </w:r>
            <w:r>
              <w:rPr>
                <w:rFonts w:hint="eastAsia" w:ascii="Times New Roman" w:hAnsi="Times New Roman" w:eastAsia="宋体" w:cs="Times New Roman"/>
                <w:color w:val="auto"/>
                <w:sz w:val="21"/>
                <w:szCs w:val="21"/>
                <w:u w:val="wave"/>
                <w:lang w:val="en-US" w:eastAsia="zh-CN"/>
              </w:rPr>
              <w:t>水厂</w:t>
            </w:r>
            <w:r>
              <w:rPr>
                <w:rFonts w:ascii="Times New Roman" w:hAnsi="Times New Roman" w:eastAsia="宋体" w:cs="Times New Roman"/>
                <w:color w:val="auto"/>
                <w:sz w:val="21"/>
                <w:szCs w:val="21"/>
                <w:u w:val="wave"/>
              </w:rPr>
              <w:t>，增加取水水质监测频次，密切关注供水的出水水质情况，并将进出水水质异常情况报告应急</w:t>
            </w:r>
            <w:r>
              <w:rPr>
                <w:rFonts w:hint="eastAsia" w:ascii="Times New Roman" w:hAnsi="Times New Roman" w:eastAsia="宋体" w:cs="Times New Roman"/>
                <w:color w:val="auto"/>
                <w:sz w:val="21"/>
                <w:szCs w:val="21"/>
                <w:u w:val="wave"/>
                <w:lang w:val="en-US" w:eastAsia="zh-CN"/>
              </w:rPr>
              <w:t>领导小组</w:t>
            </w:r>
            <w:r>
              <w:rPr>
                <w:rFonts w:ascii="Times New Roman" w:hAnsi="Times New Roman" w:eastAsia="宋体" w:cs="Times New Roman"/>
                <w:color w:val="auto"/>
                <w:sz w:val="21"/>
                <w:szCs w:val="21"/>
                <w:u w:val="wave"/>
              </w:rPr>
              <w:t>；</w:t>
            </w:r>
          </w:p>
          <w:p w14:paraId="7FE1E27A">
            <w:pPr>
              <w:spacing w:line="240" w:lineRule="auto"/>
              <w:jc w:val="both"/>
              <w:rPr>
                <w:rFonts w:hint="eastAsia" w:ascii="Times New Roman" w:hAnsi="Times New Roman" w:eastAsia="宋体" w:cs="Times New Roman"/>
                <w:color w:val="auto"/>
                <w:sz w:val="21"/>
                <w:szCs w:val="21"/>
                <w:u w:val="wave"/>
              </w:rPr>
            </w:pPr>
            <w:r>
              <w:rPr>
                <w:rFonts w:ascii="Times New Roman" w:hAnsi="Times New Roman" w:eastAsia="宋体" w:cs="Times New Roman"/>
                <w:color w:val="auto"/>
                <w:sz w:val="21"/>
                <w:szCs w:val="21"/>
                <w:u w:val="wave"/>
              </w:rPr>
              <w:t>（4）善后  清除、打捞上岸后的蓝藻应及时水藻分离，并将分离后的蓝藻就近安全处置（如及时清运至城镇生活垃圾发电厂作为燃料）。</w:t>
            </w:r>
          </w:p>
        </w:tc>
      </w:tr>
    </w:tbl>
    <w:p w14:paraId="0804DCA0">
      <w:pPr>
        <w:bidi w:val="0"/>
      </w:pPr>
    </w:p>
    <w:p w14:paraId="094BCDFC">
      <w:pPr>
        <w:pStyle w:val="6"/>
      </w:pPr>
      <w:r>
        <w:t>3.7.2先期处置</w:t>
      </w:r>
    </w:p>
    <w:p w14:paraId="136E9CED">
      <w:pPr>
        <w:ind w:firstLine="480"/>
      </w:pPr>
      <w:r>
        <w:rPr>
          <w:rFonts w:hint="eastAsia"/>
        </w:rPr>
        <w:t>县应急管理局、</w:t>
      </w:r>
      <w:r>
        <w:t>应急组织指挥部或</w:t>
      </w:r>
      <w:r>
        <w:rPr>
          <w:rFonts w:hint="eastAsia"/>
        </w:rPr>
        <w:t>市生态环境局绥宁分局</w:t>
      </w:r>
      <w:r>
        <w:t>当接到突发环境事件举报时应第一时间赶赴事发现场，了解污染情况，组织进行先期处置。</w:t>
      </w:r>
    </w:p>
    <w:p w14:paraId="359D0883">
      <w:pPr>
        <w:ind w:firstLine="480"/>
      </w:pPr>
      <w:r>
        <w:t>（1）未知泄漏源头，已知泄漏点时，立即围堵泄漏点，关闭污染区域取水口，通知自来水厂启动应急预案；</w:t>
      </w:r>
    </w:p>
    <w:p w14:paraId="598BF71B">
      <w:pPr>
        <w:ind w:firstLine="480"/>
      </w:pPr>
      <w:r>
        <w:t>（2）未知泄漏源，未知泄漏点时，立即关闭污染区域取水口，通知自来水厂、街道办，启动应急预案；</w:t>
      </w:r>
    </w:p>
    <w:p w14:paraId="5DBB3E37">
      <w:pPr>
        <w:ind w:firstLine="480"/>
      </w:pPr>
      <w:r>
        <w:t>（3）已知泄漏源，立即围堵泄漏点，通知泄漏源所属单位围堵泄漏源，关闭污染区域取水口，通知自来水厂、街道办，启动应急预案。</w:t>
      </w:r>
    </w:p>
    <w:p w14:paraId="12853260">
      <w:pPr>
        <w:pStyle w:val="6"/>
      </w:pPr>
      <w:r>
        <w:t>3.7.3现场调查</w:t>
      </w:r>
    </w:p>
    <w:p w14:paraId="18084A6A">
      <w:pPr>
        <w:ind w:firstLine="480"/>
      </w:pPr>
      <w:r>
        <w:t>（1）</w:t>
      </w:r>
      <w:r>
        <w:rPr>
          <w:rFonts w:hint="eastAsia"/>
        </w:rPr>
        <w:t>县政府办、县应急管理局、关峡苗族乡乡政府、市生态环境局绥宁分局</w:t>
      </w:r>
      <w:r>
        <w:t>、县</w:t>
      </w:r>
      <w:r>
        <w:rPr>
          <w:rFonts w:hint="eastAsia"/>
        </w:rPr>
        <w:t>生态</w:t>
      </w:r>
      <w:r>
        <w:t>环境监测站</w:t>
      </w:r>
      <w:r>
        <w:rPr>
          <w:rFonts w:hint="eastAsia"/>
        </w:rPr>
        <w:t>、湖南省邵阳生态环境监测中心</w:t>
      </w:r>
      <w:r>
        <w:t>等相关单位到达现场后，应迅速调查了解现场的基本情况、事件发生的过程、产生的后果以及已采取的措施，根据事件的发生发展情况，开展现场调查，采取控制措施。</w:t>
      </w:r>
    </w:p>
    <w:p w14:paraId="5BF4D777">
      <w:pPr>
        <w:ind w:firstLine="480"/>
      </w:pPr>
      <w:r>
        <w:t>（2）现场调查内容：</w:t>
      </w:r>
    </w:p>
    <w:p w14:paraId="709CD8D3">
      <w:pPr>
        <w:ind w:firstLine="480"/>
      </w:pPr>
      <w:r>
        <w:t>事件发生的地点、时间、原因、过程以及当事人。</w:t>
      </w:r>
    </w:p>
    <w:p w14:paraId="0492346F">
      <w:pPr>
        <w:ind w:firstLine="480"/>
      </w:pPr>
      <w:r>
        <w:t>污染物的来源、品名、种类、性状、数量、污染途径、范围及程度，以及污染的扩散趋势。</w:t>
      </w:r>
    </w:p>
    <w:p w14:paraId="72A3DA1D">
      <w:pPr>
        <w:ind w:firstLine="480"/>
      </w:pPr>
      <w:r>
        <w:t>（3）县</w:t>
      </w:r>
      <w:r>
        <w:rPr>
          <w:rFonts w:hint="eastAsia"/>
        </w:rPr>
        <w:t>生态</w:t>
      </w:r>
      <w:r>
        <w:t>环境监测站</w:t>
      </w:r>
      <w:r>
        <w:rPr>
          <w:rFonts w:hint="eastAsia"/>
        </w:rPr>
        <w:t>、湖南省邵阳生态环境监测中心等</w:t>
      </w:r>
      <w:r>
        <w:t>对生活饮用水源水、取水口进行水质检测，结合现场调查的相关情况，以确定主要污染源和污染物。</w:t>
      </w:r>
    </w:p>
    <w:p w14:paraId="5B350A06">
      <w:pPr>
        <w:ind w:firstLine="480" w:firstLineChars="200"/>
      </w:pPr>
      <w:r>
        <w:t>（4）做好现场监督检查记录，规范制作各类执法文书，收集相关证据材料。</w:t>
      </w:r>
    </w:p>
    <w:p w14:paraId="63F394F3">
      <w:pPr>
        <w:pStyle w:val="6"/>
      </w:pPr>
      <w:r>
        <w:t>3.7.4供水安全保障</w:t>
      </w:r>
    </w:p>
    <w:p w14:paraId="040193D7">
      <w:pPr>
        <w:ind w:firstLine="480"/>
      </w:pPr>
      <w:r>
        <w:t>责任部门：</w:t>
      </w:r>
      <w:r>
        <w:rPr>
          <w:rFonts w:hint="eastAsia"/>
        </w:rPr>
        <w:t>县应急管理局/</w:t>
      </w:r>
      <w:r>
        <w:t>应急供水保障组</w:t>
      </w:r>
    </w:p>
    <w:p w14:paraId="0690D358">
      <w:pPr>
        <w:ind w:firstLine="480"/>
      </w:pPr>
      <w:bookmarkStart w:id="143" w:name="_Toc24783"/>
      <w:r>
        <w:t>应急组织指挥部应在启动预警时第一时间通知</w:t>
      </w:r>
      <w:r>
        <w:rPr>
          <w:rFonts w:hint="eastAsia"/>
        </w:rPr>
        <w:t>关峡水厂</w:t>
      </w:r>
      <w:r>
        <w:t>，</w:t>
      </w:r>
      <w:r>
        <w:rPr>
          <w:rFonts w:hint="eastAsia"/>
        </w:rPr>
        <w:t>水厂</w:t>
      </w:r>
      <w:r>
        <w:t>应根据污染物的种类、浓度、可能影响取水口的时间，及时采取低压供水、备用水源、使用应急供水车等应急措施，并加强污染物监测，待水质满足取水要求时恢复取水和供水。</w:t>
      </w:r>
    </w:p>
    <w:p w14:paraId="1547AA2B">
      <w:pPr>
        <w:ind w:firstLine="480" w:firstLineChars="200"/>
      </w:pPr>
      <w:r>
        <w:t>县商务局应负责水源地保护区突发环境事件应急过程中罐装饮用水的绥宁县市场供应、配送、调度和负责组织、发放饮用水等救济物资。</w:t>
      </w:r>
    </w:p>
    <w:p w14:paraId="1D0E9386">
      <w:pPr>
        <w:ind w:firstLine="480" w:firstLineChars="200"/>
      </w:pPr>
      <w:r>
        <w:t>应急供水遵循先生活后生产的原则。用水缺乏时应首先保证生活用水需要，其次满足生产用水需要；建议关停某些用水量大的工厂或服务性行业；公众应时刻牢固树立节水观念。在取水口关闭时，现场应急指挥部应组织应急物资保障组向群众分发煮沸的洁净水或灌装水，做好联络协调灌装水服务供应商的工作。</w:t>
      </w:r>
    </w:p>
    <w:p w14:paraId="763EB941">
      <w:pPr>
        <w:pStyle w:val="5"/>
      </w:pPr>
      <w:bookmarkStart w:id="144" w:name="_Toc22465"/>
      <w:r>
        <w:t>3.8物资调集及应急设施启用</w:t>
      </w:r>
      <w:bookmarkEnd w:id="143"/>
      <w:bookmarkEnd w:id="144"/>
    </w:p>
    <w:p w14:paraId="2ECB2B45">
      <w:pPr>
        <w:ind w:firstLine="480" w:firstLineChars="200"/>
      </w:pPr>
      <w:r>
        <w:t>责任单位：</w:t>
      </w:r>
      <w:r>
        <w:rPr>
          <w:rFonts w:hint="eastAsia"/>
        </w:rPr>
        <w:t>县应急管理局、市生态环境局绥宁分局</w:t>
      </w:r>
      <w:r>
        <w:t>、县发展和改革局、县住房和城乡建设局、县交通运输局、县</w:t>
      </w:r>
      <w:r>
        <w:rPr>
          <w:rFonts w:hint="eastAsia"/>
        </w:rPr>
        <w:t>农业农村</w:t>
      </w:r>
      <w:r>
        <w:t xml:space="preserve">水利局、县民政局。 </w:t>
      </w:r>
    </w:p>
    <w:p w14:paraId="6E0AB4E4">
      <w:pPr>
        <w:ind w:firstLine="480" w:firstLineChars="200"/>
      </w:pPr>
      <w:r>
        <w:t>按照应急物资调查结果，列明应急物资、装备和设施清单，清单包括种类、名称、数量以及存放位置、规格、性能、用途和用法等信息，注明物资运输通道、方式，以利于在紧急状态下使用。对应急物资装备定期检查和维护措施，以保证其有效性。水源地保护区突发环境事件所需应急物资详见第四部分—环境应急资源调查报告。</w:t>
      </w:r>
    </w:p>
    <w:p w14:paraId="7FD62D2B">
      <w:pPr>
        <w:ind w:firstLine="480" w:firstLineChars="200"/>
      </w:pPr>
      <w:r>
        <w:t xml:space="preserve">先期处置应急物资、装备和设施包括但不限于以下内容： </w:t>
      </w:r>
    </w:p>
    <w:p w14:paraId="3578686B">
      <w:pPr>
        <w:ind w:firstLine="480" w:firstLineChars="200"/>
      </w:pPr>
      <w:r>
        <w:t>（1）对水体内污染物进行打捞和拦截的设施，如救援打捞设备、油毡、围油栏、筑坝材料、溢出控制装备等</w:t>
      </w:r>
      <w:r>
        <w:rPr>
          <w:rFonts w:hint="eastAsia"/>
        </w:rPr>
        <w:t>；</w:t>
      </w:r>
      <w:r>
        <w:t xml:space="preserve"> </w:t>
      </w:r>
    </w:p>
    <w:p w14:paraId="1E007EAE">
      <w:pPr>
        <w:ind w:firstLine="480" w:firstLineChars="200"/>
      </w:pPr>
      <w:r>
        <w:t>（2）控制和消除污染物的设施、设备、药剂。如中和剂、灭火剂、解毒剂、吸收剂等</w:t>
      </w:r>
      <w:r>
        <w:rPr>
          <w:rFonts w:hint="eastAsia"/>
        </w:rPr>
        <w:t>；</w:t>
      </w:r>
      <w:r>
        <w:t xml:space="preserve"> </w:t>
      </w:r>
    </w:p>
    <w:p w14:paraId="55992014">
      <w:pPr>
        <w:ind w:firstLine="480" w:firstLineChars="200"/>
      </w:pPr>
      <w:r>
        <w:t>（3）移除和拦截移动源的设施，如吊车、临时围堰、导流槽及应急池等</w:t>
      </w:r>
      <w:r>
        <w:rPr>
          <w:rFonts w:hint="eastAsia"/>
        </w:rPr>
        <w:t>；</w:t>
      </w:r>
      <w:r>
        <w:t xml:space="preserve"> </w:t>
      </w:r>
    </w:p>
    <w:p w14:paraId="53208CAB">
      <w:pPr>
        <w:ind w:firstLine="480" w:firstLineChars="200"/>
      </w:pPr>
      <w:r>
        <w:t>（4）雨水口垃圾清运和拦截的设施，如格栅、清运车、临时设置的导流槽等</w:t>
      </w:r>
      <w:r>
        <w:rPr>
          <w:rFonts w:hint="eastAsia"/>
        </w:rPr>
        <w:t>；</w:t>
      </w:r>
      <w:r>
        <w:t xml:space="preserve">  </w:t>
      </w:r>
    </w:p>
    <w:p w14:paraId="5E463889">
      <w:pPr>
        <w:ind w:firstLine="480" w:firstLineChars="200"/>
      </w:pPr>
      <w:r>
        <w:t xml:space="preserve">（5）对污染物进行拦截、导流、分流及降解的应急工程设施。如拦污坝、节制闸、导流渠、分流沟、前置库等。 </w:t>
      </w:r>
    </w:p>
    <w:p w14:paraId="07AE65D3">
      <w:pPr>
        <w:pStyle w:val="5"/>
      </w:pPr>
      <w:bookmarkStart w:id="145" w:name="_Toc27535"/>
      <w:bookmarkStart w:id="146" w:name="_Toc2081"/>
      <w:r>
        <w:t>3.9舆情监测与信息发布</w:t>
      </w:r>
      <w:bookmarkEnd w:id="145"/>
      <w:bookmarkEnd w:id="146"/>
    </w:p>
    <w:p w14:paraId="4E960044">
      <w:pPr>
        <w:ind w:firstLine="480"/>
      </w:pPr>
      <w:r>
        <w:t>责任部门：</w:t>
      </w:r>
      <w:r>
        <w:rPr>
          <w:rFonts w:hint="eastAsia"/>
        </w:rPr>
        <w:t>县应急管理局、</w:t>
      </w:r>
      <w:r>
        <w:t>综合组</w:t>
      </w:r>
    </w:p>
    <w:p w14:paraId="4A559A90">
      <w:pPr>
        <w:ind w:firstLine="480"/>
      </w:pPr>
      <w:r>
        <w:t>应急组织指挥部在突发环境事件发生后，应安排综合组第一时间向社会发布信息，并针对舆情及时发布事件原因、影响区域、已采取的措施及成效、公众应注意的防范措施、热线电话等。</w:t>
      </w:r>
    </w:p>
    <w:p w14:paraId="293CDC64">
      <w:pPr>
        <w:pStyle w:val="5"/>
      </w:pPr>
      <w:bookmarkStart w:id="147" w:name="_Toc23993"/>
      <w:bookmarkStart w:id="148" w:name="_Toc1335"/>
      <w:r>
        <w:t>3.10响应终止</w:t>
      </w:r>
      <w:bookmarkEnd w:id="147"/>
      <w:bookmarkEnd w:id="148"/>
    </w:p>
    <w:p w14:paraId="212AED02">
      <w:pPr>
        <w:ind w:firstLine="480" w:firstLineChars="200"/>
      </w:pPr>
      <w:r>
        <w:t>应急响应终止按照“谁启动、谁终止”的原则执行。</w:t>
      </w:r>
    </w:p>
    <w:p w14:paraId="6EA66294">
      <w:pPr>
        <w:ind w:firstLine="480"/>
      </w:pPr>
      <w:r>
        <w:t>责任部门：</w:t>
      </w:r>
      <w:r>
        <w:rPr>
          <w:rFonts w:hint="eastAsia"/>
        </w:rPr>
        <w:t>县政府办/县应急管理局</w:t>
      </w:r>
    </w:p>
    <w:p w14:paraId="15C7E784">
      <w:pPr>
        <w:pStyle w:val="6"/>
      </w:pPr>
      <w:r>
        <w:t>3.10.1响应中止条件</w:t>
      </w:r>
    </w:p>
    <w:p w14:paraId="0E6AE32B">
      <w:pPr>
        <w:ind w:firstLine="480" w:firstLineChars="200"/>
      </w:pPr>
      <w:r>
        <w:t>如符合下列情形之一，且</w:t>
      </w:r>
      <w:r>
        <w:rPr>
          <w:rFonts w:hint="eastAsia"/>
        </w:rPr>
        <w:t>市生态环境局绥宁分局</w:t>
      </w:r>
      <w:r>
        <w:t>和</w:t>
      </w:r>
      <w:r>
        <w:rPr>
          <w:rFonts w:hint="eastAsia"/>
        </w:rPr>
        <w:t>县卫健局</w:t>
      </w:r>
      <w:r>
        <w:t>的监测结果达到“水源地威胁解除，特征污染物监测持续稳定达标”的目标时，</w:t>
      </w:r>
      <w:r>
        <w:rPr>
          <w:rFonts w:hint="eastAsia"/>
        </w:rPr>
        <w:t>市生态环境局绥宁分局</w:t>
      </w:r>
      <w:r>
        <w:t>和</w:t>
      </w:r>
      <w:r>
        <w:rPr>
          <w:rFonts w:hint="eastAsia"/>
        </w:rPr>
        <w:t>县卫健局</w:t>
      </w:r>
      <w:r>
        <w:t>应向</w:t>
      </w:r>
      <w:r>
        <w:rPr>
          <w:rFonts w:hint="eastAsia"/>
        </w:rPr>
        <w:t>县应急管理局和</w:t>
      </w:r>
      <w:r>
        <w:t xml:space="preserve">现场应急指挥部建议本级或上级人民政府提出应急响应终止： </w:t>
      </w:r>
    </w:p>
    <w:p w14:paraId="19899985">
      <w:pPr>
        <w:ind w:firstLine="480" w:firstLineChars="200"/>
      </w:pPr>
      <w:r>
        <w:t>（1）进入集中式饮用水水源地保护区陆域范围的污染物已成功围堵，且清运至保护区外，未发生向水域扩散的情况</w:t>
      </w:r>
      <w:r>
        <w:rPr>
          <w:rFonts w:hint="eastAsia"/>
        </w:rPr>
        <w:t>；</w:t>
      </w:r>
      <w:r>
        <w:t xml:space="preserve"> </w:t>
      </w:r>
    </w:p>
    <w:p w14:paraId="73009EB1">
      <w:pPr>
        <w:ind w:firstLine="480" w:firstLineChars="200"/>
      </w:pPr>
      <w:r>
        <w:t>（2）进入集中式饮用水水源地保护区水域范围的污染团已成功拦截或导流至保护区外，没有向取水口扩散的风险，且水质监测结果达标</w:t>
      </w:r>
      <w:r>
        <w:rPr>
          <w:rFonts w:hint="eastAsia"/>
        </w:rPr>
        <w:t>；</w:t>
      </w:r>
      <w:r>
        <w:t xml:space="preserve"> </w:t>
      </w:r>
    </w:p>
    <w:p w14:paraId="4CD10A87">
      <w:pPr>
        <w:ind w:firstLine="480" w:firstLineChars="200"/>
      </w:pPr>
      <w:r>
        <w:t xml:space="preserve">（3）恢复正常取水。 </w:t>
      </w:r>
    </w:p>
    <w:p w14:paraId="3DA88DA8">
      <w:pPr>
        <w:ind w:firstLine="480" w:firstLineChars="200"/>
      </w:pPr>
      <w:r>
        <w:t>本级或上级人民政府批准响应中止后，现场应急指挥部应安排综合组第一时间通过短信、网络、电话、公告等方式向社会及有关单位发布响应中止的信息。</w:t>
      </w:r>
    </w:p>
    <w:p w14:paraId="5621310F">
      <w:pPr>
        <w:pStyle w:val="6"/>
      </w:pPr>
      <w:r>
        <w:t>3.10.2响应中止程序</w:t>
      </w:r>
    </w:p>
    <w:p w14:paraId="299C5EB0">
      <w:pPr>
        <w:pStyle w:val="17"/>
        <w:spacing w:before="0" w:beforeAutospacing="0" w:after="0" w:afterAutospacing="0" w:line="480" w:lineRule="exact"/>
        <w:ind w:firstLine="480" w:firstLineChars="200"/>
      </w:pPr>
      <w:r>
        <w:t>（1）</w:t>
      </w:r>
      <w:r>
        <w:rPr>
          <w:rFonts w:hint="eastAsia"/>
        </w:rPr>
        <w:t>市生态环境局绥宁分局</w:t>
      </w:r>
      <w:r>
        <w:t>和</w:t>
      </w:r>
      <w:r>
        <w:rPr>
          <w:rFonts w:hint="eastAsia"/>
        </w:rPr>
        <w:t>县卫健局</w:t>
      </w:r>
      <w:r>
        <w:t>应向现场应急指挥部提出应急响应终止建议，现场应急指挥部确认终止时机，经专家组评估确认后，由现场应急指挥部向本级或上级人民政府建议批准下达响应终止的命令；</w:t>
      </w:r>
    </w:p>
    <w:p w14:paraId="7B443DF5">
      <w:pPr>
        <w:pStyle w:val="17"/>
        <w:spacing w:before="0" w:beforeAutospacing="0" w:after="0" w:afterAutospacing="0" w:line="480" w:lineRule="exact"/>
        <w:ind w:firstLine="480" w:firstLineChars="200"/>
      </w:pPr>
      <w:r>
        <w:t>（2）现场应急指挥部向所属各现场应急工作组下达应急终止命令；</w:t>
      </w:r>
    </w:p>
    <w:p w14:paraId="7F3B3264">
      <w:pPr>
        <w:pStyle w:val="17"/>
        <w:spacing w:before="0" w:beforeAutospacing="0" w:after="0" w:afterAutospacing="0" w:line="480" w:lineRule="exact"/>
        <w:ind w:firstLine="480" w:firstLineChars="200"/>
      </w:pPr>
      <w:r>
        <w:t>（3）应急状态终止后，相关类别环境事件专业应急救援队伍应根据现场应急指挥部总指挥有关指示精神和现场实际情况，继续进行环境监测和评价工作，直至其他补救措施无需继续进行为止。</w:t>
      </w:r>
    </w:p>
    <w:p w14:paraId="184F9D7D">
      <w:pPr>
        <w:pStyle w:val="4"/>
      </w:pPr>
      <w:bookmarkStart w:id="149" w:name="_Toc9732"/>
      <w:bookmarkStart w:id="150" w:name="_Toc2191"/>
      <w:bookmarkStart w:id="151" w:name="_Toc16751"/>
      <w:bookmarkStart w:id="152" w:name="_Toc2286_WPSOffice_Level2"/>
      <w:r>
        <w:t>4后期工作</w:t>
      </w:r>
      <w:bookmarkEnd w:id="149"/>
      <w:bookmarkEnd w:id="150"/>
      <w:bookmarkEnd w:id="151"/>
      <w:bookmarkEnd w:id="152"/>
    </w:p>
    <w:p w14:paraId="3E0C70AC">
      <w:pPr>
        <w:ind w:firstLine="480" w:firstLineChars="200"/>
      </w:pPr>
      <w:r>
        <w:t>后期工作包括后期防控、事件调查、损害评估、善后处置等具体内容。</w:t>
      </w:r>
    </w:p>
    <w:p w14:paraId="6FD67007">
      <w:pPr>
        <w:pStyle w:val="5"/>
      </w:pPr>
      <w:bookmarkStart w:id="153" w:name="_Toc26590"/>
      <w:bookmarkStart w:id="154" w:name="_Toc1855"/>
      <w:r>
        <w:t>4.1后期防控</w:t>
      </w:r>
      <w:bookmarkEnd w:id="153"/>
      <w:bookmarkEnd w:id="154"/>
    </w:p>
    <w:p w14:paraId="764726C2">
      <w:pPr>
        <w:pStyle w:val="17"/>
        <w:spacing w:before="0" w:beforeAutospacing="0" w:after="0" w:afterAutospacing="0" w:line="480" w:lineRule="exact"/>
        <w:ind w:firstLine="480" w:firstLineChars="200"/>
      </w:pPr>
      <w:r>
        <w:t>责任单位：</w:t>
      </w:r>
      <w:r>
        <w:rPr>
          <w:rFonts w:hint="eastAsia"/>
        </w:rPr>
        <w:t>县政府办、县应急管理局、</w:t>
      </w:r>
      <w:r>
        <w:rPr>
          <w:rFonts w:hint="eastAsia"/>
          <w:lang w:val="en-US" w:eastAsia="zh-CN"/>
        </w:rPr>
        <w:t>关峡苗族乡政府、</w:t>
      </w:r>
      <w:r>
        <w:rPr>
          <w:rFonts w:hint="eastAsia"/>
        </w:rPr>
        <w:t>市生态环境局绥宁分局</w:t>
      </w:r>
      <w:r>
        <w:t>、</w:t>
      </w:r>
      <w:r>
        <w:rPr>
          <w:rFonts w:hint="eastAsia"/>
        </w:rPr>
        <w:t>县卫健局</w:t>
      </w:r>
      <w:r>
        <w:t>、县农业</w:t>
      </w:r>
      <w:r>
        <w:rPr>
          <w:rFonts w:hint="eastAsia"/>
        </w:rPr>
        <w:t>农村</w:t>
      </w:r>
      <w:r>
        <w:t xml:space="preserve">水利局。 </w:t>
      </w:r>
    </w:p>
    <w:p w14:paraId="6D1E5B92">
      <w:pPr>
        <w:pStyle w:val="17"/>
        <w:spacing w:before="0" w:beforeAutospacing="0" w:after="0" w:afterAutospacing="0" w:line="480" w:lineRule="exact"/>
        <w:ind w:firstLine="480" w:firstLineChars="200"/>
      </w:pPr>
      <w:r>
        <w:t>后期污染防控内容主要为对围堵或处理收集的风险物质进行处理，防止造成二次环境污染事件；对投放的化学药剂进行处理，防止发生次生突发环境事件一级对水体或土壤进行修复。</w:t>
      </w:r>
    </w:p>
    <w:p w14:paraId="6C3C930D">
      <w:pPr>
        <w:pStyle w:val="17"/>
        <w:spacing w:before="0" w:beforeAutospacing="0" w:after="0" w:afterAutospacing="0" w:line="480" w:lineRule="exact"/>
        <w:ind w:firstLine="480" w:firstLineChars="200"/>
      </w:pPr>
      <w:r>
        <w:t>后期防控的工作要点主要有以下几点：</w:t>
      </w:r>
    </w:p>
    <w:p w14:paraId="27DC4E8F">
      <w:pPr>
        <w:pStyle w:val="17"/>
        <w:numPr>
          <w:ilvl w:val="0"/>
          <w:numId w:val="4"/>
        </w:numPr>
        <w:spacing w:before="0" w:beforeAutospacing="0" w:after="0" w:afterAutospacing="0" w:line="480" w:lineRule="exact"/>
        <w:ind w:firstLine="480" w:firstLineChars="200"/>
      </w:pPr>
      <w:r>
        <w:t>针对泄漏的油品、化学品进行回收；</w:t>
      </w:r>
    </w:p>
    <w:p w14:paraId="1400CDC7">
      <w:pPr>
        <w:pStyle w:val="17"/>
        <w:numPr>
          <w:ilvl w:val="0"/>
          <w:numId w:val="4"/>
        </w:numPr>
        <w:spacing w:before="0" w:beforeAutospacing="0" w:after="0" w:afterAutospacing="0" w:line="480" w:lineRule="exact"/>
        <w:ind w:firstLine="480" w:firstLineChars="200"/>
      </w:pPr>
      <w:r>
        <w:t>组织进行后期污染监测和治理，消除投放药剂的残留毒性和后期效应，防止次生突发环境事件的发生；</w:t>
      </w:r>
    </w:p>
    <w:p w14:paraId="39E6DD5C">
      <w:pPr>
        <w:pStyle w:val="17"/>
        <w:numPr>
          <w:ilvl w:val="0"/>
          <w:numId w:val="4"/>
        </w:numPr>
        <w:spacing w:before="0" w:beforeAutospacing="0" w:after="0" w:afterAutospacing="0" w:line="480" w:lineRule="exact"/>
        <w:ind w:firstLine="480" w:firstLineChars="200"/>
      </w:pPr>
      <w:r>
        <w:t>在事故场地及蔓延区域的污染物清理后，对其土壤或水生态系统进行修复；</w:t>
      </w:r>
    </w:p>
    <w:p w14:paraId="581F63F7">
      <w:pPr>
        <w:pStyle w:val="17"/>
        <w:numPr>
          <w:ilvl w:val="0"/>
          <w:numId w:val="4"/>
        </w:numPr>
        <w:spacing w:before="0" w:beforeAutospacing="0" w:after="0" w:afterAutospacing="0" w:line="480" w:lineRule="exact"/>
        <w:ind w:firstLine="480" w:firstLineChars="200"/>
      </w:pPr>
      <w:r>
        <w:t xml:space="preserve">部分污染物导流到饮用水水源地下游或其它区域，对这些区域的污染物进行清除。 </w:t>
      </w:r>
    </w:p>
    <w:p w14:paraId="73C22C51">
      <w:pPr>
        <w:pStyle w:val="5"/>
      </w:pPr>
      <w:bookmarkStart w:id="155" w:name="_Toc15542"/>
      <w:r>
        <w:t>4.2事件总结</w:t>
      </w:r>
      <w:bookmarkEnd w:id="155"/>
    </w:p>
    <w:p w14:paraId="62546473">
      <w:pPr>
        <w:ind w:firstLine="480"/>
      </w:pPr>
      <w:r>
        <w:t>指挥部各成员单位应协助县政府开展事件总结工作，主要做好以下工作：</w:t>
      </w:r>
    </w:p>
    <w:p w14:paraId="41906B54">
      <w:pPr>
        <w:numPr>
          <w:ilvl w:val="0"/>
          <w:numId w:val="5"/>
        </w:numPr>
        <w:ind w:firstLine="480"/>
      </w:pPr>
      <w:r>
        <w:t>资料整理</w:t>
      </w:r>
    </w:p>
    <w:p w14:paraId="3802D3EC">
      <w:pPr>
        <w:ind w:firstLine="480" w:firstLineChars="200"/>
      </w:pPr>
      <w:r>
        <w:t>将事件工作日志、事件动态报告、监测数据、专家论证会会议纪要、工作协调会会议纪要等文字资料，事件现场工作照片、录像等影音像资料收集整理，集中归档，一事一档。</w:t>
      </w:r>
    </w:p>
    <w:p w14:paraId="686381DD">
      <w:pPr>
        <w:numPr>
          <w:ilvl w:val="0"/>
          <w:numId w:val="5"/>
        </w:numPr>
        <w:ind w:firstLine="480"/>
      </w:pPr>
      <w:r>
        <w:t>事件回放</w:t>
      </w:r>
    </w:p>
    <w:p w14:paraId="6E497C0E">
      <w:pPr>
        <w:ind w:firstLine="480" w:firstLineChars="200"/>
      </w:pPr>
      <w:r>
        <w:t>对重特大或具有代表性的事件，对发生和处置过程进行梳理，利用影音像资料和水源地信息平台资料，结合污染物扩散模型，模拟事件发生、演变和处置过程，再现事件发展全过程，为事件全面总结提供资料基础。</w:t>
      </w:r>
    </w:p>
    <w:p w14:paraId="2F6B29B8">
      <w:pPr>
        <w:numPr>
          <w:ilvl w:val="0"/>
          <w:numId w:val="5"/>
        </w:numPr>
        <w:ind w:firstLine="480"/>
      </w:pPr>
      <w:r>
        <w:t>事件总结</w:t>
      </w:r>
    </w:p>
    <w:p w14:paraId="49838DBA">
      <w:pPr>
        <w:ind w:firstLine="480" w:firstLineChars="200"/>
      </w:pPr>
      <w:r>
        <w:t>总结事件经验教训，形成事件总结报告。总结报告应包括事件发生过程、应急救援处置情况、经验教训、事件启示等方面内容。</w:t>
      </w:r>
    </w:p>
    <w:p w14:paraId="348C143B">
      <w:pPr>
        <w:pStyle w:val="5"/>
      </w:pPr>
      <w:bookmarkStart w:id="156" w:name="_Toc12355"/>
      <w:bookmarkStart w:id="157" w:name="_Toc16010"/>
      <w:r>
        <w:t>4.3事件调查</w:t>
      </w:r>
      <w:bookmarkEnd w:id="156"/>
      <w:bookmarkEnd w:id="157"/>
    </w:p>
    <w:p w14:paraId="3E1F62D4">
      <w:pPr>
        <w:ind w:firstLine="480"/>
        <w:rPr>
          <w:rFonts w:hint="eastAsia"/>
        </w:rPr>
      </w:pPr>
      <w:r>
        <w:t xml:space="preserve">牵头部门： </w:t>
      </w:r>
      <w:r>
        <w:rPr>
          <w:rFonts w:hint="eastAsia"/>
        </w:rPr>
        <w:t>县政府办</w:t>
      </w:r>
    </w:p>
    <w:p w14:paraId="12D616B7">
      <w:pPr>
        <w:ind w:firstLine="480"/>
      </w:pPr>
      <w:r>
        <w:t>配合部门：</w:t>
      </w:r>
      <w:r>
        <w:rPr>
          <w:rFonts w:hint="eastAsia"/>
        </w:rPr>
        <w:t>市生态环境局绥宁分局、、县应急管理局、县卫健局</w:t>
      </w:r>
      <w:r>
        <w:t>、县农业</w:t>
      </w:r>
      <w:r>
        <w:rPr>
          <w:rFonts w:hint="eastAsia"/>
        </w:rPr>
        <w:t>农村</w:t>
      </w:r>
      <w:r>
        <w:t xml:space="preserve">水利局、县公安局 </w:t>
      </w:r>
    </w:p>
    <w:p w14:paraId="444CADEB">
      <w:pPr>
        <w:ind w:firstLine="480"/>
      </w:pPr>
      <w:r>
        <w:t>应依法组成调查组对水源地保护区突发环境事件的原因、经过、性质及责任进行调查，调查组由具有管辖权的</w:t>
      </w:r>
      <w:r>
        <w:rPr>
          <w:rFonts w:hint="eastAsia"/>
        </w:rPr>
        <w:t>生态环境</w:t>
      </w:r>
      <w:r>
        <w:t>部门会同同级纪检监察部门及其他有关部门组成。</w:t>
      </w:r>
    </w:p>
    <w:p w14:paraId="78A4981C">
      <w:pPr>
        <w:numPr>
          <w:ilvl w:val="0"/>
          <w:numId w:val="6"/>
        </w:numPr>
        <w:ind w:firstLine="480"/>
      </w:pPr>
      <w:r>
        <w:t>事件调查</w:t>
      </w:r>
    </w:p>
    <w:p w14:paraId="1C458901">
      <w:pPr>
        <w:ind w:firstLine="480" w:firstLineChars="200"/>
      </w:pPr>
      <w:r>
        <w:t>应查明事件发生的直接和间接原因、事件发生的过程、损失情况等，并查明肇事企业事业单位、地方政府及有关部门在项目立项审批、生产经营过程中污染防范、日常监督管理、饮用水安全保障以及事件发生后应急处置过程中责任履行情况。根据调查资料和事件回放情况，调查组集体对事件进行定性。</w:t>
      </w:r>
    </w:p>
    <w:p w14:paraId="3BCF2ADF">
      <w:pPr>
        <w:numPr>
          <w:ilvl w:val="0"/>
          <w:numId w:val="6"/>
        </w:numPr>
        <w:ind w:firstLine="480"/>
      </w:pPr>
      <w:r>
        <w:t>责任追究</w:t>
      </w:r>
    </w:p>
    <w:p w14:paraId="73D65AAF">
      <w:pPr>
        <w:ind w:firstLine="480" w:firstLineChars="200"/>
      </w:pPr>
      <w:r>
        <w:t>对于违反党纪政纪的行为，由纪检监察部门就相关责任追究提出决定或建议；对于违法行为，由有关部门予以行政处罚；涉嫌犯罪的，移交司法机关追究刑事责任。</w:t>
      </w:r>
    </w:p>
    <w:p w14:paraId="5BEA4D30">
      <w:pPr>
        <w:numPr>
          <w:ilvl w:val="0"/>
          <w:numId w:val="6"/>
        </w:numPr>
        <w:ind w:firstLine="480"/>
      </w:pPr>
      <w:r>
        <w:t>调查报告</w:t>
      </w:r>
    </w:p>
    <w:p w14:paraId="6AB9CFBC">
      <w:pPr>
        <w:ind w:firstLine="480" w:firstLineChars="200"/>
      </w:pPr>
      <w:r>
        <w:t>事件调查应形成调查报告，报告应包括事件起因、性质、损失、改进措施建议、责任认定和对责任者的处理意见等内容。</w:t>
      </w:r>
    </w:p>
    <w:p w14:paraId="19FB2C0E">
      <w:pPr>
        <w:pStyle w:val="5"/>
      </w:pPr>
      <w:bookmarkStart w:id="158" w:name="_Toc2199"/>
      <w:bookmarkStart w:id="159" w:name="_Toc32042"/>
      <w:r>
        <w:t>4.4损害评估</w:t>
      </w:r>
      <w:bookmarkEnd w:id="158"/>
      <w:bookmarkEnd w:id="159"/>
    </w:p>
    <w:p w14:paraId="4E32B96C">
      <w:pPr>
        <w:ind w:firstLine="480"/>
      </w:pPr>
      <w:r>
        <w:t>评估部门：</w:t>
      </w:r>
      <w:r>
        <w:rPr>
          <w:rFonts w:hint="eastAsia"/>
        </w:rPr>
        <w:t>县应急管理局、市生态环境局绥宁分局</w:t>
      </w:r>
      <w:r>
        <w:t>、第三方评估机构。</w:t>
      </w:r>
    </w:p>
    <w:p w14:paraId="29CA5D25">
      <w:pPr>
        <w:ind w:firstLine="480"/>
      </w:pPr>
      <w:r>
        <w:t>1、评估组织</w:t>
      </w:r>
    </w:p>
    <w:p w14:paraId="06322B63">
      <w:pPr>
        <w:ind w:firstLine="480"/>
      </w:pPr>
      <w:r>
        <w:t>评估工作可由政府组织具备一定环境科学、环境经济和水质安全防控等学科背景的专业组织或机构开展。应急小组配合提供事件应急处置和事件损害基本信息，配合做好与其他相关部门的协调工作。</w:t>
      </w:r>
    </w:p>
    <w:p w14:paraId="44EB6FD4">
      <w:pPr>
        <w:numPr>
          <w:ilvl w:val="0"/>
          <w:numId w:val="7"/>
        </w:numPr>
        <w:ind w:firstLine="480"/>
      </w:pPr>
      <w:r>
        <w:t>开展评估</w:t>
      </w:r>
    </w:p>
    <w:p w14:paraId="19858878">
      <w:pPr>
        <w:ind w:firstLine="480" w:firstLineChars="200"/>
      </w:pPr>
      <w:r>
        <w:t>评估组织或机构应制定详细的评估工作计划，重点开展饮用水突发环境事件处置效果、事件影响以及污染修复方案的评估，分类统计突发事件造成的财产损害、事件应急处置费用、水源地环境修复费用等，综合分析水源地再次利用方案，科学量化事件造成的损失数额。</w:t>
      </w:r>
    </w:p>
    <w:p w14:paraId="19514038">
      <w:pPr>
        <w:numPr>
          <w:ilvl w:val="0"/>
          <w:numId w:val="7"/>
        </w:numPr>
        <w:ind w:firstLine="480"/>
      </w:pPr>
      <w:r>
        <w:t>评估报告</w:t>
      </w:r>
    </w:p>
    <w:p w14:paraId="7393ABD4">
      <w:pPr>
        <w:ind w:firstLine="480" w:firstLineChars="200"/>
      </w:pPr>
      <w:r>
        <w:t xml:space="preserve">评估组织或机构出具评估报告报政府。通过科学评估，为及时消除污染隐患，恢复水源水质，尽快实现正常取水供水提供保障。 </w:t>
      </w:r>
    </w:p>
    <w:p w14:paraId="1E88A8B6">
      <w:pPr>
        <w:pStyle w:val="5"/>
      </w:pPr>
      <w:bookmarkStart w:id="160" w:name="_Toc29794"/>
      <w:bookmarkStart w:id="161" w:name="_Toc22853"/>
      <w:r>
        <w:t>4.5善后处置</w:t>
      </w:r>
      <w:bookmarkEnd w:id="160"/>
      <w:bookmarkEnd w:id="161"/>
    </w:p>
    <w:p w14:paraId="10DC342B">
      <w:pPr>
        <w:ind w:firstLine="480" w:firstLineChars="200"/>
      </w:pPr>
      <w:r>
        <w:t>责任单位：</w:t>
      </w:r>
      <w:r>
        <w:rPr>
          <w:rFonts w:hint="eastAsia"/>
        </w:rPr>
        <w:t>县政府办、县应急管理局、市生态环境局绥宁分局</w:t>
      </w:r>
      <w:r>
        <w:t>、</w:t>
      </w:r>
      <w:r>
        <w:rPr>
          <w:rFonts w:hint="eastAsia"/>
        </w:rPr>
        <w:t>县卫健局</w:t>
      </w:r>
      <w:r>
        <w:t>、县农业</w:t>
      </w:r>
      <w:r>
        <w:rPr>
          <w:rFonts w:hint="eastAsia"/>
        </w:rPr>
        <w:t>农村</w:t>
      </w:r>
      <w:r>
        <w:t xml:space="preserve">水利局、县公安局、县民政局、县财政局 </w:t>
      </w:r>
    </w:p>
    <w:p w14:paraId="4DCC2979">
      <w:pPr>
        <w:ind w:firstLine="480" w:firstLineChars="200"/>
      </w:pPr>
      <w:r>
        <w:t>（1）在</w:t>
      </w:r>
      <w:r>
        <w:rPr>
          <w:rFonts w:hint="eastAsia"/>
        </w:rPr>
        <w:t>县里</w:t>
      </w:r>
      <w:r>
        <w:t>统一领导下，由责任单位负责组织实施善后处置工作，组织有关专家对受灾范围进行科学评估，提出补偿和对遭受污染的生态环境进行恢复和监管的建议。</w:t>
      </w:r>
    </w:p>
    <w:p w14:paraId="1113273F">
      <w:pPr>
        <w:ind w:firstLine="480" w:firstLineChars="200"/>
      </w:pPr>
      <w:r>
        <w:t>（2）参加应急行动的部门负责组织、指导环境应急队伍维护、保养应急仪器设备，使之始终保持良好的技术状态。</w:t>
      </w:r>
    </w:p>
    <w:p w14:paraId="13EB065D">
      <w:pPr>
        <w:ind w:firstLine="480" w:firstLineChars="200"/>
      </w:pPr>
      <w:r>
        <w:t xml:space="preserve">（3）继续跟踪对水源地保护区水质的监测，及时掌握情况，做好处置。 </w:t>
      </w:r>
    </w:p>
    <w:p w14:paraId="6AADC8BD">
      <w:pPr>
        <w:pStyle w:val="4"/>
      </w:pPr>
      <w:bookmarkStart w:id="162" w:name="_Toc17506"/>
      <w:bookmarkStart w:id="163" w:name="_Toc12109"/>
      <w:bookmarkStart w:id="164" w:name="_Toc17002"/>
      <w:bookmarkStart w:id="165" w:name="_Toc27238_WPSOffice_Level2"/>
      <w:r>
        <w:t>5应急保障</w:t>
      </w:r>
      <w:bookmarkEnd w:id="162"/>
      <w:bookmarkEnd w:id="163"/>
      <w:bookmarkEnd w:id="164"/>
      <w:bookmarkEnd w:id="165"/>
    </w:p>
    <w:p w14:paraId="4493971D">
      <w:pPr>
        <w:ind w:firstLine="480" w:firstLineChars="200"/>
      </w:pPr>
      <w:r>
        <w:t xml:space="preserve">应急保障包括通讯与信息保障、应急队伍保障、应急物资保障、经费保障及其它保障等具体内容。 </w:t>
      </w:r>
    </w:p>
    <w:p w14:paraId="6E5B3963">
      <w:pPr>
        <w:pStyle w:val="5"/>
      </w:pPr>
      <w:bookmarkStart w:id="166" w:name="_Toc1303"/>
      <w:bookmarkStart w:id="167" w:name="_Toc32355"/>
      <w:r>
        <w:t>5.1通讯与信息保障</w:t>
      </w:r>
      <w:bookmarkEnd w:id="166"/>
      <w:bookmarkEnd w:id="167"/>
    </w:p>
    <w:p w14:paraId="522A04A3">
      <w:pPr>
        <w:snapToGrid w:val="0"/>
        <w:ind w:firstLine="480" w:firstLineChars="200"/>
      </w:pPr>
      <w:r>
        <w:t>责任单位：</w:t>
      </w:r>
      <w:r>
        <w:rPr>
          <w:rFonts w:hint="eastAsia" w:ascii="Times New Roman" w:eastAsia="宋体"/>
          <w:lang w:val="en-US" w:eastAsia="zh-CN"/>
        </w:rPr>
        <w:t>县发改局、</w:t>
      </w:r>
      <w:r>
        <w:rPr>
          <w:rFonts w:hint="eastAsia"/>
        </w:rPr>
        <w:t>县应急管理局</w:t>
      </w:r>
      <w:r>
        <w:t xml:space="preserve"> </w:t>
      </w:r>
    </w:p>
    <w:p w14:paraId="7A47F9CF">
      <w:pPr>
        <w:snapToGrid w:val="0"/>
        <w:ind w:firstLine="480" w:firstLineChars="200"/>
      </w:pPr>
      <w:r>
        <w:t>配合部门：</w:t>
      </w:r>
      <w:r>
        <w:rPr>
          <w:rFonts w:hint="eastAsia"/>
        </w:rPr>
        <w:t>市生态环境局绥宁分局</w:t>
      </w:r>
      <w:r>
        <w:t>、县</w:t>
      </w:r>
      <w:r>
        <w:rPr>
          <w:rFonts w:hint="eastAsia"/>
        </w:rPr>
        <w:t>农业农村</w:t>
      </w:r>
      <w:r>
        <w:t>水利局、县住房和城乡建设局</w:t>
      </w:r>
    </w:p>
    <w:p w14:paraId="781C85A4">
      <w:pPr>
        <w:ind w:firstLine="480" w:firstLineChars="200"/>
      </w:pPr>
      <w:r>
        <w:t xml:space="preserve">应急组织指挥部各成员单位和部门要建立和完善环境安全应急指挥系统、环境应急处置联动系统和环境安全科学预警系统。配备必要的有线、无线通信器材，确保本预案启动时现场应急指挥部和现场应急工作组之间的联络畅通。 </w:t>
      </w:r>
    </w:p>
    <w:p w14:paraId="67C7B6F8">
      <w:pPr>
        <w:ind w:firstLine="480" w:firstLineChars="200"/>
      </w:pPr>
      <w:r>
        <w:t>加强饮用水水源地保护区保护宣传力度，引导公众参与保护。设立各种水源保护区标记，并向当地人民宣传饮用水源保护区划分范围和管理规定，形成上下联动、齐抓共管的良好氛围。</w:t>
      </w:r>
    </w:p>
    <w:p w14:paraId="5C526010">
      <w:pPr>
        <w:ind w:firstLine="480" w:firstLineChars="200"/>
      </w:pPr>
      <w:r>
        <w:t>通过建立信息发布等制度，强化公众监督，形成全社会共同参与保护饮水安全的氛围，重点对水源地周边的村民和单位进行水源保护知识、法规的教育，提高当地人民自觉遵守饮用水源保护条例的意识。利用各种新闻媒体和互联网对水资源保护进行广泛、深入和持久地宣传，提高全民的饮用水水源保护意识。</w:t>
      </w:r>
    </w:p>
    <w:p w14:paraId="7D11C9AA">
      <w:pPr>
        <w:ind w:firstLine="480" w:firstLineChars="200"/>
      </w:pPr>
      <w:r>
        <w:t>应急队伍相关人员熟悉应急参与部门、人员的联系方式，以及能快速通知上级应急单位和外部应急机构的通讯信息，通过手机及内部电话通讯。当应急队伍的相关人员联系方式有变更时，应及时通知其他应急小组人员，并更新本预案文本里的联系方式，确保通讯无阻。</w:t>
      </w:r>
    </w:p>
    <w:p w14:paraId="0B64607B">
      <w:pPr>
        <w:ind w:firstLine="480" w:firstLineChars="200"/>
      </w:pPr>
      <w:r>
        <w:t>值班室人员及各小组负责人的电话保持24 小时开机。</w:t>
      </w:r>
    </w:p>
    <w:p w14:paraId="383D07AE">
      <w:pPr>
        <w:pStyle w:val="5"/>
      </w:pPr>
      <w:bookmarkStart w:id="168" w:name="_Toc31687"/>
      <w:bookmarkStart w:id="169" w:name="_Toc2416"/>
      <w:r>
        <w:t>5.2应急队伍保障</w:t>
      </w:r>
      <w:bookmarkEnd w:id="168"/>
      <w:bookmarkEnd w:id="169"/>
    </w:p>
    <w:p w14:paraId="30FB3F11">
      <w:pPr>
        <w:ind w:firstLine="480" w:firstLineChars="200"/>
      </w:pPr>
      <w:bookmarkStart w:id="170" w:name="_Toc404235176"/>
      <w:r>
        <w:t>责任单位：</w:t>
      </w:r>
      <w:r>
        <w:rPr>
          <w:rFonts w:hint="eastAsia"/>
        </w:rPr>
        <w:t>县政府办、县应急管理局、市生态环境局绥宁分局</w:t>
      </w:r>
      <w:r>
        <w:t xml:space="preserve"> </w:t>
      </w:r>
    </w:p>
    <w:p w14:paraId="236F171E">
      <w:pPr>
        <w:ind w:firstLine="480" w:firstLineChars="200"/>
      </w:pPr>
      <w:r>
        <w:rPr>
          <w:kern w:val="0"/>
        </w:rPr>
        <w:t>各专项工作组和各现场应急工作组应经应急救援培训、训练及演练，</w:t>
      </w:r>
      <w:r>
        <w:t>熟悉环境应急知识，充分掌握各类突发环境事件处置措施的预备应急力量，保证在处置突发环境事件中能迅速参与并完成抢救、排险、消毒、监测等现场处置工作。</w:t>
      </w:r>
    </w:p>
    <w:p w14:paraId="27515C1E">
      <w:pPr>
        <w:ind w:firstLine="480" w:firstLineChars="200"/>
      </w:pPr>
      <w:r>
        <w:t xml:space="preserve">应急队伍培训至少每年一次，包括信息报告、个体防护、应急资源使用、应急监测布点及监测方法、应急处置方法等培训科目。 </w:t>
      </w:r>
    </w:p>
    <w:p w14:paraId="316CA1EB">
      <w:pPr>
        <w:ind w:firstLine="480" w:firstLineChars="200"/>
      </w:pPr>
      <w:r>
        <w:t>应急培训表详见附件1</w:t>
      </w:r>
      <w:r>
        <w:rPr>
          <w:rFonts w:hint="eastAsia"/>
        </w:rPr>
        <w:t>7</w:t>
      </w:r>
      <w:r>
        <w:t xml:space="preserve">。 </w:t>
      </w:r>
    </w:p>
    <w:p w14:paraId="742E464D">
      <w:pPr>
        <w:pStyle w:val="5"/>
      </w:pPr>
      <w:bookmarkStart w:id="171" w:name="_Toc19582"/>
      <w:bookmarkStart w:id="172" w:name="_Toc31692"/>
      <w:r>
        <w:t>5.3应急物资保障</w:t>
      </w:r>
      <w:bookmarkEnd w:id="171"/>
      <w:bookmarkEnd w:id="172"/>
    </w:p>
    <w:p w14:paraId="204E64FD">
      <w:pPr>
        <w:ind w:firstLine="480"/>
      </w:pPr>
      <w:r>
        <w:t>责任单位：</w:t>
      </w:r>
      <w:r>
        <w:rPr>
          <w:rFonts w:hint="eastAsia"/>
        </w:rPr>
        <w:t>县政府办、县应急管理局、市生态环境局绥宁分局</w:t>
      </w:r>
      <w:r>
        <w:rPr>
          <w:rFonts w:hint="eastAsia" w:eastAsia="宋体"/>
          <w:lang w:eastAsia="zh-CN"/>
        </w:rPr>
        <w:t>、</w:t>
      </w:r>
      <w:r>
        <w:rPr>
          <w:rFonts w:hint="eastAsia" w:ascii="Times New Roman" w:eastAsia="宋体"/>
          <w:lang w:val="en-US" w:eastAsia="zh-CN"/>
        </w:rPr>
        <w:t>县商务局、</w:t>
      </w:r>
      <w:r>
        <w:t>和县自来水公司。</w:t>
      </w:r>
    </w:p>
    <w:p w14:paraId="2F4EDE04">
      <w:pPr>
        <w:ind w:firstLine="480"/>
      </w:pPr>
      <w:r>
        <w:t>建立水源地保护区突发环境事件应急处置物资档案库，建立健全的应急物资储备、调拨及紧急配送体系，加强对应急物资装备的监督管理，及时予以补充和更新，确保事故发生时应急物资和装备能够及时供应。</w:t>
      </w:r>
    </w:p>
    <w:p w14:paraId="3F272971">
      <w:pPr>
        <w:snapToGrid w:val="0"/>
        <w:ind w:firstLine="480" w:firstLineChars="200"/>
      </w:pPr>
      <w:bookmarkStart w:id="173" w:name="_Toc24182"/>
      <w:r>
        <w:t>应急物资、器材、设施的准备、存放、保护和维护均由</w:t>
      </w:r>
      <w:r>
        <w:rPr>
          <w:rFonts w:hint="eastAsia"/>
        </w:rPr>
        <w:t>县应急管理局</w:t>
      </w:r>
      <w:r>
        <w:t>负责。在非应急状态下，</w:t>
      </w:r>
      <w:r>
        <w:rPr>
          <w:rFonts w:hint="eastAsia"/>
        </w:rPr>
        <w:t>县应急管理局</w:t>
      </w:r>
      <w:r>
        <w:t>应发放应急装备的月点检表，各使用部门每月盘点记录于点检表汇总，及时更新、补缺。各相关部门及人员应熟悉的应急物资、装备的储备情况，以便应急时能迅速反应。</w:t>
      </w:r>
    </w:p>
    <w:p w14:paraId="008A7E98">
      <w:pPr>
        <w:pStyle w:val="5"/>
      </w:pPr>
      <w:bookmarkStart w:id="174" w:name="_Toc14557"/>
      <w:r>
        <w:t>5.4经费保障</w:t>
      </w:r>
      <w:bookmarkEnd w:id="173"/>
      <w:bookmarkEnd w:id="174"/>
    </w:p>
    <w:p w14:paraId="3131B1B8">
      <w:pPr>
        <w:snapToGrid w:val="0"/>
        <w:ind w:firstLine="480" w:firstLineChars="200"/>
      </w:pPr>
      <w:r>
        <w:t xml:space="preserve">责任单位：县财政局 </w:t>
      </w:r>
    </w:p>
    <w:p w14:paraId="42AFAE55">
      <w:pPr>
        <w:snapToGrid w:val="0"/>
        <w:ind w:firstLine="480" w:firstLineChars="200"/>
      </w:pPr>
      <w:r>
        <w:t>经费用于水源地保护区突发环境事件预警系统建设、运行和应急调度、处置等，按规定列入本级财政预算，并由财政部门对其使用情况进行监督。</w:t>
      </w:r>
    </w:p>
    <w:p w14:paraId="48022221">
      <w:pPr>
        <w:snapToGrid w:val="0"/>
        <w:ind w:firstLine="480" w:firstLineChars="200"/>
      </w:pPr>
      <w:r>
        <w:t>县财政局应保证水源地保护区突发环境事件监测预警、医疗救治、人员培训、应急演练、物质储备、实验检测等应急处置的各项经费。</w:t>
      </w:r>
    </w:p>
    <w:p w14:paraId="60FAB5A6">
      <w:pPr>
        <w:snapToGrid w:val="0"/>
        <w:ind w:firstLine="480" w:firstLineChars="200"/>
      </w:pPr>
      <w:r>
        <w:t>设立环境污染事故应急专项经费，由绥宁县财政局负责划拨，用于应急基础设施建设、救助防护装备、应急监测装备和日常运转经费、突发事件处理经费等开支，任何与环境应急无关的不得动用。应急专项经费由县政府批准方可使用。</w:t>
      </w:r>
    </w:p>
    <w:p w14:paraId="4BE67163">
      <w:pPr>
        <w:pStyle w:val="5"/>
      </w:pPr>
      <w:bookmarkStart w:id="175" w:name="_Toc6446"/>
      <w:bookmarkStart w:id="176" w:name="_Toc29925"/>
      <w:r>
        <w:t>5.5其他保障</w:t>
      </w:r>
      <w:bookmarkEnd w:id="175"/>
      <w:bookmarkEnd w:id="176"/>
    </w:p>
    <w:p w14:paraId="23BF4F96">
      <w:pPr>
        <w:snapToGrid w:val="0"/>
        <w:ind w:firstLine="480" w:firstLineChars="200"/>
      </w:pPr>
      <w:r>
        <w:t>责任单位：</w:t>
      </w:r>
      <w:r>
        <w:rPr>
          <w:rFonts w:hint="eastAsia"/>
        </w:rPr>
        <w:t>县政府办、县应急管理局、市生态环境局绥宁分局</w:t>
      </w:r>
      <w:r>
        <w:rPr>
          <w:kern w:val="0"/>
        </w:rPr>
        <w:t>、</w:t>
      </w:r>
      <w:r>
        <w:rPr>
          <w:rFonts w:hint="eastAsia"/>
        </w:rPr>
        <w:t>县卫健局</w:t>
      </w:r>
      <w:r>
        <w:t>、县</w:t>
      </w:r>
      <w:r>
        <w:rPr>
          <w:rFonts w:hint="eastAsia"/>
        </w:rPr>
        <w:t>农业农村</w:t>
      </w:r>
      <w:r>
        <w:t xml:space="preserve">水利局、县公安局、县交通运输局 </w:t>
      </w:r>
    </w:p>
    <w:p w14:paraId="367749FE">
      <w:pPr>
        <w:snapToGrid w:val="0"/>
        <w:ind w:firstLine="480" w:firstLineChars="200"/>
      </w:pPr>
      <w:r>
        <w:t>县交通运输局、县公安局对事件现场实施道路交通管制，保障运送应急救援人员、物资器材所需车辆和道路畅通。必要时，依法对相关区域道路采取交通管制，确保应急物资、器材和人员及时到位，满足应急处置工作需要。</w:t>
      </w:r>
    </w:p>
    <w:p w14:paraId="4CC384FE">
      <w:pPr>
        <w:snapToGrid w:val="0"/>
        <w:ind w:firstLine="480" w:firstLineChars="200"/>
        <w:rPr>
          <w:kern w:val="0"/>
        </w:rPr>
      </w:pPr>
      <w:r>
        <w:rPr>
          <w:rFonts w:hint="eastAsia"/>
        </w:rPr>
        <w:t>县卫健局</w:t>
      </w:r>
      <w:r>
        <w:rPr>
          <w:kern w:val="0"/>
        </w:rPr>
        <w:t>要加强急救医疗服务网络建设，提高医疗卫生机构应急救治能力；强化应急检测人员培训，提升饮用水源卫生应急检测水平。</w:t>
      </w:r>
    </w:p>
    <w:p w14:paraId="0D0C2C85">
      <w:pPr>
        <w:pStyle w:val="4"/>
      </w:pPr>
      <w:bookmarkStart w:id="177" w:name="_Toc26666"/>
      <w:bookmarkStart w:id="178" w:name="_Toc30176"/>
      <w:bookmarkStart w:id="179" w:name="_Toc2055_WPSOffice_Level2"/>
      <w:bookmarkStart w:id="180" w:name="_Toc649"/>
      <w:r>
        <w:t>6附则</w:t>
      </w:r>
      <w:bookmarkEnd w:id="177"/>
      <w:bookmarkEnd w:id="178"/>
      <w:bookmarkEnd w:id="179"/>
      <w:bookmarkEnd w:id="180"/>
    </w:p>
    <w:p w14:paraId="1D29A373">
      <w:pPr>
        <w:pStyle w:val="5"/>
      </w:pPr>
      <w:bookmarkStart w:id="181" w:name="_Toc1270"/>
      <w:bookmarkStart w:id="182" w:name="_Toc23113"/>
      <w:r>
        <w:t>6.1名词术语</w:t>
      </w:r>
      <w:bookmarkEnd w:id="181"/>
      <w:bookmarkEnd w:id="182"/>
    </w:p>
    <w:p w14:paraId="03583379">
      <w:pPr>
        <w:snapToGrid w:val="0"/>
        <w:ind w:firstLine="480" w:firstLineChars="200"/>
      </w:pPr>
      <w:bookmarkStart w:id="183" w:name="_Toc404235181"/>
      <w:r>
        <w:t>（1）饮用水水源保护区：指政府已经划定的一、二级地表饮用水源保护区，以及没有划定保护区的具有集中式地表饮用水供水功能的取水点及其周边一定区域，区域范围参照《饮用水水源保护区划分技术规范》（HJ/T338-2007）划分。</w:t>
      </w:r>
    </w:p>
    <w:p w14:paraId="3F372B2C">
      <w:pPr>
        <w:snapToGrid w:val="0"/>
        <w:ind w:firstLine="480" w:firstLineChars="200"/>
      </w:pPr>
      <w:r>
        <w:t>（2）饮用水水源管理部门：指各级政府赋予的具有集中式地表饮用水水源管理职责的部门。</w:t>
      </w:r>
    </w:p>
    <w:p w14:paraId="58779B80">
      <w:pPr>
        <w:snapToGrid w:val="0"/>
        <w:ind w:firstLine="480" w:firstLineChars="200"/>
      </w:pPr>
      <w:r>
        <w:t>（3）环境风险源：可能向水源保护区释放有毒有害物质，造成水质恶化的污染源，包括但不限于工矿企业、事业单位以及输送石化、化工产品的管线等点源；运输危化品、危废及其他影响饮用水水源安全物质的车辆、船舶等流动源；可能对水源水质造成影响的无固定污染排放点的畜禽、水产养殖污水等非点源。</w:t>
      </w:r>
    </w:p>
    <w:p w14:paraId="29B9E6EC">
      <w:pPr>
        <w:snapToGrid w:val="0"/>
        <w:ind w:firstLine="480" w:firstLineChars="200"/>
      </w:pPr>
      <w:r>
        <w:t>（4）固定风险源：指排放有毒有害物质造成或可能造成水源水质恶化的一切工矿企业事业单位以及运输石化、化工产品的管线。</w:t>
      </w:r>
    </w:p>
    <w:p w14:paraId="23F41445">
      <w:pPr>
        <w:snapToGrid w:val="0"/>
        <w:ind w:firstLine="480" w:firstLineChars="200"/>
      </w:pPr>
      <w:r>
        <w:t>（5）流动风险源：指运输危险化学品、危险废物及其他影响饮用水安全物质的车辆、船舶等交通工具。</w:t>
      </w:r>
    </w:p>
    <w:p w14:paraId="4B9BB5E0">
      <w:pPr>
        <w:snapToGrid w:val="0"/>
        <w:ind w:firstLine="480" w:firstLineChars="200"/>
      </w:pPr>
      <w:r>
        <w:t>（6）面源风险源：指有可能对水源地水质造成影响的没有固定污染排放点的畜禽水产养殖污水、农业灌溉尾水等。</w:t>
      </w:r>
    </w:p>
    <w:bookmarkEnd w:id="183"/>
    <w:p w14:paraId="7138ED78">
      <w:pPr>
        <w:pStyle w:val="5"/>
      </w:pPr>
      <w:bookmarkStart w:id="184" w:name="_Toc9027"/>
      <w:bookmarkStart w:id="185" w:name="_Toc24847"/>
      <w:r>
        <w:t>6.2预案解释权属</w:t>
      </w:r>
      <w:bookmarkEnd w:id="184"/>
      <w:bookmarkEnd w:id="185"/>
    </w:p>
    <w:p w14:paraId="0CFA5518">
      <w:pPr>
        <w:ind w:firstLine="480" w:firstLineChars="200"/>
      </w:pPr>
      <w:r>
        <w:t>本预案由绥宁县</w:t>
      </w:r>
      <w:r>
        <w:rPr>
          <w:rFonts w:hint="eastAsia"/>
        </w:rPr>
        <w:t>人民政府</w:t>
      </w:r>
      <w:r>
        <w:t>负责解释。</w:t>
      </w:r>
    </w:p>
    <w:p w14:paraId="42515F30">
      <w:pPr>
        <w:pStyle w:val="5"/>
      </w:pPr>
      <w:bookmarkStart w:id="186" w:name="_Toc12884"/>
      <w:bookmarkStart w:id="187" w:name="_Toc29857"/>
      <w:r>
        <w:t>6.3预案演练和修订</w:t>
      </w:r>
      <w:bookmarkEnd w:id="186"/>
      <w:bookmarkEnd w:id="187"/>
    </w:p>
    <w:p w14:paraId="76CA678A">
      <w:pPr>
        <w:snapToGrid w:val="0"/>
        <w:ind w:firstLine="480" w:firstLineChars="200"/>
      </w:pPr>
      <w:r>
        <w:t>预案实施后</w:t>
      </w:r>
      <w:r>
        <w:rPr>
          <w:rFonts w:hint="eastAsia"/>
        </w:rPr>
        <w:t>县应急管理局</w:t>
      </w:r>
      <w:r>
        <w:t xml:space="preserve">要组织预案演练和修订。应急演练至少每年一次，演练内容主要包括在事故期间通讯系统是否正常运作、信息报送流程、各小组配合情况、人员应急能力等。对演练情况进行总结分析、评价，及时修订完善预案。 </w:t>
      </w:r>
    </w:p>
    <w:p w14:paraId="4B54B261">
      <w:pPr>
        <w:snapToGrid w:val="0"/>
        <w:ind w:firstLine="480" w:firstLineChars="200"/>
      </w:pPr>
      <w:r>
        <w:t>应急演练记录表详见附件</w:t>
      </w:r>
      <w:r>
        <w:rPr>
          <w:rFonts w:hint="eastAsia"/>
        </w:rPr>
        <w:t>18</w:t>
      </w:r>
      <w:r>
        <w:t>。</w:t>
      </w:r>
    </w:p>
    <w:p w14:paraId="088E83CC">
      <w:pPr>
        <w:pStyle w:val="5"/>
      </w:pPr>
      <w:bookmarkStart w:id="188" w:name="_Toc7878"/>
      <w:bookmarkStart w:id="189" w:name="_Toc3797"/>
      <w:r>
        <w:t>6.4预案实施日期</w:t>
      </w:r>
      <w:bookmarkEnd w:id="188"/>
      <w:bookmarkEnd w:id="189"/>
    </w:p>
    <w:p w14:paraId="038EE9CE">
      <w:pPr>
        <w:snapToGrid w:val="0"/>
        <w:ind w:firstLine="480" w:firstLineChars="200"/>
      </w:pPr>
      <w:r>
        <w:t>预案自发布之日起实施并生效。</w:t>
      </w:r>
      <w:bookmarkEnd w:id="170"/>
    </w:p>
    <w:p w14:paraId="4CAC3204">
      <w:pPr>
        <w:snapToGrid w:val="0"/>
        <w:ind w:firstLine="480" w:firstLineChars="200"/>
      </w:pPr>
    </w:p>
    <w:p w14:paraId="469E6A96">
      <w:pPr>
        <w:snapToGrid w:val="0"/>
        <w:ind w:firstLine="480" w:firstLineChars="200"/>
      </w:pPr>
    </w:p>
    <w:p w14:paraId="62F9C5EC">
      <w:pPr>
        <w:snapToGrid w:val="0"/>
        <w:ind w:firstLine="480" w:firstLineChars="200"/>
      </w:pPr>
    </w:p>
    <w:p w14:paraId="728225FB">
      <w:pPr>
        <w:snapToGrid w:val="0"/>
        <w:ind w:firstLine="480" w:firstLineChars="200"/>
      </w:pPr>
    </w:p>
    <w:p w14:paraId="609F23D8">
      <w:pPr>
        <w:snapToGrid w:val="0"/>
        <w:ind w:firstLine="480" w:firstLineChars="200"/>
      </w:pPr>
    </w:p>
    <w:p w14:paraId="4EB0B5B8">
      <w:pPr>
        <w:snapToGrid w:val="0"/>
        <w:ind w:firstLine="480" w:firstLineChars="200"/>
      </w:pPr>
    </w:p>
    <w:p w14:paraId="61C7219D">
      <w:pPr>
        <w:snapToGrid w:val="0"/>
        <w:ind w:firstLine="480" w:firstLineChars="200"/>
      </w:pPr>
    </w:p>
    <w:p w14:paraId="212D5C2B">
      <w:pPr>
        <w:snapToGrid w:val="0"/>
        <w:ind w:firstLine="480" w:firstLineChars="200"/>
      </w:pPr>
    </w:p>
    <w:p w14:paraId="1797938A">
      <w:pPr>
        <w:snapToGrid w:val="0"/>
        <w:ind w:firstLine="480" w:firstLineChars="200"/>
      </w:pPr>
    </w:p>
    <w:p w14:paraId="37FCF8E0">
      <w:pPr>
        <w:snapToGrid w:val="0"/>
        <w:ind w:firstLine="480" w:firstLineChars="200"/>
      </w:pPr>
    </w:p>
    <w:p w14:paraId="558DE3EA"/>
    <w:p w14:paraId="66A75920"/>
    <w:p w14:paraId="0F276FAD">
      <w:pPr>
        <w:pStyle w:val="3"/>
        <w:jc w:val="center"/>
        <w:rPr>
          <w:rStyle w:val="54"/>
          <w:b w:val="0"/>
          <w:bCs w:val="0"/>
          <w:sz w:val="32"/>
        </w:rPr>
      </w:pPr>
      <w:bookmarkStart w:id="190" w:name="_Toc19482_WPSOffice_Level1"/>
      <w:bookmarkStart w:id="191" w:name="_Toc5225"/>
      <w:bookmarkStart w:id="192" w:name="_Toc12728"/>
      <w:bookmarkStart w:id="193" w:name="_Toc31626"/>
      <w:r>
        <w:rPr>
          <w:rStyle w:val="54"/>
          <w:b w:val="0"/>
          <w:bCs w:val="0"/>
          <w:sz w:val="32"/>
        </w:rPr>
        <w:t>第</w:t>
      </w:r>
      <w:r>
        <w:rPr>
          <w:rStyle w:val="54"/>
          <w:rFonts w:hint="eastAsia"/>
          <w:b w:val="0"/>
          <w:bCs w:val="0"/>
          <w:sz w:val="32"/>
          <w:lang w:val="en-US" w:eastAsia="zh-CN"/>
        </w:rPr>
        <w:t>三</w:t>
      </w:r>
      <w:r>
        <w:rPr>
          <w:rStyle w:val="54"/>
          <w:b w:val="0"/>
          <w:bCs w:val="0"/>
          <w:sz w:val="32"/>
        </w:rPr>
        <w:t>部分   环境风险评估报告</w:t>
      </w:r>
      <w:bookmarkEnd w:id="99"/>
      <w:bookmarkEnd w:id="190"/>
      <w:bookmarkEnd w:id="191"/>
      <w:bookmarkEnd w:id="192"/>
      <w:bookmarkEnd w:id="193"/>
    </w:p>
    <w:p w14:paraId="79A31E48">
      <w:pPr>
        <w:pStyle w:val="4"/>
      </w:pPr>
      <w:bookmarkStart w:id="194" w:name="_Toc25243"/>
      <w:bookmarkStart w:id="195" w:name="_Toc6024_WPSOffice_Level2"/>
      <w:bookmarkStart w:id="196" w:name="_Toc20566"/>
      <w:bookmarkStart w:id="197" w:name="_Toc23643"/>
      <w:bookmarkStart w:id="198" w:name="_Toc492841617"/>
      <w:r>
        <w:rPr>
          <w:rFonts w:hint="eastAsia"/>
          <w:lang w:val="en-US" w:eastAsia="zh-CN"/>
        </w:rPr>
        <w:t>3</w:t>
      </w:r>
      <w:r>
        <w:t>.1</w:t>
      </w:r>
      <w:bookmarkEnd w:id="100"/>
      <w:r>
        <w:t>水源地保护区环境风险源辨识</w:t>
      </w:r>
      <w:bookmarkEnd w:id="194"/>
      <w:bookmarkEnd w:id="195"/>
      <w:bookmarkEnd w:id="196"/>
      <w:bookmarkEnd w:id="197"/>
      <w:bookmarkEnd w:id="198"/>
    </w:p>
    <w:p w14:paraId="34888701">
      <w:pPr>
        <w:ind w:firstLine="480" w:firstLineChars="200"/>
      </w:pPr>
      <w:r>
        <w:t>根据《地表饮用水源保护区环境应急管理工作指南（试行）》（环办﹝2011﹞93号）之规定：环境风险是指由生产、储存、流通、销售、使用、处置等过程中，通过环境介质传播的，能对水源地保护区的水质和生态环境产生破坏、损失乃至毁灭性作用等不利后果的因果条件。环境风险源是指可能导致突发环境事件的污染源，以及生产、贮存、经营、使用、运输危险物质或产生、收集、利用、处置危险废物的场所、设备和装置。</w:t>
      </w:r>
    </w:p>
    <w:p w14:paraId="290EA41A">
      <w:pPr>
        <w:ind w:firstLine="480" w:firstLineChars="200"/>
      </w:pPr>
      <w:r>
        <w:t>水源地保护区的环境风险源可分为：固定源、流动源和非点源。</w:t>
      </w:r>
    </w:p>
    <w:p w14:paraId="49700B43">
      <w:pPr>
        <w:ind w:firstLine="480" w:firstLineChars="200"/>
      </w:pPr>
      <w:r>
        <w:t>固定源是指排放有毒有害物质造成或可能造成水源地保护区水质恶化的一切工矿企业事业单位以及运输石化、化工产品的管线（包括石油化工企业、污废水处理厂、垃圾填埋场、危险品仓库、尾矿库和装卸码头等）；流动源是指运输危险化学品、危险废物及其他影响饮用水安全物质的车辆、船舶等交通工具；非点源是指有可能对饮用水源保护区水质造成影响的没有固定污染排放点的畜禽水产养殖污水、农业灌溉尾水等。</w:t>
      </w:r>
    </w:p>
    <w:p w14:paraId="53E69886">
      <w:pPr>
        <w:pStyle w:val="5"/>
      </w:pPr>
      <w:bookmarkStart w:id="199" w:name="_Toc4811"/>
      <w:r>
        <w:rPr>
          <w:rFonts w:hint="eastAsia"/>
          <w:lang w:val="en-US" w:eastAsia="zh-CN"/>
        </w:rPr>
        <w:t>3</w:t>
      </w:r>
      <w:r>
        <w:t>.1.1风险源识别范围</w:t>
      </w:r>
      <w:bookmarkEnd w:id="199"/>
    </w:p>
    <w:p w14:paraId="75051B19">
      <w:pPr>
        <w:ind w:firstLine="480" w:firstLineChars="200"/>
        <w:jc w:val="left"/>
      </w:pPr>
      <w:r>
        <w:t>根据项目所在地的实际情况，</w:t>
      </w:r>
      <w:r>
        <w:rPr>
          <w:rFonts w:hint="eastAsia"/>
        </w:rPr>
        <w:t>绥宁县关峡苗族乡兰溪水饮用水水源地保护区</w:t>
      </w:r>
      <w:r>
        <w:t>划分为一级、二级保护区，不设置准保护区。</w:t>
      </w:r>
    </w:p>
    <w:p w14:paraId="7563C357">
      <w:pPr>
        <w:ind w:firstLine="480" w:firstLineChars="200"/>
        <w:jc w:val="left"/>
      </w:pPr>
      <w:r>
        <w:t>根据参考相关资料，水源地保护区所在地风险源识别范围为</w:t>
      </w:r>
      <w:r>
        <w:rPr>
          <w:rFonts w:hint="eastAsia"/>
          <w:kern w:val="0"/>
        </w:rPr>
        <w:t>关峡苗族乡兰溪水</w:t>
      </w:r>
      <w:r>
        <w:rPr>
          <w:kern w:val="0"/>
        </w:rPr>
        <w:t>水源地保护区</w:t>
      </w:r>
      <w:r>
        <w:rPr>
          <w:rFonts w:hint="eastAsia"/>
          <w:kern w:val="0"/>
        </w:rPr>
        <w:t>取水口至上游发源地（约27Km）</w:t>
      </w:r>
      <w:r>
        <w:rPr>
          <w:kern w:val="0"/>
        </w:rPr>
        <w:t>内的水域和分水岭内的陆域</w:t>
      </w:r>
      <w:r>
        <w:t>。</w:t>
      </w:r>
    </w:p>
    <w:p w14:paraId="6C83AA94">
      <w:pPr>
        <w:pStyle w:val="5"/>
      </w:pPr>
      <w:bookmarkStart w:id="200" w:name="_Toc15505"/>
      <w:r>
        <w:rPr>
          <w:rFonts w:hint="eastAsia"/>
          <w:lang w:val="en-US" w:eastAsia="zh-CN"/>
        </w:rPr>
        <w:t>3</w:t>
      </w:r>
      <w:r>
        <w:t>.1.2风险源调查内容</w:t>
      </w:r>
      <w:bookmarkEnd w:id="200"/>
    </w:p>
    <w:p w14:paraId="7CC2BAFE">
      <w:pPr>
        <w:ind w:firstLine="480" w:firstLineChars="200"/>
        <w:jc w:val="left"/>
      </w:pPr>
      <w:r>
        <w:t>本应急预案调查重点内容包括生产或使用化学品的工矿企业、集中仓库、储罐、危险化学品运输车辆、有毒有害污染物泄漏、重大水污染事故性排放等，水源地保护区污染源分布详见附图5。</w:t>
      </w:r>
    </w:p>
    <w:p w14:paraId="0162DAEF">
      <w:pPr>
        <w:pStyle w:val="5"/>
        <w:rPr>
          <w:rStyle w:val="33"/>
          <w:b w:val="0"/>
          <w:sz w:val="24"/>
          <w:szCs w:val="28"/>
        </w:rPr>
      </w:pPr>
      <w:bookmarkStart w:id="201" w:name="_Toc4288"/>
      <w:bookmarkStart w:id="202" w:name="_Toc31199"/>
      <w:bookmarkStart w:id="203" w:name="_Toc388345489"/>
      <w:r>
        <w:rPr>
          <w:rStyle w:val="33"/>
          <w:rFonts w:hint="eastAsia"/>
          <w:b w:val="0"/>
          <w:sz w:val="24"/>
          <w:szCs w:val="28"/>
          <w:lang w:val="en-US"/>
        </w:rPr>
        <w:t>3</w:t>
      </w:r>
      <w:r>
        <w:rPr>
          <w:rStyle w:val="33"/>
          <w:b w:val="0"/>
          <w:sz w:val="24"/>
          <w:szCs w:val="28"/>
        </w:rPr>
        <w:t>.1.3 固定风险源辨识</w:t>
      </w:r>
      <w:bookmarkEnd w:id="201"/>
      <w:bookmarkEnd w:id="202"/>
    </w:p>
    <w:p w14:paraId="10314B53">
      <w:pPr>
        <w:ind w:firstLine="480" w:firstLineChars="200"/>
      </w:pPr>
      <w:r>
        <w:t>根据现场调查情况统计，</w:t>
      </w:r>
      <w:r>
        <w:rPr>
          <w:kern w:val="0"/>
        </w:rPr>
        <w:t>水源地保护区</w:t>
      </w:r>
      <w:r>
        <w:t>内及汇水区域内涉及的可能使饮用水水源保护区发生环境风险的固定风险源名称、位置、规模、与保护区的关系、企业主要的原辅材料、产品、风险防范措施及排污口情况统计见表2-1。</w:t>
      </w:r>
    </w:p>
    <w:p w14:paraId="05109E03">
      <w:pPr>
        <w:ind w:firstLine="31680"/>
        <w:jc w:val="center"/>
        <w:sectPr>
          <w:headerReference r:id="rId9" w:type="default"/>
          <w:pgSz w:w="11906" w:h="16838"/>
          <w:pgMar w:top="1440" w:right="1803" w:bottom="1440" w:left="1803" w:header="992" w:footer="992" w:gutter="0"/>
          <w:cols w:space="720" w:num="1"/>
          <w:docGrid w:linePitch="332" w:charSpace="0"/>
        </w:sectPr>
      </w:pPr>
    </w:p>
    <w:p w14:paraId="3067C14C">
      <w:pPr>
        <w:jc w:val="center"/>
      </w:pPr>
      <w:r>
        <w:rPr>
          <w:rFonts w:hint="eastAsia"/>
          <w:b/>
          <w:bCs/>
          <w:sz w:val="21"/>
          <w:szCs w:val="21"/>
        </w:rPr>
        <w:t>表</w:t>
      </w:r>
      <w:r>
        <w:rPr>
          <w:b/>
          <w:bCs/>
          <w:sz w:val="21"/>
          <w:szCs w:val="21"/>
        </w:rPr>
        <w:t xml:space="preserve">2-1 </w:t>
      </w:r>
      <w:r>
        <w:rPr>
          <w:b/>
          <w:bCs/>
          <w:kern w:val="0"/>
          <w:sz w:val="21"/>
          <w:szCs w:val="21"/>
        </w:rPr>
        <w:t>水源地保护区</w:t>
      </w:r>
      <w:r>
        <w:rPr>
          <w:b/>
          <w:bCs/>
          <w:sz w:val="21"/>
          <w:szCs w:val="21"/>
        </w:rPr>
        <w:t>调查范围涉及的工业企业一览表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205"/>
        <w:gridCol w:w="1730"/>
        <w:gridCol w:w="1162"/>
        <w:gridCol w:w="744"/>
        <w:gridCol w:w="784"/>
        <w:gridCol w:w="1567"/>
        <w:gridCol w:w="2037"/>
        <w:gridCol w:w="1080"/>
        <w:gridCol w:w="1741"/>
        <w:gridCol w:w="1567"/>
      </w:tblGrid>
      <w:tr w14:paraId="0CEAA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478" w:type="dxa"/>
            <w:tcBorders>
              <w:tl2br w:val="nil"/>
              <w:tr2bl w:val="nil"/>
            </w:tcBorders>
            <w:vAlign w:val="center"/>
          </w:tcPr>
          <w:p w14:paraId="30C5440F">
            <w:pPr>
              <w:spacing w:line="240" w:lineRule="auto"/>
              <w:jc w:val="center"/>
              <w:rPr>
                <w:b/>
                <w:bCs/>
                <w:color w:val="000000"/>
                <w:sz w:val="21"/>
                <w:szCs w:val="21"/>
              </w:rPr>
            </w:pPr>
            <w:r>
              <w:rPr>
                <w:b/>
                <w:bCs/>
                <w:color w:val="000000"/>
                <w:sz w:val="21"/>
                <w:szCs w:val="21"/>
              </w:rPr>
              <w:t>序号</w:t>
            </w:r>
          </w:p>
        </w:tc>
        <w:tc>
          <w:tcPr>
            <w:tcW w:w="1205" w:type="dxa"/>
            <w:tcBorders>
              <w:tl2br w:val="nil"/>
              <w:tr2bl w:val="nil"/>
            </w:tcBorders>
            <w:vAlign w:val="center"/>
          </w:tcPr>
          <w:p w14:paraId="497CE37D">
            <w:pPr>
              <w:spacing w:line="240" w:lineRule="auto"/>
              <w:jc w:val="center"/>
              <w:rPr>
                <w:b/>
                <w:bCs/>
                <w:color w:val="000000"/>
                <w:sz w:val="21"/>
                <w:szCs w:val="21"/>
              </w:rPr>
            </w:pPr>
            <w:r>
              <w:rPr>
                <w:b/>
                <w:bCs/>
                <w:color w:val="000000"/>
                <w:sz w:val="21"/>
                <w:szCs w:val="21"/>
              </w:rPr>
              <w:t>水源地保护区名称</w:t>
            </w:r>
          </w:p>
        </w:tc>
        <w:tc>
          <w:tcPr>
            <w:tcW w:w="1730" w:type="dxa"/>
            <w:tcBorders>
              <w:tl2br w:val="nil"/>
              <w:tr2bl w:val="nil"/>
            </w:tcBorders>
            <w:vAlign w:val="center"/>
          </w:tcPr>
          <w:p w14:paraId="41F34F2B">
            <w:pPr>
              <w:spacing w:line="240" w:lineRule="auto"/>
              <w:jc w:val="center"/>
              <w:rPr>
                <w:b/>
                <w:bCs/>
                <w:color w:val="000000"/>
                <w:sz w:val="21"/>
                <w:szCs w:val="21"/>
              </w:rPr>
            </w:pPr>
            <w:r>
              <w:rPr>
                <w:b/>
                <w:bCs/>
                <w:color w:val="000000"/>
                <w:sz w:val="21"/>
                <w:szCs w:val="21"/>
              </w:rPr>
              <w:t>周边工矿企业名称</w:t>
            </w:r>
          </w:p>
        </w:tc>
        <w:tc>
          <w:tcPr>
            <w:tcW w:w="1162" w:type="dxa"/>
            <w:tcBorders>
              <w:tl2br w:val="nil"/>
              <w:tr2bl w:val="nil"/>
            </w:tcBorders>
            <w:vAlign w:val="center"/>
          </w:tcPr>
          <w:p w14:paraId="031EA04B">
            <w:pPr>
              <w:spacing w:line="240" w:lineRule="auto"/>
              <w:jc w:val="center"/>
              <w:rPr>
                <w:b/>
                <w:bCs/>
                <w:color w:val="000000"/>
                <w:sz w:val="21"/>
                <w:szCs w:val="21"/>
              </w:rPr>
            </w:pPr>
            <w:r>
              <w:rPr>
                <w:b/>
                <w:bCs/>
                <w:color w:val="000000"/>
                <w:sz w:val="21"/>
                <w:szCs w:val="21"/>
              </w:rPr>
              <w:t>运营情况</w:t>
            </w:r>
          </w:p>
        </w:tc>
        <w:tc>
          <w:tcPr>
            <w:tcW w:w="744" w:type="dxa"/>
            <w:tcBorders>
              <w:tl2br w:val="nil"/>
              <w:tr2bl w:val="nil"/>
            </w:tcBorders>
            <w:vAlign w:val="center"/>
          </w:tcPr>
          <w:p w14:paraId="28D41006">
            <w:pPr>
              <w:spacing w:line="240" w:lineRule="auto"/>
              <w:jc w:val="center"/>
              <w:rPr>
                <w:b/>
                <w:bCs/>
                <w:color w:val="000000"/>
                <w:sz w:val="21"/>
                <w:szCs w:val="21"/>
              </w:rPr>
            </w:pPr>
            <w:r>
              <w:rPr>
                <w:b/>
                <w:bCs/>
                <w:color w:val="000000"/>
                <w:sz w:val="21"/>
                <w:szCs w:val="21"/>
              </w:rPr>
              <w:t>产品</w:t>
            </w:r>
          </w:p>
        </w:tc>
        <w:tc>
          <w:tcPr>
            <w:tcW w:w="784" w:type="dxa"/>
            <w:tcBorders>
              <w:tl2br w:val="nil"/>
              <w:tr2bl w:val="nil"/>
            </w:tcBorders>
            <w:vAlign w:val="center"/>
          </w:tcPr>
          <w:p w14:paraId="7F3FFD25">
            <w:pPr>
              <w:spacing w:line="240" w:lineRule="auto"/>
              <w:jc w:val="center"/>
              <w:rPr>
                <w:b/>
                <w:bCs/>
                <w:color w:val="000000"/>
                <w:sz w:val="21"/>
                <w:szCs w:val="21"/>
              </w:rPr>
            </w:pPr>
            <w:r>
              <w:rPr>
                <w:b/>
                <w:bCs/>
                <w:color w:val="000000"/>
                <w:sz w:val="21"/>
                <w:szCs w:val="21"/>
              </w:rPr>
              <w:t>规模</w:t>
            </w:r>
          </w:p>
        </w:tc>
        <w:tc>
          <w:tcPr>
            <w:tcW w:w="1567" w:type="dxa"/>
            <w:tcBorders>
              <w:tl2br w:val="nil"/>
              <w:tr2bl w:val="nil"/>
            </w:tcBorders>
            <w:vAlign w:val="center"/>
          </w:tcPr>
          <w:p w14:paraId="04933452">
            <w:pPr>
              <w:spacing w:line="240" w:lineRule="auto"/>
              <w:jc w:val="center"/>
              <w:rPr>
                <w:b/>
                <w:bCs/>
                <w:color w:val="000000"/>
                <w:sz w:val="21"/>
                <w:szCs w:val="21"/>
              </w:rPr>
            </w:pPr>
            <w:r>
              <w:rPr>
                <w:b/>
                <w:bCs/>
                <w:color w:val="000000"/>
                <w:sz w:val="21"/>
                <w:szCs w:val="21"/>
              </w:rPr>
              <w:t>主要原辅材料</w:t>
            </w:r>
          </w:p>
        </w:tc>
        <w:tc>
          <w:tcPr>
            <w:tcW w:w="2037" w:type="dxa"/>
            <w:tcBorders>
              <w:tl2br w:val="nil"/>
              <w:tr2bl w:val="nil"/>
            </w:tcBorders>
            <w:vAlign w:val="center"/>
          </w:tcPr>
          <w:p w14:paraId="75E66271">
            <w:pPr>
              <w:spacing w:line="240" w:lineRule="auto"/>
              <w:jc w:val="center"/>
              <w:rPr>
                <w:b/>
                <w:bCs/>
                <w:color w:val="000000"/>
                <w:sz w:val="21"/>
                <w:szCs w:val="21"/>
              </w:rPr>
            </w:pPr>
            <w:r>
              <w:rPr>
                <w:b/>
                <w:bCs/>
                <w:color w:val="000000"/>
                <w:sz w:val="21"/>
                <w:szCs w:val="21"/>
              </w:rPr>
              <w:t>产排污情况</w:t>
            </w:r>
          </w:p>
        </w:tc>
        <w:tc>
          <w:tcPr>
            <w:tcW w:w="1080" w:type="dxa"/>
            <w:tcBorders>
              <w:tl2br w:val="nil"/>
              <w:tr2bl w:val="nil"/>
            </w:tcBorders>
            <w:vAlign w:val="center"/>
          </w:tcPr>
          <w:p w14:paraId="68AEF859">
            <w:pPr>
              <w:spacing w:line="240" w:lineRule="auto"/>
              <w:jc w:val="center"/>
              <w:rPr>
                <w:b/>
                <w:bCs/>
                <w:color w:val="000000"/>
                <w:sz w:val="21"/>
                <w:szCs w:val="21"/>
              </w:rPr>
            </w:pPr>
            <w:r>
              <w:rPr>
                <w:b/>
                <w:bCs/>
                <w:color w:val="000000"/>
                <w:sz w:val="21"/>
                <w:szCs w:val="21"/>
              </w:rPr>
              <w:t>排污口设置情况</w:t>
            </w:r>
          </w:p>
        </w:tc>
        <w:tc>
          <w:tcPr>
            <w:tcW w:w="1741" w:type="dxa"/>
            <w:tcBorders>
              <w:tl2br w:val="nil"/>
              <w:tr2bl w:val="nil"/>
            </w:tcBorders>
            <w:vAlign w:val="center"/>
          </w:tcPr>
          <w:p w14:paraId="594935CC">
            <w:pPr>
              <w:spacing w:line="240" w:lineRule="auto"/>
              <w:jc w:val="center"/>
              <w:rPr>
                <w:b/>
                <w:bCs/>
                <w:color w:val="000000"/>
                <w:sz w:val="21"/>
                <w:szCs w:val="21"/>
              </w:rPr>
            </w:pPr>
            <w:r>
              <w:rPr>
                <w:b/>
                <w:bCs/>
                <w:color w:val="000000"/>
                <w:sz w:val="21"/>
                <w:szCs w:val="21"/>
              </w:rPr>
              <w:t>工矿企业位置与取水口的上下游关系</w:t>
            </w:r>
          </w:p>
        </w:tc>
        <w:tc>
          <w:tcPr>
            <w:tcW w:w="1567" w:type="dxa"/>
            <w:tcBorders>
              <w:tl2br w:val="nil"/>
              <w:tr2bl w:val="nil"/>
            </w:tcBorders>
            <w:vAlign w:val="center"/>
          </w:tcPr>
          <w:p w14:paraId="6ECBCA6C">
            <w:pPr>
              <w:spacing w:line="240" w:lineRule="auto"/>
              <w:jc w:val="center"/>
              <w:rPr>
                <w:b/>
                <w:bCs/>
                <w:color w:val="000000"/>
                <w:sz w:val="21"/>
                <w:szCs w:val="21"/>
              </w:rPr>
            </w:pPr>
            <w:r>
              <w:rPr>
                <w:b/>
                <w:bCs/>
                <w:color w:val="000000"/>
                <w:sz w:val="21"/>
                <w:szCs w:val="21"/>
              </w:rPr>
              <w:t>风险防范措施</w:t>
            </w:r>
          </w:p>
        </w:tc>
      </w:tr>
      <w:tr w14:paraId="3999E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478" w:type="dxa"/>
            <w:tcBorders>
              <w:tl2br w:val="nil"/>
              <w:tr2bl w:val="nil"/>
            </w:tcBorders>
            <w:vAlign w:val="center"/>
          </w:tcPr>
          <w:p w14:paraId="0756D979">
            <w:pPr>
              <w:spacing w:line="240" w:lineRule="auto"/>
              <w:jc w:val="center"/>
              <w:rPr>
                <w:color w:val="000000"/>
                <w:sz w:val="21"/>
                <w:szCs w:val="21"/>
              </w:rPr>
            </w:pPr>
            <w:r>
              <w:rPr>
                <w:color w:val="000000"/>
                <w:sz w:val="21"/>
                <w:szCs w:val="21"/>
              </w:rPr>
              <w:t>1</w:t>
            </w:r>
          </w:p>
        </w:tc>
        <w:tc>
          <w:tcPr>
            <w:tcW w:w="1205" w:type="dxa"/>
            <w:vMerge w:val="restart"/>
            <w:tcBorders>
              <w:tl2br w:val="nil"/>
              <w:tr2bl w:val="nil"/>
            </w:tcBorders>
            <w:vAlign w:val="center"/>
          </w:tcPr>
          <w:p w14:paraId="0C7F996E">
            <w:pPr>
              <w:spacing w:line="240" w:lineRule="auto"/>
              <w:jc w:val="center"/>
              <w:rPr>
                <w:color w:val="000000"/>
                <w:sz w:val="21"/>
                <w:szCs w:val="21"/>
              </w:rPr>
            </w:pPr>
            <w:r>
              <w:rPr>
                <w:rFonts w:hint="eastAsia"/>
                <w:color w:val="000000"/>
                <w:sz w:val="21"/>
                <w:szCs w:val="21"/>
              </w:rPr>
              <w:t>绥宁县关峡苗族乡兰溪水饮用水水源地保护区</w:t>
            </w:r>
          </w:p>
        </w:tc>
        <w:tc>
          <w:tcPr>
            <w:tcW w:w="1730" w:type="dxa"/>
            <w:tcBorders>
              <w:tl2br w:val="nil"/>
              <w:tr2bl w:val="nil"/>
            </w:tcBorders>
            <w:vAlign w:val="center"/>
          </w:tcPr>
          <w:p w14:paraId="06411296">
            <w:pPr>
              <w:spacing w:line="240" w:lineRule="auto"/>
              <w:jc w:val="center"/>
              <w:rPr>
                <w:color w:val="000000"/>
                <w:sz w:val="21"/>
                <w:szCs w:val="21"/>
              </w:rPr>
            </w:pPr>
            <w:r>
              <w:rPr>
                <w:color w:val="000000"/>
                <w:sz w:val="21"/>
                <w:szCs w:val="21"/>
              </w:rPr>
              <w:t>绥宁云峰新能源有限公司</w:t>
            </w:r>
          </w:p>
        </w:tc>
        <w:tc>
          <w:tcPr>
            <w:tcW w:w="1162" w:type="dxa"/>
            <w:tcBorders>
              <w:tl2br w:val="nil"/>
              <w:tr2bl w:val="nil"/>
            </w:tcBorders>
            <w:vAlign w:val="center"/>
          </w:tcPr>
          <w:p w14:paraId="37DFBF31">
            <w:pPr>
              <w:spacing w:line="240" w:lineRule="auto"/>
              <w:jc w:val="center"/>
              <w:rPr>
                <w:rFonts w:hint="default" w:eastAsia="宋体"/>
                <w:color w:val="000000"/>
                <w:sz w:val="21"/>
                <w:szCs w:val="21"/>
                <w:lang w:val="en-US" w:eastAsia="zh-CN"/>
              </w:rPr>
            </w:pPr>
            <w:r>
              <w:rPr>
                <w:rFonts w:hint="eastAsia"/>
                <w:color w:val="000000"/>
                <w:sz w:val="21"/>
                <w:szCs w:val="21"/>
                <w:lang w:val="en-US" w:eastAsia="zh-CN"/>
              </w:rPr>
              <w:t>停产</w:t>
            </w:r>
          </w:p>
        </w:tc>
        <w:tc>
          <w:tcPr>
            <w:tcW w:w="744" w:type="dxa"/>
            <w:tcBorders>
              <w:tl2br w:val="nil"/>
              <w:tr2bl w:val="nil"/>
            </w:tcBorders>
            <w:vAlign w:val="center"/>
          </w:tcPr>
          <w:p w14:paraId="62C4D9D2">
            <w:pPr>
              <w:spacing w:line="240" w:lineRule="auto"/>
              <w:jc w:val="center"/>
              <w:rPr>
                <w:color w:val="000000"/>
                <w:sz w:val="21"/>
                <w:szCs w:val="21"/>
              </w:rPr>
            </w:pPr>
            <w:r>
              <w:rPr>
                <w:rFonts w:hint="eastAsia"/>
                <w:color w:val="000000"/>
                <w:sz w:val="21"/>
                <w:szCs w:val="21"/>
              </w:rPr>
              <w:t>水泥</w:t>
            </w:r>
          </w:p>
        </w:tc>
        <w:tc>
          <w:tcPr>
            <w:tcW w:w="784" w:type="dxa"/>
            <w:tcBorders>
              <w:tl2br w:val="nil"/>
              <w:tr2bl w:val="nil"/>
            </w:tcBorders>
            <w:vAlign w:val="center"/>
          </w:tcPr>
          <w:p w14:paraId="103B46AA">
            <w:pPr>
              <w:spacing w:line="240" w:lineRule="auto"/>
              <w:jc w:val="center"/>
              <w:rPr>
                <w:color w:val="000000"/>
                <w:sz w:val="21"/>
                <w:szCs w:val="21"/>
              </w:rPr>
            </w:pPr>
            <w:r>
              <w:rPr>
                <w:rFonts w:hint="eastAsia"/>
                <w:color w:val="000000"/>
                <w:sz w:val="21"/>
                <w:szCs w:val="21"/>
              </w:rPr>
              <w:t>60</w:t>
            </w:r>
            <w:r>
              <w:rPr>
                <w:color w:val="000000"/>
                <w:sz w:val="21"/>
                <w:szCs w:val="21"/>
              </w:rPr>
              <w:t>万吨/a</w:t>
            </w:r>
          </w:p>
        </w:tc>
        <w:tc>
          <w:tcPr>
            <w:tcW w:w="1567" w:type="dxa"/>
            <w:tcBorders>
              <w:tl2br w:val="nil"/>
              <w:tr2bl w:val="nil"/>
            </w:tcBorders>
            <w:vAlign w:val="center"/>
          </w:tcPr>
          <w:p w14:paraId="1949F234">
            <w:pPr>
              <w:spacing w:line="240" w:lineRule="auto"/>
              <w:jc w:val="center"/>
              <w:rPr>
                <w:color w:val="000000"/>
                <w:sz w:val="21"/>
                <w:szCs w:val="21"/>
              </w:rPr>
            </w:pPr>
            <w:r>
              <w:rPr>
                <w:rFonts w:hint="eastAsia"/>
                <w:color w:val="000000"/>
                <w:sz w:val="21"/>
                <w:szCs w:val="21"/>
              </w:rPr>
              <w:t>水泥熟料</w:t>
            </w:r>
          </w:p>
        </w:tc>
        <w:tc>
          <w:tcPr>
            <w:tcW w:w="2037" w:type="dxa"/>
            <w:tcBorders>
              <w:tl2br w:val="nil"/>
              <w:tr2bl w:val="nil"/>
            </w:tcBorders>
            <w:vAlign w:val="center"/>
          </w:tcPr>
          <w:p w14:paraId="1D029D20">
            <w:pPr>
              <w:spacing w:line="240" w:lineRule="auto"/>
              <w:jc w:val="center"/>
              <w:rPr>
                <w:color w:val="000000"/>
                <w:sz w:val="21"/>
                <w:szCs w:val="21"/>
              </w:rPr>
            </w:pPr>
            <w:r>
              <w:rPr>
                <w:color w:val="000000"/>
                <w:sz w:val="21"/>
                <w:szCs w:val="21"/>
              </w:rPr>
              <w:t>废水循环利用</w:t>
            </w:r>
            <w:r>
              <w:rPr>
                <w:rFonts w:hint="eastAsia"/>
                <w:color w:val="000000"/>
                <w:sz w:val="21"/>
                <w:szCs w:val="21"/>
              </w:rPr>
              <w:t>，无废水外排；</w:t>
            </w:r>
            <w:r>
              <w:rPr>
                <w:color w:val="000000"/>
                <w:sz w:val="21"/>
                <w:szCs w:val="21"/>
              </w:rPr>
              <w:t>废气采用脉冲布袋除尘器+排气筒等处理措施处理后达标排放</w:t>
            </w:r>
          </w:p>
        </w:tc>
        <w:tc>
          <w:tcPr>
            <w:tcW w:w="1080" w:type="dxa"/>
            <w:tcBorders>
              <w:tl2br w:val="nil"/>
              <w:tr2bl w:val="nil"/>
            </w:tcBorders>
            <w:vAlign w:val="center"/>
          </w:tcPr>
          <w:p w14:paraId="4CF08A8C">
            <w:pPr>
              <w:spacing w:line="240" w:lineRule="auto"/>
              <w:jc w:val="center"/>
              <w:rPr>
                <w:color w:val="000000"/>
                <w:sz w:val="21"/>
                <w:szCs w:val="21"/>
              </w:rPr>
            </w:pPr>
            <w:r>
              <w:rPr>
                <w:rFonts w:hint="eastAsia"/>
                <w:color w:val="000000"/>
                <w:sz w:val="21"/>
                <w:szCs w:val="21"/>
              </w:rPr>
              <w:t>/</w:t>
            </w:r>
          </w:p>
        </w:tc>
        <w:tc>
          <w:tcPr>
            <w:tcW w:w="1741" w:type="dxa"/>
            <w:tcBorders>
              <w:tl2br w:val="nil"/>
              <w:tr2bl w:val="nil"/>
            </w:tcBorders>
            <w:vAlign w:val="center"/>
          </w:tcPr>
          <w:p w14:paraId="13676F3A">
            <w:pPr>
              <w:spacing w:line="240" w:lineRule="auto"/>
              <w:jc w:val="center"/>
              <w:rPr>
                <w:color w:val="000000"/>
                <w:sz w:val="21"/>
                <w:szCs w:val="21"/>
              </w:rPr>
            </w:pPr>
            <w:r>
              <w:rPr>
                <w:color w:val="000000"/>
                <w:sz w:val="21"/>
                <w:szCs w:val="21"/>
              </w:rPr>
              <w:t>取水口上游2km S2</w:t>
            </w:r>
            <w:r>
              <w:rPr>
                <w:rFonts w:hint="eastAsia"/>
                <w:color w:val="000000"/>
                <w:sz w:val="21"/>
                <w:szCs w:val="21"/>
              </w:rPr>
              <w:t>48</w:t>
            </w:r>
            <w:r>
              <w:rPr>
                <w:color w:val="000000"/>
                <w:sz w:val="21"/>
                <w:szCs w:val="21"/>
              </w:rPr>
              <w:t>北侧</w:t>
            </w:r>
          </w:p>
        </w:tc>
        <w:tc>
          <w:tcPr>
            <w:tcW w:w="1567" w:type="dxa"/>
            <w:tcBorders>
              <w:tl2br w:val="nil"/>
              <w:tr2bl w:val="nil"/>
            </w:tcBorders>
            <w:vAlign w:val="center"/>
          </w:tcPr>
          <w:p w14:paraId="234C4149">
            <w:pPr>
              <w:spacing w:line="240" w:lineRule="auto"/>
              <w:jc w:val="center"/>
              <w:rPr>
                <w:color w:val="000000"/>
                <w:sz w:val="21"/>
                <w:szCs w:val="21"/>
              </w:rPr>
            </w:pPr>
            <w:r>
              <w:rPr>
                <w:color w:val="000000"/>
                <w:sz w:val="21"/>
                <w:szCs w:val="21"/>
              </w:rPr>
              <w:t>有应急事故池，围堰等</w:t>
            </w:r>
          </w:p>
        </w:tc>
      </w:tr>
      <w:tr w14:paraId="2EB00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478" w:type="dxa"/>
            <w:tcBorders>
              <w:tl2br w:val="nil"/>
              <w:tr2bl w:val="nil"/>
            </w:tcBorders>
            <w:vAlign w:val="center"/>
          </w:tcPr>
          <w:p w14:paraId="0400B9C0">
            <w:pPr>
              <w:spacing w:line="240" w:lineRule="auto"/>
              <w:jc w:val="center"/>
              <w:rPr>
                <w:color w:val="000000"/>
                <w:sz w:val="21"/>
                <w:szCs w:val="21"/>
              </w:rPr>
            </w:pPr>
            <w:r>
              <w:rPr>
                <w:rFonts w:hint="eastAsia"/>
                <w:color w:val="000000"/>
                <w:sz w:val="21"/>
                <w:szCs w:val="21"/>
              </w:rPr>
              <w:t>2</w:t>
            </w:r>
          </w:p>
        </w:tc>
        <w:tc>
          <w:tcPr>
            <w:tcW w:w="1205" w:type="dxa"/>
            <w:vMerge w:val="continue"/>
            <w:tcBorders>
              <w:tl2br w:val="nil"/>
              <w:tr2bl w:val="nil"/>
            </w:tcBorders>
            <w:vAlign w:val="center"/>
          </w:tcPr>
          <w:p w14:paraId="12F60934">
            <w:pPr>
              <w:spacing w:line="240" w:lineRule="auto"/>
              <w:jc w:val="center"/>
              <w:rPr>
                <w:color w:val="000000"/>
                <w:sz w:val="21"/>
                <w:szCs w:val="21"/>
              </w:rPr>
            </w:pPr>
          </w:p>
        </w:tc>
        <w:tc>
          <w:tcPr>
            <w:tcW w:w="1730" w:type="dxa"/>
            <w:tcBorders>
              <w:tl2br w:val="nil"/>
              <w:tr2bl w:val="nil"/>
            </w:tcBorders>
            <w:vAlign w:val="center"/>
          </w:tcPr>
          <w:p w14:paraId="27E9AD32">
            <w:pPr>
              <w:spacing w:line="240" w:lineRule="auto"/>
              <w:jc w:val="center"/>
              <w:rPr>
                <w:color w:val="000000"/>
                <w:sz w:val="21"/>
                <w:szCs w:val="21"/>
              </w:rPr>
            </w:pPr>
            <w:r>
              <w:rPr>
                <w:color w:val="000000"/>
                <w:sz w:val="21"/>
                <w:szCs w:val="21"/>
              </w:rPr>
              <w:t>绥宁县关峡鑫峰木制品厂</w:t>
            </w:r>
          </w:p>
        </w:tc>
        <w:tc>
          <w:tcPr>
            <w:tcW w:w="1162" w:type="dxa"/>
            <w:tcBorders>
              <w:tl2br w:val="nil"/>
              <w:tr2bl w:val="nil"/>
            </w:tcBorders>
            <w:vAlign w:val="center"/>
          </w:tcPr>
          <w:p w14:paraId="1F9EDE9A">
            <w:pPr>
              <w:spacing w:line="240" w:lineRule="auto"/>
              <w:jc w:val="center"/>
              <w:rPr>
                <w:color w:val="000000"/>
                <w:sz w:val="21"/>
                <w:szCs w:val="21"/>
              </w:rPr>
            </w:pPr>
            <w:r>
              <w:rPr>
                <w:rFonts w:hint="eastAsia"/>
                <w:color w:val="000000"/>
                <w:sz w:val="21"/>
                <w:szCs w:val="21"/>
              </w:rPr>
              <w:t>运营</w:t>
            </w:r>
          </w:p>
        </w:tc>
        <w:tc>
          <w:tcPr>
            <w:tcW w:w="744" w:type="dxa"/>
            <w:tcBorders>
              <w:tl2br w:val="nil"/>
              <w:tr2bl w:val="nil"/>
            </w:tcBorders>
            <w:vAlign w:val="center"/>
          </w:tcPr>
          <w:p w14:paraId="5E7B96FD">
            <w:pPr>
              <w:spacing w:line="240" w:lineRule="auto"/>
              <w:jc w:val="center"/>
              <w:rPr>
                <w:color w:val="000000"/>
                <w:sz w:val="21"/>
                <w:szCs w:val="21"/>
              </w:rPr>
            </w:pPr>
            <w:r>
              <w:rPr>
                <w:rFonts w:hint="eastAsia"/>
                <w:color w:val="000000"/>
                <w:sz w:val="21"/>
                <w:szCs w:val="21"/>
              </w:rPr>
              <w:t>锯材</w:t>
            </w:r>
          </w:p>
        </w:tc>
        <w:tc>
          <w:tcPr>
            <w:tcW w:w="784" w:type="dxa"/>
            <w:tcBorders>
              <w:tl2br w:val="nil"/>
              <w:tr2bl w:val="nil"/>
            </w:tcBorders>
            <w:vAlign w:val="center"/>
          </w:tcPr>
          <w:p w14:paraId="10D392DF">
            <w:pPr>
              <w:spacing w:line="240" w:lineRule="auto"/>
              <w:jc w:val="center"/>
              <w:rPr>
                <w:color w:val="000000"/>
                <w:sz w:val="21"/>
                <w:szCs w:val="21"/>
              </w:rPr>
            </w:pPr>
            <w:r>
              <w:rPr>
                <w:rFonts w:hint="eastAsia"/>
                <w:color w:val="000000"/>
                <w:sz w:val="21"/>
                <w:szCs w:val="21"/>
              </w:rPr>
              <w:t>1000m</w:t>
            </w:r>
            <w:r>
              <w:rPr>
                <w:rFonts w:hint="eastAsia"/>
                <w:color w:val="000000"/>
                <w:sz w:val="21"/>
                <w:szCs w:val="21"/>
                <w:vertAlign w:val="superscript"/>
              </w:rPr>
              <w:t>3</w:t>
            </w:r>
            <w:r>
              <w:rPr>
                <w:rFonts w:hint="eastAsia"/>
                <w:color w:val="000000"/>
                <w:sz w:val="21"/>
                <w:szCs w:val="21"/>
              </w:rPr>
              <w:t>/a</w:t>
            </w:r>
          </w:p>
        </w:tc>
        <w:tc>
          <w:tcPr>
            <w:tcW w:w="1567" w:type="dxa"/>
            <w:tcBorders>
              <w:tl2br w:val="nil"/>
              <w:tr2bl w:val="nil"/>
            </w:tcBorders>
            <w:vAlign w:val="center"/>
          </w:tcPr>
          <w:p w14:paraId="7965E34B">
            <w:pPr>
              <w:spacing w:line="240" w:lineRule="auto"/>
              <w:jc w:val="center"/>
              <w:rPr>
                <w:color w:val="000000"/>
                <w:sz w:val="21"/>
                <w:szCs w:val="21"/>
              </w:rPr>
            </w:pPr>
            <w:r>
              <w:rPr>
                <w:rFonts w:hint="eastAsia"/>
                <w:color w:val="000000"/>
                <w:sz w:val="21"/>
                <w:szCs w:val="21"/>
              </w:rPr>
              <w:t>原木</w:t>
            </w:r>
          </w:p>
        </w:tc>
        <w:tc>
          <w:tcPr>
            <w:tcW w:w="2037" w:type="dxa"/>
            <w:tcBorders>
              <w:tl2br w:val="nil"/>
              <w:tr2bl w:val="nil"/>
            </w:tcBorders>
            <w:vAlign w:val="center"/>
          </w:tcPr>
          <w:p w14:paraId="2B51373D">
            <w:pPr>
              <w:spacing w:line="240" w:lineRule="auto"/>
              <w:jc w:val="center"/>
              <w:rPr>
                <w:color w:val="000000"/>
                <w:sz w:val="21"/>
                <w:szCs w:val="21"/>
              </w:rPr>
            </w:pPr>
            <w:r>
              <w:rPr>
                <w:color w:val="000000"/>
                <w:sz w:val="21"/>
                <w:szCs w:val="21"/>
              </w:rPr>
              <w:t>无废水外排，主要废气污染物为颗粒物</w:t>
            </w:r>
          </w:p>
        </w:tc>
        <w:tc>
          <w:tcPr>
            <w:tcW w:w="1080" w:type="dxa"/>
            <w:tcBorders>
              <w:tl2br w:val="nil"/>
              <w:tr2bl w:val="nil"/>
            </w:tcBorders>
            <w:vAlign w:val="center"/>
          </w:tcPr>
          <w:p w14:paraId="38E20D1B">
            <w:pPr>
              <w:spacing w:line="240" w:lineRule="auto"/>
              <w:jc w:val="center"/>
              <w:rPr>
                <w:color w:val="000000"/>
                <w:sz w:val="21"/>
                <w:szCs w:val="21"/>
              </w:rPr>
            </w:pPr>
            <w:r>
              <w:rPr>
                <w:rFonts w:hint="eastAsia"/>
                <w:color w:val="000000"/>
                <w:sz w:val="21"/>
                <w:szCs w:val="21"/>
              </w:rPr>
              <w:t>/</w:t>
            </w:r>
          </w:p>
        </w:tc>
        <w:tc>
          <w:tcPr>
            <w:tcW w:w="1741" w:type="dxa"/>
            <w:tcBorders>
              <w:tl2br w:val="nil"/>
              <w:tr2bl w:val="nil"/>
            </w:tcBorders>
            <w:vAlign w:val="center"/>
          </w:tcPr>
          <w:p w14:paraId="3986E78C">
            <w:pPr>
              <w:spacing w:line="240" w:lineRule="auto"/>
              <w:jc w:val="center"/>
              <w:rPr>
                <w:color w:val="000000"/>
                <w:sz w:val="21"/>
                <w:szCs w:val="21"/>
              </w:rPr>
            </w:pPr>
            <w:r>
              <w:rPr>
                <w:color w:val="000000"/>
                <w:sz w:val="21"/>
                <w:szCs w:val="21"/>
              </w:rPr>
              <w:t>取水口上游2.5Km处省道S248南侧</w:t>
            </w:r>
          </w:p>
        </w:tc>
        <w:tc>
          <w:tcPr>
            <w:tcW w:w="1567" w:type="dxa"/>
            <w:tcBorders>
              <w:tl2br w:val="nil"/>
              <w:tr2bl w:val="nil"/>
            </w:tcBorders>
            <w:vAlign w:val="center"/>
          </w:tcPr>
          <w:p w14:paraId="71DA2223">
            <w:pPr>
              <w:spacing w:line="240" w:lineRule="auto"/>
              <w:jc w:val="center"/>
              <w:rPr>
                <w:color w:val="000000"/>
                <w:sz w:val="21"/>
                <w:szCs w:val="21"/>
              </w:rPr>
            </w:pPr>
            <w:r>
              <w:rPr>
                <w:rFonts w:hint="eastAsia"/>
                <w:color w:val="000000"/>
                <w:sz w:val="21"/>
                <w:szCs w:val="21"/>
              </w:rPr>
              <w:t>/</w:t>
            </w:r>
          </w:p>
        </w:tc>
      </w:tr>
      <w:tr w14:paraId="5EA83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78" w:type="dxa"/>
            <w:tcBorders>
              <w:tl2br w:val="nil"/>
              <w:tr2bl w:val="nil"/>
            </w:tcBorders>
            <w:vAlign w:val="center"/>
          </w:tcPr>
          <w:p w14:paraId="1FCC9BAC">
            <w:pPr>
              <w:spacing w:line="240" w:lineRule="auto"/>
              <w:jc w:val="center"/>
              <w:rPr>
                <w:color w:val="000000"/>
                <w:sz w:val="21"/>
                <w:szCs w:val="21"/>
              </w:rPr>
            </w:pPr>
            <w:r>
              <w:rPr>
                <w:rFonts w:hint="eastAsia"/>
                <w:color w:val="000000"/>
                <w:sz w:val="21"/>
                <w:szCs w:val="21"/>
              </w:rPr>
              <w:t>3</w:t>
            </w:r>
          </w:p>
        </w:tc>
        <w:tc>
          <w:tcPr>
            <w:tcW w:w="1205" w:type="dxa"/>
            <w:vMerge w:val="continue"/>
            <w:tcBorders>
              <w:tl2br w:val="nil"/>
              <w:tr2bl w:val="nil"/>
            </w:tcBorders>
            <w:vAlign w:val="center"/>
          </w:tcPr>
          <w:p w14:paraId="2E2AF379">
            <w:pPr>
              <w:spacing w:line="240" w:lineRule="auto"/>
              <w:jc w:val="center"/>
              <w:rPr>
                <w:color w:val="000000"/>
                <w:sz w:val="21"/>
                <w:szCs w:val="21"/>
              </w:rPr>
            </w:pPr>
          </w:p>
        </w:tc>
        <w:tc>
          <w:tcPr>
            <w:tcW w:w="1730" w:type="dxa"/>
            <w:tcBorders>
              <w:tl2br w:val="nil"/>
              <w:tr2bl w:val="nil"/>
            </w:tcBorders>
            <w:vAlign w:val="center"/>
          </w:tcPr>
          <w:p w14:paraId="07872F63">
            <w:pPr>
              <w:spacing w:line="240" w:lineRule="auto"/>
              <w:jc w:val="center"/>
              <w:rPr>
                <w:color w:val="000000"/>
                <w:sz w:val="21"/>
                <w:szCs w:val="21"/>
              </w:rPr>
            </w:pPr>
            <w:r>
              <w:rPr>
                <w:color w:val="000000"/>
                <w:sz w:val="21"/>
                <w:szCs w:val="21"/>
              </w:rPr>
              <w:t>绥宁县友娣竹木制品厂</w:t>
            </w:r>
          </w:p>
        </w:tc>
        <w:tc>
          <w:tcPr>
            <w:tcW w:w="1162" w:type="dxa"/>
            <w:tcBorders>
              <w:tl2br w:val="nil"/>
              <w:tr2bl w:val="nil"/>
            </w:tcBorders>
            <w:vAlign w:val="center"/>
          </w:tcPr>
          <w:p w14:paraId="4C1DF94A">
            <w:pPr>
              <w:spacing w:line="240" w:lineRule="auto"/>
              <w:jc w:val="center"/>
              <w:rPr>
                <w:rFonts w:hint="eastAsia"/>
                <w:color w:val="000000"/>
                <w:sz w:val="21"/>
                <w:szCs w:val="21"/>
              </w:rPr>
            </w:pPr>
            <w:r>
              <w:rPr>
                <w:color w:val="000000"/>
                <w:sz w:val="21"/>
                <w:szCs w:val="21"/>
              </w:rPr>
              <w:t>运营</w:t>
            </w:r>
          </w:p>
        </w:tc>
        <w:tc>
          <w:tcPr>
            <w:tcW w:w="744" w:type="dxa"/>
            <w:tcBorders>
              <w:tl2br w:val="nil"/>
              <w:tr2bl w:val="nil"/>
            </w:tcBorders>
            <w:vAlign w:val="center"/>
          </w:tcPr>
          <w:p w14:paraId="7E9487A1">
            <w:pPr>
              <w:spacing w:line="240" w:lineRule="auto"/>
              <w:jc w:val="center"/>
              <w:rPr>
                <w:rFonts w:hint="eastAsia"/>
                <w:color w:val="000000"/>
                <w:sz w:val="21"/>
                <w:szCs w:val="21"/>
              </w:rPr>
            </w:pPr>
            <w:r>
              <w:rPr>
                <w:rFonts w:hint="eastAsia"/>
                <w:color w:val="000000"/>
                <w:sz w:val="21"/>
                <w:szCs w:val="21"/>
              </w:rPr>
              <w:t>锯材</w:t>
            </w:r>
          </w:p>
        </w:tc>
        <w:tc>
          <w:tcPr>
            <w:tcW w:w="784" w:type="dxa"/>
            <w:tcBorders>
              <w:tl2br w:val="nil"/>
              <w:tr2bl w:val="nil"/>
            </w:tcBorders>
            <w:vAlign w:val="center"/>
          </w:tcPr>
          <w:p w14:paraId="7A43651E">
            <w:pPr>
              <w:spacing w:line="240" w:lineRule="auto"/>
              <w:jc w:val="center"/>
              <w:rPr>
                <w:rFonts w:hint="eastAsia"/>
                <w:color w:val="000000"/>
                <w:sz w:val="21"/>
                <w:szCs w:val="21"/>
              </w:rPr>
            </w:pPr>
            <w:r>
              <w:rPr>
                <w:rFonts w:hint="eastAsia"/>
                <w:color w:val="000000"/>
                <w:sz w:val="21"/>
                <w:szCs w:val="21"/>
              </w:rPr>
              <w:t>30m</w:t>
            </w:r>
            <w:r>
              <w:rPr>
                <w:rFonts w:hint="eastAsia"/>
                <w:color w:val="000000"/>
                <w:sz w:val="21"/>
                <w:szCs w:val="21"/>
                <w:vertAlign w:val="superscript"/>
              </w:rPr>
              <w:t>3</w:t>
            </w:r>
            <w:r>
              <w:rPr>
                <w:rFonts w:hint="eastAsia"/>
                <w:color w:val="000000"/>
                <w:sz w:val="21"/>
                <w:szCs w:val="21"/>
              </w:rPr>
              <w:t>/a</w:t>
            </w:r>
          </w:p>
        </w:tc>
        <w:tc>
          <w:tcPr>
            <w:tcW w:w="1567" w:type="dxa"/>
            <w:tcBorders>
              <w:tl2br w:val="nil"/>
              <w:tr2bl w:val="nil"/>
            </w:tcBorders>
            <w:vAlign w:val="center"/>
          </w:tcPr>
          <w:p w14:paraId="7DBCB95B">
            <w:pPr>
              <w:spacing w:line="240" w:lineRule="auto"/>
              <w:jc w:val="center"/>
              <w:rPr>
                <w:rFonts w:hint="eastAsia"/>
                <w:color w:val="000000"/>
                <w:sz w:val="21"/>
                <w:szCs w:val="21"/>
              </w:rPr>
            </w:pPr>
            <w:r>
              <w:rPr>
                <w:rFonts w:hint="eastAsia"/>
                <w:color w:val="000000"/>
                <w:sz w:val="21"/>
                <w:szCs w:val="21"/>
              </w:rPr>
              <w:t>原木</w:t>
            </w:r>
          </w:p>
        </w:tc>
        <w:tc>
          <w:tcPr>
            <w:tcW w:w="2037" w:type="dxa"/>
            <w:tcBorders>
              <w:tl2br w:val="nil"/>
              <w:tr2bl w:val="nil"/>
            </w:tcBorders>
            <w:vAlign w:val="center"/>
          </w:tcPr>
          <w:p w14:paraId="0D71167A">
            <w:pPr>
              <w:spacing w:line="240" w:lineRule="auto"/>
              <w:jc w:val="center"/>
              <w:rPr>
                <w:color w:val="000000"/>
                <w:sz w:val="21"/>
                <w:szCs w:val="21"/>
              </w:rPr>
            </w:pPr>
            <w:r>
              <w:rPr>
                <w:color w:val="000000"/>
                <w:sz w:val="21"/>
                <w:szCs w:val="21"/>
              </w:rPr>
              <w:t>无废水外排，主要废气污染物为颗粒物</w:t>
            </w:r>
          </w:p>
        </w:tc>
        <w:tc>
          <w:tcPr>
            <w:tcW w:w="1080" w:type="dxa"/>
            <w:tcBorders>
              <w:tl2br w:val="nil"/>
              <w:tr2bl w:val="nil"/>
            </w:tcBorders>
            <w:vAlign w:val="center"/>
          </w:tcPr>
          <w:p w14:paraId="0A275DD5">
            <w:pPr>
              <w:spacing w:line="240" w:lineRule="auto"/>
              <w:jc w:val="center"/>
              <w:rPr>
                <w:rFonts w:hint="eastAsia"/>
                <w:color w:val="000000"/>
                <w:sz w:val="21"/>
                <w:szCs w:val="21"/>
              </w:rPr>
            </w:pPr>
            <w:r>
              <w:rPr>
                <w:rFonts w:hint="eastAsia"/>
                <w:color w:val="000000"/>
                <w:sz w:val="21"/>
                <w:szCs w:val="21"/>
              </w:rPr>
              <w:t>/</w:t>
            </w:r>
          </w:p>
        </w:tc>
        <w:tc>
          <w:tcPr>
            <w:tcW w:w="1741" w:type="dxa"/>
            <w:tcBorders>
              <w:tl2br w:val="nil"/>
              <w:tr2bl w:val="nil"/>
            </w:tcBorders>
            <w:vAlign w:val="center"/>
          </w:tcPr>
          <w:p w14:paraId="3044F08B">
            <w:pPr>
              <w:spacing w:line="240" w:lineRule="auto"/>
              <w:jc w:val="center"/>
              <w:rPr>
                <w:color w:val="000000"/>
                <w:sz w:val="21"/>
                <w:szCs w:val="21"/>
              </w:rPr>
            </w:pPr>
            <w:r>
              <w:rPr>
                <w:color w:val="000000"/>
                <w:sz w:val="21"/>
                <w:szCs w:val="21"/>
              </w:rPr>
              <w:t>取水口上游2.3Km处省道S248北侧</w:t>
            </w:r>
          </w:p>
        </w:tc>
        <w:tc>
          <w:tcPr>
            <w:tcW w:w="1567" w:type="dxa"/>
            <w:tcBorders>
              <w:tl2br w:val="nil"/>
              <w:tr2bl w:val="nil"/>
            </w:tcBorders>
            <w:vAlign w:val="center"/>
          </w:tcPr>
          <w:p w14:paraId="4EAD0051">
            <w:pPr>
              <w:spacing w:line="240" w:lineRule="auto"/>
              <w:jc w:val="center"/>
              <w:rPr>
                <w:rFonts w:hint="eastAsia"/>
                <w:color w:val="000000"/>
                <w:sz w:val="21"/>
                <w:szCs w:val="21"/>
              </w:rPr>
            </w:pPr>
            <w:r>
              <w:rPr>
                <w:rFonts w:hint="eastAsia"/>
                <w:color w:val="000000"/>
                <w:sz w:val="21"/>
                <w:szCs w:val="21"/>
              </w:rPr>
              <w:t>/</w:t>
            </w:r>
          </w:p>
        </w:tc>
      </w:tr>
      <w:tr w14:paraId="7C3C9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478" w:type="dxa"/>
            <w:tcBorders>
              <w:tl2br w:val="nil"/>
              <w:tr2bl w:val="nil"/>
            </w:tcBorders>
            <w:vAlign w:val="center"/>
          </w:tcPr>
          <w:p w14:paraId="724DA840">
            <w:pPr>
              <w:spacing w:line="240" w:lineRule="auto"/>
              <w:jc w:val="center"/>
              <w:rPr>
                <w:color w:val="000000"/>
                <w:sz w:val="21"/>
                <w:szCs w:val="21"/>
              </w:rPr>
            </w:pPr>
            <w:r>
              <w:rPr>
                <w:rFonts w:hint="eastAsia"/>
                <w:color w:val="000000"/>
                <w:sz w:val="21"/>
                <w:szCs w:val="21"/>
              </w:rPr>
              <w:t>4</w:t>
            </w:r>
          </w:p>
        </w:tc>
        <w:tc>
          <w:tcPr>
            <w:tcW w:w="1205" w:type="dxa"/>
            <w:vMerge w:val="continue"/>
            <w:tcBorders>
              <w:tl2br w:val="nil"/>
              <w:tr2bl w:val="nil"/>
            </w:tcBorders>
            <w:vAlign w:val="center"/>
          </w:tcPr>
          <w:p w14:paraId="47794224">
            <w:pPr>
              <w:spacing w:line="240" w:lineRule="auto"/>
              <w:jc w:val="center"/>
              <w:rPr>
                <w:color w:val="000000"/>
                <w:sz w:val="21"/>
                <w:szCs w:val="21"/>
              </w:rPr>
            </w:pPr>
          </w:p>
        </w:tc>
        <w:tc>
          <w:tcPr>
            <w:tcW w:w="1730" w:type="dxa"/>
            <w:tcBorders>
              <w:tl2br w:val="nil"/>
              <w:tr2bl w:val="nil"/>
            </w:tcBorders>
            <w:vAlign w:val="center"/>
          </w:tcPr>
          <w:p w14:paraId="51905AB9">
            <w:pPr>
              <w:spacing w:line="240" w:lineRule="auto"/>
              <w:jc w:val="center"/>
              <w:rPr>
                <w:color w:val="000000"/>
                <w:sz w:val="21"/>
                <w:szCs w:val="21"/>
              </w:rPr>
            </w:pPr>
            <w:r>
              <w:rPr>
                <w:rFonts w:hint="eastAsia"/>
                <w:color w:val="000000"/>
                <w:sz w:val="21"/>
                <w:szCs w:val="21"/>
              </w:rPr>
              <w:t>绥宁县关峡乡自来水厂</w:t>
            </w:r>
          </w:p>
        </w:tc>
        <w:tc>
          <w:tcPr>
            <w:tcW w:w="1162" w:type="dxa"/>
            <w:tcBorders>
              <w:tl2br w:val="nil"/>
              <w:tr2bl w:val="nil"/>
            </w:tcBorders>
            <w:vAlign w:val="center"/>
          </w:tcPr>
          <w:p w14:paraId="17DEAFC1">
            <w:pPr>
              <w:spacing w:line="240" w:lineRule="auto"/>
              <w:jc w:val="center"/>
              <w:rPr>
                <w:color w:val="000000"/>
                <w:sz w:val="21"/>
                <w:szCs w:val="21"/>
              </w:rPr>
            </w:pPr>
            <w:r>
              <w:rPr>
                <w:rFonts w:hint="eastAsia"/>
                <w:color w:val="000000"/>
                <w:sz w:val="21"/>
                <w:szCs w:val="21"/>
              </w:rPr>
              <w:t>运营</w:t>
            </w:r>
          </w:p>
        </w:tc>
        <w:tc>
          <w:tcPr>
            <w:tcW w:w="744" w:type="dxa"/>
            <w:tcBorders>
              <w:tl2br w:val="nil"/>
              <w:tr2bl w:val="nil"/>
            </w:tcBorders>
            <w:vAlign w:val="center"/>
          </w:tcPr>
          <w:p w14:paraId="02F1FA08">
            <w:pPr>
              <w:spacing w:line="240" w:lineRule="auto"/>
              <w:jc w:val="center"/>
              <w:rPr>
                <w:color w:val="000000"/>
                <w:sz w:val="21"/>
                <w:szCs w:val="21"/>
              </w:rPr>
            </w:pPr>
            <w:r>
              <w:rPr>
                <w:rFonts w:hint="eastAsia"/>
                <w:color w:val="000000"/>
                <w:sz w:val="21"/>
                <w:szCs w:val="21"/>
              </w:rPr>
              <w:t>自来水</w:t>
            </w:r>
          </w:p>
        </w:tc>
        <w:tc>
          <w:tcPr>
            <w:tcW w:w="784" w:type="dxa"/>
            <w:tcBorders>
              <w:tl2br w:val="nil"/>
              <w:tr2bl w:val="nil"/>
            </w:tcBorders>
            <w:vAlign w:val="center"/>
          </w:tcPr>
          <w:p w14:paraId="513804F6">
            <w:pPr>
              <w:spacing w:line="240" w:lineRule="auto"/>
              <w:jc w:val="center"/>
              <w:rPr>
                <w:color w:val="000000"/>
                <w:sz w:val="21"/>
                <w:szCs w:val="21"/>
              </w:rPr>
            </w:pPr>
            <w:r>
              <w:rPr>
                <w:rFonts w:hint="eastAsia"/>
                <w:color w:val="000000"/>
                <w:sz w:val="21"/>
                <w:szCs w:val="21"/>
              </w:rPr>
              <w:t>1500m</w:t>
            </w:r>
            <w:r>
              <w:rPr>
                <w:rFonts w:hint="eastAsia"/>
                <w:color w:val="000000"/>
                <w:sz w:val="21"/>
                <w:szCs w:val="21"/>
                <w:vertAlign w:val="superscript"/>
              </w:rPr>
              <w:t>3</w:t>
            </w:r>
            <w:r>
              <w:rPr>
                <w:rFonts w:hint="eastAsia"/>
                <w:color w:val="000000"/>
                <w:sz w:val="21"/>
                <w:szCs w:val="21"/>
              </w:rPr>
              <w:t>/d</w:t>
            </w:r>
          </w:p>
        </w:tc>
        <w:tc>
          <w:tcPr>
            <w:tcW w:w="1567" w:type="dxa"/>
            <w:tcBorders>
              <w:tl2br w:val="nil"/>
              <w:tr2bl w:val="nil"/>
            </w:tcBorders>
            <w:vAlign w:val="center"/>
          </w:tcPr>
          <w:p w14:paraId="6E0E53D4">
            <w:pPr>
              <w:spacing w:line="240" w:lineRule="auto"/>
              <w:jc w:val="center"/>
              <w:rPr>
                <w:color w:val="000000"/>
                <w:sz w:val="21"/>
                <w:szCs w:val="21"/>
              </w:rPr>
            </w:pPr>
            <w:r>
              <w:rPr>
                <w:rFonts w:hint="eastAsia"/>
                <w:color w:val="000000"/>
                <w:sz w:val="21"/>
                <w:szCs w:val="21"/>
              </w:rPr>
              <w:t>地表水、聚合硫酸铁</w:t>
            </w:r>
          </w:p>
        </w:tc>
        <w:tc>
          <w:tcPr>
            <w:tcW w:w="2037" w:type="dxa"/>
            <w:tcBorders>
              <w:tl2br w:val="nil"/>
              <w:tr2bl w:val="nil"/>
            </w:tcBorders>
            <w:vAlign w:val="center"/>
          </w:tcPr>
          <w:p w14:paraId="2AAB9F85">
            <w:pPr>
              <w:spacing w:line="240" w:lineRule="auto"/>
              <w:jc w:val="center"/>
              <w:rPr>
                <w:color w:val="000000"/>
                <w:sz w:val="21"/>
                <w:szCs w:val="21"/>
              </w:rPr>
            </w:pPr>
            <w:r>
              <w:rPr>
                <w:rFonts w:hint="eastAsia"/>
                <w:color w:val="000000"/>
                <w:sz w:val="21"/>
                <w:szCs w:val="21"/>
              </w:rPr>
              <w:t>水厂尾水排入兰溪</w:t>
            </w:r>
          </w:p>
        </w:tc>
        <w:tc>
          <w:tcPr>
            <w:tcW w:w="1080" w:type="dxa"/>
            <w:tcBorders>
              <w:tl2br w:val="nil"/>
              <w:tr2bl w:val="nil"/>
            </w:tcBorders>
            <w:vAlign w:val="center"/>
          </w:tcPr>
          <w:p w14:paraId="29C0ED9B">
            <w:pPr>
              <w:spacing w:line="240" w:lineRule="auto"/>
              <w:jc w:val="center"/>
              <w:rPr>
                <w:color w:val="000000"/>
                <w:sz w:val="21"/>
                <w:szCs w:val="21"/>
              </w:rPr>
            </w:pPr>
            <w:r>
              <w:rPr>
                <w:rFonts w:hint="eastAsia"/>
                <w:color w:val="000000"/>
                <w:sz w:val="21"/>
                <w:szCs w:val="21"/>
              </w:rPr>
              <w:t>存在尾水排污口</w:t>
            </w:r>
          </w:p>
        </w:tc>
        <w:tc>
          <w:tcPr>
            <w:tcW w:w="1741" w:type="dxa"/>
            <w:tcBorders>
              <w:tl2br w:val="nil"/>
              <w:tr2bl w:val="nil"/>
            </w:tcBorders>
            <w:vAlign w:val="center"/>
          </w:tcPr>
          <w:p w14:paraId="06232A9F">
            <w:pPr>
              <w:spacing w:line="240" w:lineRule="auto"/>
              <w:jc w:val="center"/>
              <w:rPr>
                <w:color w:val="000000"/>
                <w:sz w:val="21"/>
                <w:szCs w:val="21"/>
              </w:rPr>
            </w:pPr>
            <w:r>
              <w:rPr>
                <w:rFonts w:hint="eastAsia"/>
                <w:color w:val="000000"/>
                <w:sz w:val="21"/>
                <w:szCs w:val="21"/>
              </w:rPr>
              <w:t>取水口下游约100m处</w:t>
            </w:r>
          </w:p>
        </w:tc>
        <w:tc>
          <w:tcPr>
            <w:tcW w:w="1567" w:type="dxa"/>
            <w:tcBorders>
              <w:tl2br w:val="nil"/>
              <w:tr2bl w:val="nil"/>
            </w:tcBorders>
            <w:vAlign w:val="center"/>
          </w:tcPr>
          <w:p w14:paraId="2F20A0DF">
            <w:pPr>
              <w:spacing w:line="240" w:lineRule="auto"/>
              <w:jc w:val="center"/>
              <w:rPr>
                <w:rFonts w:hint="default" w:eastAsia="宋体"/>
                <w:color w:val="000000"/>
                <w:sz w:val="21"/>
                <w:szCs w:val="21"/>
                <w:lang w:val="en-US" w:eastAsia="zh-CN"/>
              </w:rPr>
            </w:pPr>
            <w:r>
              <w:rPr>
                <w:rFonts w:hint="eastAsia"/>
                <w:color w:val="000000"/>
                <w:sz w:val="21"/>
                <w:szCs w:val="21"/>
                <w:u w:val="wave"/>
                <w:lang w:val="en-US" w:eastAsia="zh-CN"/>
              </w:rPr>
              <w:t>已避开二级保护区</w:t>
            </w:r>
          </w:p>
        </w:tc>
      </w:tr>
      <w:tr w14:paraId="34856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478" w:type="dxa"/>
            <w:tcBorders>
              <w:tl2br w:val="nil"/>
              <w:tr2bl w:val="nil"/>
            </w:tcBorders>
            <w:vAlign w:val="center"/>
          </w:tcPr>
          <w:p w14:paraId="6709AC13">
            <w:pPr>
              <w:spacing w:line="240" w:lineRule="auto"/>
              <w:jc w:val="center"/>
              <w:rPr>
                <w:rFonts w:hint="eastAsia" w:eastAsia="宋体"/>
                <w:color w:val="000000"/>
                <w:sz w:val="21"/>
                <w:szCs w:val="21"/>
                <w:lang w:val="en-US" w:eastAsia="zh-CN"/>
              </w:rPr>
            </w:pPr>
            <w:r>
              <w:rPr>
                <w:rFonts w:hint="eastAsia"/>
                <w:color w:val="000000"/>
                <w:sz w:val="21"/>
                <w:szCs w:val="21"/>
                <w:lang w:val="en-US" w:eastAsia="zh-CN"/>
              </w:rPr>
              <w:t>5</w:t>
            </w:r>
          </w:p>
        </w:tc>
        <w:tc>
          <w:tcPr>
            <w:tcW w:w="1205" w:type="dxa"/>
            <w:vMerge w:val="continue"/>
            <w:tcBorders>
              <w:tl2br w:val="nil"/>
              <w:tr2bl w:val="nil"/>
            </w:tcBorders>
            <w:vAlign w:val="center"/>
          </w:tcPr>
          <w:p w14:paraId="51183C5F">
            <w:pPr>
              <w:spacing w:line="240" w:lineRule="auto"/>
              <w:jc w:val="center"/>
              <w:rPr>
                <w:color w:val="000000"/>
                <w:sz w:val="21"/>
                <w:szCs w:val="21"/>
              </w:rPr>
            </w:pPr>
          </w:p>
        </w:tc>
        <w:tc>
          <w:tcPr>
            <w:tcW w:w="1730" w:type="dxa"/>
            <w:tcBorders>
              <w:tl2br w:val="nil"/>
              <w:tr2bl w:val="nil"/>
            </w:tcBorders>
            <w:vAlign w:val="center"/>
          </w:tcPr>
          <w:p w14:paraId="1D06FCC4">
            <w:pPr>
              <w:spacing w:line="240" w:lineRule="auto"/>
              <w:jc w:val="center"/>
              <w:rPr>
                <w:rFonts w:hint="eastAsia"/>
                <w:color w:val="000000"/>
                <w:sz w:val="21"/>
                <w:szCs w:val="21"/>
              </w:rPr>
            </w:pPr>
            <w:r>
              <w:rPr>
                <w:rFonts w:hint="eastAsia"/>
                <w:color w:val="000000"/>
                <w:sz w:val="21"/>
                <w:szCs w:val="21"/>
                <w:lang w:eastAsia="zh-CN"/>
              </w:rPr>
              <w:t>绥宁县骏峰建设工程有限公司</w:t>
            </w:r>
          </w:p>
        </w:tc>
        <w:tc>
          <w:tcPr>
            <w:tcW w:w="1162" w:type="dxa"/>
            <w:tcBorders>
              <w:tl2br w:val="nil"/>
              <w:tr2bl w:val="nil"/>
            </w:tcBorders>
            <w:vAlign w:val="center"/>
          </w:tcPr>
          <w:p w14:paraId="11A19556">
            <w:pPr>
              <w:spacing w:line="240" w:lineRule="auto"/>
              <w:jc w:val="center"/>
              <w:rPr>
                <w:rFonts w:hint="eastAsia"/>
                <w:color w:val="000000"/>
                <w:sz w:val="21"/>
                <w:szCs w:val="21"/>
              </w:rPr>
            </w:pPr>
            <w:r>
              <w:rPr>
                <w:rFonts w:hint="eastAsia"/>
                <w:color w:val="000000"/>
                <w:sz w:val="21"/>
                <w:szCs w:val="21"/>
              </w:rPr>
              <w:t>运营</w:t>
            </w:r>
          </w:p>
        </w:tc>
        <w:tc>
          <w:tcPr>
            <w:tcW w:w="744" w:type="dxa"/>
            <w:tcBorders>
              <w:tl2br w:val="nil"/>
              <w:tr2bl w:val="nil"/>
            </w:tcBorders>
            <w:vAlign w:val="center"/>
          </w:tcPr>
          <w:p w14:paraId="6097ADDB">
            <w:pPr>
              <w:spacing w:line="240" w:lineRule="auto"/>
              <w:jc w:val="center"/>
              <w:rPr>
                <w:rFonts w:hint="eastAsia"/>
                <w:color w:val="000000"/>
                <w:sz w:val="21"/>
                <w:szCs w:val="21"/>
              </w:rPr>
            </w:pPr>
            <w:r>
              <w:rPr>
                <w:rFonts w:hint="eastAsia"/>
                <w:color w:val="000000"/>
                <w:sz w:val="21"/>
                <w:szCs w:val="21"/>
                <w:lang w:eastAsia="zh-CN"/>
              </w:rPr>
              <w:t>沥青混凝土</w:t>
            </w:r>
          </w:p>
        </w:tc>
        <w:tc>
          <w:tcPr>
            <w:tcW w:w="784" w:type="dxa"/>
            <w:tcBorders>
              <w:tl2br w:val="nil"/>
              <w:tr2bl w:val="nil"/>
            </w:tcBorders>
            <w:vAlign w:val="center"/>
          </w:tcPr>
          <w:p w14:paraId="670497DA">
            <w:pPr>
              <w:spacing w:line="240" w:lineRule="auto"/>
              <w:jc w:val="center"/>
              <w:rPr>
                <w:rFonts w:hint="default"/>
                <w:color w:val="000000"/>
                <w:sz w:val="21"/>
                <w:szCs w:val="21"/>
                <w:lang w:val="en-US"/>
              </w:rPr>
            </w:pPr>
            <w:r>
              <w:rPr>
                <w:rFonts w:hint="eastAsia"/>
                <w:color w:val="000000"/>
                <w:sz w:val="21"/>
                <w:szCs w:val="21"/>
                <w:lang w:eastAsia="zh-CN"/>
              </w:rPr>
              <w:t>20万吨</w:t>
            </w:r>
            <w:r>
              <w:rPr>
                <w:rFonts w:hint="eastAsia"/>
                <w:color w:val="000000"/>
                <w:sz w:val="21"/>
                <w:szCs w:val="21"/>
                <w:lang w:val="en-US" w:eastAsia="zh-CN"/>
              </w:rPr>
              <w:t>/a</w:t>
            </w:r>
          </w:p>
        </w:tc>
        <w:tc>
          <w:tcPr>
            <w:tcW w:w="1567" w:type="dxa"/>
            <w:tcBorders>
              <w:tl2br w:val="nil"/>
              <w:tr2bl w:val="nil"/>
            </w:tcBorders>
            <w:vAlign w:val="center"/>
          </w:tcPr>
          <w:p w14:paraId="335410AD">
            <w:pPr>
              <w:spacing w:line="240" w:lineRule="auto"/>
              <w:jc w:val="center"/>
              <w:rPr>
                <w:rFonts w:hint="default" w:eastAsia="宋体"/>
                <w:color w:val="000000"/>
                <w:sz w:val="21"/>
                <w:szCs w:val="21"/>
                <w:lang w:val="en-US" w:eastAsia="zh-CN"/>
              </w:rPr>
            </w:pPr>
            <w:r>
              <w:rPr>
                <w:rFonts w:hint="eastAsia"/>
                <w:color w:val="000000"/>
                <w:sz w:val="21"/>
                <w:szCs w:val="21"/>
              </w:rPr>
              <w:t>沥青</w:t>
            </w:r>
            <w:r>
              <w:rPr>
                <w:rFonts w:hint="eastAsia"/>
                <w:color w:val="000000"/>
                <w:sz w:val="21"/>
                <w:szCs w:val="21"/>
                <w:lang w:eastAsia="zh-CN"/>
              </w:rPr>
              <w:t>、砂石骨料、矿粉、</w:t>
            </w:r>
            <w:r>
              <w:rPr>
                <w:rFonts w:hint="eastAsia"/>
                <w:color w:val="000000"/>
                <w:sz w:val="21"/>
                <w:szCs w:val="21"/>
                <w:lang w:val="en-US" w:eastAsia="zh-CN"/>
              </w:rPr>
              <w:t>重油、柴油、导热油等</w:t>
            </w:r>
          </w:p>
        </w:tc>
        <w:tc>
          <w:tcPr>
            <w:tcW w:w="2037" w:type="dxa"/>
            <w:tcBorders>
              <w:tl2br w:val="nil"/>
              <w:tr2bl w:val="nil"/>
            </w:tcBorders>
            <w:vAlign w:val="center"/>
          </w:tcPr>
          <w:p w14:paraId="3E86F5D3">
            <w:pPr>
              <w:spacing w:line="240" w:lineRule="auto"/>
              <w:jc w:val="center"/>
              <w:rPr>
                <w:rFonts w:hint="default" w:eastAsia="宋体"/>
                <w:color w:val="000000"/>
                <w:sz w:val="21"/>
                <w:szCs w:val="21"/>
                <w:lang w:val="en-US" w:eastAsia="zh-CN"/>
              </w:rPr>
            </w:pPr>
            <w:r>
              <w:rPr>
                <w:rFonts w:hint="eastAsia"/>
                <w:color w:val="000000"/>
                <w:sz w:val="21"/>
                <w:szCs w:val="21"/>
                <w:lang w:val="en-US" w:eastAsia="zh-CN"/>
              </w:rPr>
              <w:t>无废水外排，废气均有处理设施</w:t>
            </w:r>
          </w:p>
        </w:tc>
        <w:tc>
          <w:tcPr>
            <w:tcW w:w="1080" w:type="dxa"/>
            <w:tcBorders>
              <w:tl2br w:val="nil"/>
              <w:tr2bl w:val="nil"/>
            </w:tcBorders>
            <w:vAlign w:val="center"/>
          </w:tcPr>
          <w:p w14:paraId="3D604856">
            <w:pPr>
              <w:spacing w:line="240" w:lineRule="auto"/>
              <w:jc w:val="center"/>
              <w:rPr>
                <w:rFonts w:hint="eastAsia" w:eastAsia="宋体"/>
                <w:color w:val="000000"/>
                <w:sz w:val="21"/>
                <w:szCs w:val="21"/>
                <w:lang w:val="en-US" w:eastAsia="zh-CN"/>
              </w:rPr>
            </w:pPr>
            <w:r>
              <w:rPr>
                <w:rFonts w:hint="eastAsia"/>
                <w:color w:val="000000"/>
                <w:sz w:val="21"/>
                <w:szCs w:val="21"/>
                <w:lang w:val="en-US" w:eastAsia="zh-CN"/>
              </w:rPr>
              <w:t>/</w:t>
            </w:r>
          </w:p>
        </w:tc>
        <w:tc>
          <w:tcPr>
            <w:tcW w:w="1741" w:type="dxa"/>
            <w:tcBorders>
              <w:tl2br w:val="nil"/>
              <w:tr2bl w:val="nil"/>
            </w:tcBorders>
            <w:vAlign w:val="center"/>
          </w:tcPr>
          <w:p w14:paraId="4DE96E33">
            <w:pPr>
              <w:spacing w:line="240" w:lineRule="auto"/>
              <w:jc w:val="center"/>
              <w:rPr>
                <w:rFonts w:hint="default" w:eastAsia="宋体"/>
                <w:color w:val="000000"/>
                <w:sz w:val="21"/>
                <w:szCs w:val="21"/>
                <w:lang w:val="en-US" w:eastAsia="zh-CN"/>
              </w:rPr>
            </w:pPr>
            <w:r>
              <w:rPr>
                <w:rFonts w:hint="eastAsia"/>
                <w:color w:val="000000"/>
                <w:sz w:val="21"/>
                <w:szCs w:val="21"/>
              </w:rPr>
              <w:t>取水口上游2.</w:t>
            </w:r>
            <w:r>
              <w:rPr>
                <w:rFonts w:hint="eastAsia"/>
                <w:color w:val="000000"/>
                <w:sz w:val="21"/>
                <w:szCs w:val="21"/>
                <w:lang w:val="en-US" w:eastAsia="zh-CN"/>
              </w:rPr>
              <w:t>5</w:t>
            </w:r>
            <w:r>
              <w:rPr>
                <w:rFonts w:hint="eastAsia"/>
                <w:color w:val="000000"/>
                <w:sz w:val="21"/>
                <w:szCs w:val="21"/>
              </w:rPr>
              <w:t>Km处省道S248</w:t>
            </w:r>
            <w:r>
              <w:rPr>
                <w:rFonts w:hint="eastAsia"/>
                <w:color w:val="000000"/>
                <w:sz w:val="21"/>
                <w:szCs w:val="21"/>
                <w:lang w:val="en-US" w:eastAsia="zh-CN"/>
              </w:rPr>
              <w:t>东</w:t>
            </w:r>
            <w:r>
              <w:rPr>
                <w:rFonts w:hint="eastAsia"/>
                <w:color w:val="000000"/>
                <w:sz w:val="21"/>
                <w:szCs w:val="21"/>
              </w:rPr>
              <w:t>侧</w:t>
            </w:r>
            <w:r>
              <w:rPr>
                <w:rFonts w:hint="eastAsia"/>
                <w:color w:val="000000"/>
                <w:sz w:val="21"/>
                <w:szCs w:val="21"/>
                <w:lang w:val="en-US" w:eastAsia="zh-CN"/>
              </w:rPr>
              <w:t>约400m</w:t>
            </w:r>
          </w:p>
        </w:tc>
        <w:tc>
          <w:tcPr>
            <w:tcW w:w="1567" w:type="dxa"/>
            <w:tcBorders>
              <w:tl2br w:val="nil"/>
              <w:tr2bl w:val="nil"/>
            </w:tcBorders>
            <w:vAlign w:val="center"/>
          </w:tcPr>
          <w:p w14:paraId="35B4F917">
            <w:pPr>
              <w:spacing w:line="240" w:lineRule="auto"/>
              <w:jc w:val="center"/>
              <w:rPr>
                <w:rFonts w:hint="eastAsia"/>
                <w:color w:val="000000"/>
                <w:sz w:val="21"/>
                <w:szCs w:val="21"/>
              </w:rPr>
            </w:pPr>
            <w:r>
              <w:rPr>
                <w:rFonts w:hint="eastAsia"/>
                <w:color w:val="000000"/>
                <w:sz w:val="21"/>
                <w:szCs w:val="21"/>
                <w:lang w:val="en-US" w:eastAsia="zh-CN"/>
              </w:rPr>
              <w:t>储罐</w:t>
            </w:r>
            <w:r>
              <w:rPr>
                <w:rFonts w:hint="eastAsia"/>
                <w:color w:val="000000"/>
                <w:sz w:val="21"/>
                <w:szCs w:val="21"/>
              </w:rPr>
              <w:t>有围堰等</w:t>
            </w:r>
          </w:p>
        </w:tc>
      </w:tr>
    </w:tbl>
    <w:p w14:paraId="5B01F8E9">
      <w:pPr>
        <w:ind w:firstLine="31680"/>
        <w:jc w:val="both"/>
      </w:pPr>
    </w:p>
    <w:p w14:paraId="319C928F">
      <w:pPr>
        <w:ind w:firstLine="31680"/>
        <w:jc w:val="both"/>
      </w:pPr>
    </w:p>
    <w:p w14:paraId="7F115783">
      <w:pPr>
        <w:sectPr>
          <w:headerReference r:id="rId10" w:type="default"/>
          <w:pgSz w:w="16838" w:h="11906" w:orient="landscape"/>
          <w:pgMar w:top="1803" w:right="1440" w:bottom="1803" w:left="1440" w:header="992" w:footer="992" w:gutter="0"/>
          <w:cols w:space="720" w:num="1"/>
          <w:docGrid w:linePitch="332" w:charSpace="0"/>
        </w:sectPr>
      </w:pPr>
    </w:p>
    <w:p w14:paraId="6D5F9A13">
      <w:pPr>
        <w:ind w:firstLine="480" w:firstLineChars="200"/>
        <w:rPr>
          <w:color w:val="000000"/>
        </w:rPr>
      </w:pPr>
      <w:r>
        <w:rPr>
          <w:color w:val="000000"/>
        </w:rPr>
        <w:t>该类危险源排污方式可分为三种，一是由于工业企业的生产</w:t>
      </w:r>
      <w:r>
        <w:rPr>
          <w:rFonts w:hint="eastAsia"/>
          <w:color w:val="000000"/>
          <w:lang w:eastAsia="zh-CN"/>
        </w:rPr>
        <w:t>、</w:t>
      </w:r>
      <w:r>
        <w:rPr>
          <w:rFonts w:hint="eastAsia"/>
          <w:color w:val="000000"/>
          <w:lang w:val="en-US" w:eastAsia="zh-CN"/>
        </w:rPr>
        <w:t>储存</w:t>
      </w:r>
      <w:r>
        <w:rPr>
          <w:color w:val="000000"/>
        </w:rPr>
        <w:t>设备</w:t>
      </w:r>
      <w:r>
        <w:rPr>
          <w:rFonts w:hint="eastAsia"/>
          <w:color w:val="000000"/>
          <w:lang w:val="en-US" w:eastAsia="zh-CN"/>
        </w:rPr>
        <w:t>设施</w:t>
      </w:r>
      <w:r>
        <w:rPr>
          <w:color w:val="000000"/>
        </w:rPr>
        <w:t>发生故障而导致的污染物泄漏，二是由于企业生产人员违规偷排污废水，三是由于自然灾害而引发的次生灾害造成的事故排污，如企业发生火灾事故后的救灾过程中产生的污染物事故排放。</w:t>
      </w:r>
    </w:p>
    <w:p w14:paraId="7AA07BFD">
      <w:pPr>
        <w:ind w:firstLine="480" w:firstLineChars="200"/>
        <w:rPr>
          <w:rFonts w:hint="eastAsia"/>
        </w:rPr>
      </w:pPr>
      <w:r>
        <w:t>水源地保护区所在地风险源识别范围</w:t>
      </w:r>
      <w:r>
        <w:rPr>
          <w:rFonts w:hint="eastAsia"/>
        </w:rPr>
        <w:t>内无其他对水源地保护区水质具有潜在危害的固定风险源如工业企业、加油站、规模化养殖场等。</w:t>
      </w:r>
    </w:p>
    <w:p w14:paraId="108ACBA3">
      <w:pPr>
        <w:ind w:firstLine="480" w:firstLineChars="200"/>
      </w:pPr>
      <w:r>
        <w:t>根据现场勘察，关峡水厂取水口下游约1500米兰溪水南侧处为绥宁县湘商产业园东部。绥宁县湘商产业园是湖南省“135”创新创业重点园区，规划面积为1.6平方公里。园区位于绥宁县关峡乡，东至荷叶塘、南至沙子坳、西至兰溪水、北至岩山背，省道S248穿园而过，距县城18公里、武靖高速梅口收费站仅5公里、武冈机场60公里，对外交通便捷。主导产业为医药器材、新材料、食品药品加工等轻工类产业。园区加大基础设施投入，目前已征用土地并完成场地平整850亩；综合服务区300套公租房也基本竣工。标准厂房完成5.9万平方米。其中自建标准厂房1、2#栋1.62万平米已竣工，每层2000平方米，并配有电梯、办公室、公租房，可解决入驻企业员工的食宿问题；3、4#栋1.62万平米的标准厂房也已经交付使用；5#栋已完成地勘，正逐步做建设前期准备工作。</w:t>
      </w:r>
    </w:p>
    <w:p w14:paraId="6BD8066A">
      <w:pPr>
        <w:rPr>
          <w:color w:val="0000FF"/>
          <w:u w:val="single"/>
        </w:rPr>
      </w:pPr>
      <w:r>
        <w:rPr>
          <w:color w:val="0000FF"/>
          <w:u w:val="single"/>
        </w:rPr>
        <w:drawing>
          <wp:inline distT="0" distB="0" distL="0" distR="0">
            <wp:extent cx="5276215" cy="3613785"/>
            <wp:effectExtent l="19050" t="0" r="635" b="0"/>
            <wp:docPr id="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9"/>
                    <pic:cNvPicPr>
                      <a:picLocks noChangeAspect="1" noChangeArrowheads="1"/>
                    </pic:cNvPicPr>
                  </pic:nvPicPr>
                  <pic:blipFill>
                    <a:blip r:embed="rId34" cstate="print"/>
                    <a:srcRect/>
                    <a:stretch>
                      <a:fillRect/>
                    </a:stretch>
                  </pic:blipFill>
                  <pic:spPr>
                    <a:xfrm>
                      <a:off x="0" y="0"/>
                      <a:ext cx="5276215" cy="3613785"/>
                    </a:xfrm>
                    <a:prstGeom prst="rect">
                      <a:avLst/>
                    </a:prstGeom>
                    <a:noFill/>
                    <a:ln w="9525" cmpd="sng">
                      <a:noFill/>
                      <a:miter lim="800000"/>
                      <a:headEnd/>
                      <a:tailEnd/>
                    </a:ln>
                    <a:effectLst/>
                  </pic:spPr>
                </pic:pic>
              </a:graphicData>
            </a:graphic>
          </wp:inline>
        </w:drawing>
      </w:r>
    </w:p>
    <w:p w14:paraId="135ADC6B">
      <w:pPr>
        <w:jc w:val="center"/>
      </w:pPr>
      <w:r>
        <w:rPr>
          <w:b/>
          <w:bCs/>
          <w:sz w:val="21"/>
          <w:szCs w:val="21"/>
        </w:rPr>
        <w:t>图</w:t>
      </w:r>
      <w:r>
        <w:rPr>
          <w:rFonts w:hint="eastAsia"/>
          <w:b/>
          <w:bCs/>
          <w:sz w:val="21"/>
          <w:szCs w:val="21"/>
        </w:rPr>
        <w:t>2-1</w:t>
      </w:r>
      <w:r>
        <w:rPr>
          <w:b/>
          <w:bCs/>
          <w:sz w:val="21"/>
          <w:szCs w:val="21"/>
        </w:rPr>
        <w:t xml:space="preserve"> 湘商产业园功能分区图</w:t>
      </w:r>
    </w:p>
    <w:p w14:paraId="2DC603FF">
      <w:pPr>
        <w:ind w:firstLine="480" w:firstLineChars="200"/>
      </w:pPr>
      <w:r>
        <w:rPr>
          <w:rFonts w:hint="eastAsia"/>
        </w:rPr>
        <w:t>从现场勘察可知，绥宁县</w:t>
      </w:r>
      <w:r>
        <w:t>湘商产业园</w:t>
      </w:r>
      <w:r>
        <w:rPr>
          <w:rFonts w:hint="eastAsia"/>
        </w:rPr>
        <w:t>地势较兰溪汇水区低，一旦发生水突发环境事件，废水不会进入取水口上游兰溪河段。</w:t>
      </w:r>
      <w:r>
        <w:t>湘商产业园</w:t>
      </w:r>
      <w:r>
        <w:rPr>
          <w:rFonts w:hint="eastAsia"/>
        </w:rPr>
        <w:t>污水处理厂位于产业园西部，其排污口设计在关峡水厂取水口下游约2Km处，不会对关峡水厂取水造成影响。</w:t>
      </w:r>
    </w:p>
    <w:bookmarkEnd w:id="203"/>
    <w:p w14:paraId="2FB25030">
      <w:pPr>
        <w:pStyle w:val="5"/>
      </w:pPr>
      <w:bookmarkStart w:id="204" w:name="_Toc28892"/>
      <w:bookmarkStart w:id="205" w:name="_Toc20472"/>
      <w:r>
        <w:rPr>
          <w:rFonts w:hint="eastAsia"/>
          <w:lang w:val="en-US" w:eastAsia="zh-CN"/>
        </w:rPr>
        <w:t>3</w:t>
      </w:r>
      <w:r>
        <w:t>.1.4 流动风险源辨识</w:t>
      </w:r>
      <w:bookmarkEnd w:id="204"/>
      <w:bookmarkEnd w:id="205"/>
    </w:p>
    <w:p w14:paraId="21E99157">
      <w:pPr>
        <w:ind w:firstLine="480" w:firstLineChars="200"/>
      </w:pPr>
      <w:r>
        <w:t>流动风险源为在公路或水路运输过程中由于交通事故、设备故障等原因，导致油品、化学品或其它有毒有害物质进入水源地保护区或渗入土壤造成水质污染的风险源。该类危险源主要指运输危险化学品、危险废物及其他影响饮用水安全物质的车辆等交通工具发生交通事故或泄漏，导致有毒有害品流入水体或直接倾翻入河，从而导致水体污染事件。</w:t>
      </w:r>
    </w:p>
    <w:p w14:paraId="1EC982BC">
      <w:pPr>
        <w:ind w:firstLine="480" w:firstLineChars="200"/>
      </w:pPr>
      <w:r>
        <w:t>根据现场调查情况，水源地保护区内及周边的交通方式为陆路交通形式，</w:t>
      </w:r>
      <w:r>
        <w:rPr>
          <w:rFonts w:hint="eastAsia"/>
        </w:rPr>
        <w:t>关峡水厂</w:t>
      </w:r>
      <w:r>
        <w:t>河段无通航航道。水源地保护区调查范围内可能有危险化学品、危险废物及其他影响饮用水安全物质的运输车辆经过的地方主要为保护区</w:t>
      </w:r>
      <w:r>
        <w:rPr>
          <w:rFonts w:hint="eastAsia"/>
        </w:rPr>
        <w:t>东南部</w:t>
      </w:r>
      <w:r>
        <w:t>省道2</w:t>
      </w:r>
      <w:r>
        <w:rPr>
          <w:rFonts w:hint="eastAsia"/>
        </w:rPr>
        <w:t>48</w:t>
      </w:r>
      <w:r>
        <w:t>（</w:t>
      </w:r>
      <w:r>
        <w:rPr>
          <w:rFonts w:hint="eastAsia"/>
        </w:rPr>
        <w:t>与兰溪伴行，伴行长度约为20km</w:t>
      </w:r>
      <w:r>
        <w:t>）</w:t>
      </w:r>
      <w:r>
        <w:rPr>
          <w:rFonts w:hint="eastAsia"/>
        </w:rPr>
        <w:t>、大树至插柳村再至太安乡间便道、</w:t>
      </w:r>
      <w:r>
        <w:t>龚家坪至插柳村乡间便桥（取水口上游1.63 Km处，仅可供人通行）、太安至文家村乡间便桥（取水口上游2.78 Km处，可供车辆通行）</w:t>
      </w:r>
      <w:r>
        <w:rPr>
          <w:rFonts w:hint="eastAsia"/>
        </w:rPr>
        <w:t>、取水口上游约15.22Km处S248跨越兰溪桥梁</w:t>
      </w:r>
      <w:r>
        <w:t>。</w:t>
      </w:r>
    </w:p>
    <w:p w14:paraId="5BF90E3A">
      <w:pPr>
        <w:pStyle w:val="67"/>
        <w:ind w:firstLine="0" w:firstLineChars="0"/>
        <w:jc w:val="center"/>
        <w:rPr>
          <w:rFonts w:ascii="Times New Roman" w:hAnsi="Times New Roman"/>
          <w:b/>
          <w:bCs/>
          <w:sz w:val="21"/>
          <w:szCs w:val="20"/>
        </w:rPr>
      </w:pPr>
      <w:r>
        <w:rPr>
          <w:rFonts w:ascii="Times New Roman" w:hAnsi="Times New Roman"/>
          <w:b/>
          <w:bCs/>
          <w:sz w:val="21"/>
          <w:szCs w:val="20"/>
        </w:rPr>
        <w:t>表2-2 流动风险源识别一览表</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7"/>
        <w:gridCol w:w="2920"/>
        <w:gridCol w:w="1500"/>
        <w:gridCol w:w="1605"/>
        <w:gridCol w:w="1572"/>
      </w:tblGrid>
      <w:tr w14:paraId="6321A2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07" w:type="dxa"/>
            <w:vAlign w:val="center"/>
          </w:tcPr>
          <w:p w14:paraId="578F699A">
            <w:pPr>
              <w:spacing w:line="320" w:lineRule="exact"/>
              <w:jc w:val="center"/>
              <w:rPr>
                <w:b/>
                <w:sz w:val="21"/>
                <w:szCs w:val="21"/>
              </w:rPr>
            </w:pPr>
            <w:bookmarkStart w:id="206" w:name="_Toc21939"/>
            <w:r>
              <w:rPr>
                <w:b/>
                <w:sz w:val="21"/>
                <w:szCs w:val="21"/>
              </w:rPr>
              <w:t>类别</w:t>
            </w:r>
          </w:p>
        </w:tc>
        <w:tc>
          <w:tcPr>
            <w:tcW w:w="2920" w:type="dxa"/>
            <w:vAlign w:val="center"/>
          </w:tcPr>
          <w:p w14:paraId="2257C999">
            <w:pPr>
              <w:spacing w:line="320" w:lineRule="exact"/>
              <w:jc w:val="center"/>
              <w:rPr>
                <w:b/>
                <w:sz w:val="21"/>
                <w:szCs w:val="21"/>
              </w:rPr>
            </w:pPr>
            <w:r>
              <w:rPr>
                <w:b/>
                <w:sz w:val="21"/>
                <w:szCs w:val="21"/>
              </w:rPr>
              <w:t>风险源名称</w:t>
            </w:r>
          </w:p>
        </w:tc>
        <w:tc>
          <w:tcPr>
            <w:tcW w:w="1500" w:type="dxa"/>
            <w:vAlign w:val="center"/>
          </w:tcPr>
          <w:p w14:paraId="28EF9F3C">
            <w:pPr>
              <w:spacing w:line="320" w:lineRule="exact"/>
              <w:jc w:val="center"/>
              <w:rPr>
                <w:b/>
                <w:sz w:val="21"/>
                <w:szCs w:val="21"/>
              </w:rPr>
            </w:pPr>
            <w:r>
              <w:rPr>
                <w:b/>
                <w:sz w:val="21"/>
                <w:szCs w:val="21"/>
              </w:rPr>
              <w:t>主要风险物质</w:t>
            </w:r>
          </w:p>
        </w:tc>
        <w:tc>
          <w:tcPr>
            <w:tcW w:w="1605" w:type="dxa"/>
            <w:vAlign w:val="center"/>
          </w:tcPr>
          <w:p w14:paraId="6985002C">
            <w:pPr>
              <w:spacing w:line="320" w:lineRule="exact"/>
              <w:jc w:val="center"/>
              <w:rPr>
                <w:b/>
                <w:sz w:val="21"/>
                <w:szCs w:val="21"/>
              </w:rPr>
            </w:pPr>
            <w:r>
              <w:rPr>
                <w:b/>
                <w:sz w:val="21"/>
                <w:szCs w:val="21"/>
              </w:rPr>
              <w:t>风险类型</w:t>
            </w:r>
          </w:p>
        </w:tc>
        <w:tc>
          <w:tcPr>
            <w:tcW w:w="1572" w:type="dxa"/>
            <w:vAlign w:val="center"/>
          </w:tcPr>
          <w:p w14:paraId="6ECEB397">
            <w:pPr>
              <w:spacing w:line="320" w:lineRule="exact"/>
              <w:jc w:val="center"/>
              <w:rPr>
                <w:b/>
                <w:sz w:val="21"/>
                <w:szCs w:val="21"/>
              </w:rPr>
            </w:pPr>
            <w:r>
              <w:rPr>
                <w:b/>
                <w:sz w:val="21"/>
                <w:szCs w:val="21"/>
              </w:rPr>
              <w:t>影响途径</w:t>
            </w:r>
          </w:p>
        </w:tc>
      </w:tr>
      <w:tr w14:paraId="45F980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75" w:hRule="atLeast"/>
        </w:trPr>
        <w:tc>
          <w:tcPr>
            <w:tcW w:w="907" w:type="dxa"/>
            <w:vAlign w:val="center"/>
          </w:tcPr>
          <w:p w14:paraId="1EA285D7">
            <w:pPr>
              <w:spacing w:line="320" w:lineRule="exact"/>
              <w:jc w:val="center"/>
              <w:rPr>
                <w:bCs/>
                <w:sz w:val="21"/>
                <w:szCs w:val="21"/>
              </w:rPr>
            </w:pPr>
            <w:r>
              <w:rPr>
                <w:bCs/>
                <w:sz w:val="21"/>
                <w:szCs w:val="21"/>
              </w:rPr>
              <w:t>流动风险源</w:t>
            </w:r>
          </w:p>
        </w:tc>
        <w:tc>
          <w:tcPr>
            <w:tcW w:w="2920" w:type="dxa"/>
            <w:vAlign w:val="center"/>
          </w:tcPr>
          <w:p w14:paraId="278EA3C1">
            <w:pPr>
              <w:spacing w:line="240" w:lineRule="auto"/>
              <w:jc w:val="center"/>
              <w:rPr>
                <w:bCs/>
                <w:sz w:val="21"/>
                <w:szCs w:val="21"/>
              </w:rPr>
            </w:pPr>
            <w:r>
              <w:rPr>
                <w:bCs/>
                <w:sz w:val="21"/>
                <w:szCs w:val="21"/>
              </w:rPr>
              <w:t>保护区</w:t>
            </w:r>
            <w:r>
              <w:rPr>
                <w:rFonts w:hint="eastAsia"/>
                <w:bCs/>
                <w:sz w:val="21"/>
                <w:szCs w:val="21"/>
              </w:rPr>
              <w:t>东南侧</w:t>
            </w:r>
            <w:r>
              <w:rPr>
                <w:bCs/>
                <w:sz w:val="21"/>
                <w:szCs w:val="21"/>
              </w:rPr>
              <w:t>道路</w:t>
            </w:r>
            <w:r>
              <w:rPr>
                <w:rFonts w:hint="eastAsia"/>
                <w:bCs/>
                <w:sz w:val="21"/>
                <w:szCs w:val="21"/>
              </w:rPr>
              <w:t>（S248）</w:t>
            </w:r>
            <w:r>
              <w:rPr>
                <w:bCs/>
                <w:sz w:val="21"/>
                <w:szCs w:val="21"/>
              </w:rPr>
              <w:t>、</w:t>
            </w:r>
            <w:r>
              <w:rPr>
                <w:rFonts w:hint="eastAsia"/>
                <w:bCs/>
                <w:sz w:val="21"/>
                <w:szCs w:val="21"/>
              </w:rPr>
              <w:t>大树至插柳村再至太安乡间便道、</w:t>
            </w:r>
            <w:r>
              <w:rPr>
                <w:bCs/>
                <w:sz w:val="21"/>
                <w:szCs w:val="21"/>
              </w:rPr>
              <w:t>龚家坪至插柳村乡间便桥（取水口上游1.63 Km处，仅可供人通行）、太安至文家村乡间便桥（取水口上游2.78 Km处，可供车辆通行）</w:t>
            </w:r>
            <w:r>
              <w:rPr>
                <w:rFonts w:hint="eastAsia"/>
                <w:bCs/>
                <w:sz w:val="21"/>
                <w:szCs w:val="21"/>
              </w:rPr>
              <w:t>、取水口上游约15.22Km处S248跨越兰溪桥梁</w:t>
            </w:r>
          </w:p>
        </w:tc>
        <w:tc>
          <w:tcPr>
            <w:tcW w:w="1500" w:type="dxa"/>
            <w:vAlign w:val="center"/>
          </w:tcPr>
          <w:p w14:paraId="3FB912A3">
            <w:pPr>
              <w:spacing w:line="240" w:lineRule="auto"/>
              <w:jc w:val="center"/>
              <w:rPr>
                <w:bCs/>
                <w:sz w:val="21"/>
                <w:szCs w:val="21"/>
              </w:rPr>
            </w:pPr>
            <w:r>
              <w:rPr>
                <w:bCs/>
                <w:sz w:val="21"/>
                <w:szCs w:val="21"/>
              </w:rPr>
              <w:t>酸碱类、有机类、石油类等</w:t>
            </w:r>
          </w:p>
        </w:tc>
        <w:tc>
          <w:tcPr>
            <w:tcW w:w="1605" w:type="dxa"/>
            <w:vAlign w:val="center"/>
          </w:tcPr>
          <w:p w14:paraId="645E1A74">
            <w:pPr>
              <w:spacing w:line="240" w:lineRule="auto"/>
              <w:jc w:val="center"/>
              <w:rPr>
                <w:bCs/>
                <w:sz w:val="21"/>
                <w:szCs w:val="21"/>
              </w:rPr>
            </w:pPr>
            <w:r>
              <w:rPr>
                <w:bCs/>
                <w:sz w:val="21"/>
                <w:szCs w:val="21"/>
              </w:rPr>
              <w:t>危险化学品运输车辆违反禁危规定、交通事故引发风险物质泄漏或火灾爆炸</w:t>
            </w:r>
          </w:p>
        </w:tc>
        <w:tc>
          <w:tcPr>
            <w:tcW w:w="1572" w:type="dxa"/>
            <w:vAlign w:val="center"/>
          </w:tcPr>
          <w:p w14:paraId="0373C92E">
            <w:pPr>
              <w:tabs>
                <w:tab w:val="left" w:pos="567"/>
              </w:tabs>
              <w:spacing w:line="320" w:lineRule="exact"/>
              <w:jc w:val="center"/>
              <w:rPr>
                <w:bCs/>
                <w:sz w:val="21"/>
                <w:szCs w:val="21"/>
              </w:rPr>
            </w:pPr>
            <w:r>
              <w:rPr>
                <w:bCs/>
                <w:sz w:val="21"/>
                <w:szCs w:val="21"/>
              </w:rPr>
              <w:t>经</w:t>
            </w:r>
            <w:r>
              <w:rPr>
                <w:rFonts w:hint="eastAsia"/>
                <w:bCs/>
                <w:sz w:val="21"/>
                <w:szCs w:val="21"/>
              </w:rPr>
              <w:t>S248</w:t>
            </w:r>
            <w:r>
              <w:rPr>
                <w:bCs/>
                <w:sz w:val="21"/>
                <w:szCs w:val="21"/>
              </w:rPr>
              <w:t>排水系统</w:t>
            </w:r>
            <w:r>
              <w:rPr>
                <w:rFonts w:hint="eastAsia"/>
                <w:bCs/>
                <w:sz w:val="21"/>
                <w:szCs w:val="21"/>
              </w:rPr>
              <w:t>泄漏进入兰溪，再</w:t>
            </w:r>
            <w:r>
              <w:rPr>
                <w:bCs/>
                <w:sz w:val="21"/>
                <w:szCs w:val="21"/>
              </w:rPr>
              <w:t>进入水源地保护区；或车辆掉入</w:t>
            </w:r>
            <w:r>
              <w:rPr>
                <w:rFonts w:hint="eastAsia"/>
                <w:bCs/>
                <w:sz w:val="21"/>
                <w:szCs w:val="21"/>
              </w:rPr>
              <w:t>兰溪</w:t>
            </w:r>
            <w:r>
              <w:rPr>
                <w:bCs/>
                <w:sz w:val="21"/>
                <w:szCs w:val="21"/>
              </w:rPr>
              <w:t>河道</w:t>
            </w:r>
          </w:p>
        </w:tc>
      </w:tr>
    </w:tbl>
    <w:p w14:paraId="6871A856">
      <w:pPr>
        <w:ind w:firstLine="480" w:firstLineChars="200"/>
        <w:rPr>
          <w:rStyle w:val="33"/>
          <w:sz w:val="24"/>
          <w:szCs w:val="28"/>
        </w:rPr>
      </w:pPr>
      <w:r>
        <w:rPr>
          <w:rFonts w:hint="eastAsia"/>
        </w:rPr>
        <w:t>兰溪</w:t>
      </w:r>
      <w:r>
        <w:t>发源于绥宁县长铺乡堡子岭野猪冲，全长</w:t>
      </w:r>
      <w:r>
        <w:rPr>
          <w:rFonts w:hint="eastAsia"/>
        </w:rPr>
        <w:t>约40</w:t>
      </w:r>
      <w:r>
        <w:t>公里，</w:t>
      </w:r>
      <w:r>
        <w:rPr>
          <w:rFonts w:hint="eastAsia"/>
        </w:rPr>
        <w:t>无其他连接水体，关峡水厂在水源地保护区下游约13Km处汇入巫水。</w:t>
      </w:r>
      <w:r>
        <w:t>水源地保护区</w:t>
      </w:r>
      <w:r>
        <w:rPr>
          <w:rFonts w:hint="eastAsia"/>
        </w:rPr>
        <w:t>上游</w:t>
      </w:r>
      <w:r>
        <w:t>识别范围</w:t>
      </w:r>
      <w:r>
        <w:rPr>
          <w:rFonts w:hint="eastAsia"/>
        </w:rPr>
        <w:t>内只有S248、乡间便道、便桥等，无其他对水源地保护区水质具有潜在危害的流动风险源如国道、省道、大桥等。</w:t>
      </w:r>
    </w:p>
    <w:p w14:paraId="4F6EC6EF">
      <w:pPr>
        <w:pStyle w:val="5"/>
        <w:rPr>
          <w:rStyle w:val="33"/>
          <w:b w:val="0"/>
          <w:sz w:val="24"/>
          <w:szCs w:val="28"/>
        </w:rPr>
      </w:pPr>
      <w:bookmarkStart w:id="207" w:name="_Toc1792"/>
      <w:r>
        <w:rPr>
          <w:rStyle w:val="33"/>
          <w:rFonts w:hint="eastAsia"/>
          <w:b w:val="0"/>
          <w:sz w:val="24"/>
          <w:szCs w:val="28"/>
          <w:lang w:val="en-US"/>
        </w:rPr>
        <w:t>3</w:t>
      </w:r>
      <w:r>
        <w:rPr>
          <w:rStyle w:val="33"/>
          <w:b w:val="0"/>
          <w:sz w:val="24"/>
          <w:szCs w:val="28"/>
        </w:rPr>
        <w:t>.1.5 非点源风险源辨识</w:t>
      </w:r>
      <w:bookmarkEnd w:id="206"/>
      <w:bookmarkEnd w:id="207"/>
    </w:p>
    <w:p w14:paraId="7755CDB6">
      <w:r>
        <w:rPr>
          <w:rFonts w:hint="eastAsia"/>
          <w:lang w:val="en-US" w:eastAsia="zh-CN"/>
        </w:rPr>
        <w:t>3</w:t>
      </w:r>
      <w:r>
        <w:t>.1.5.1生活污水</w:t>
      </w:r>
    </w:p>
    <w:p w14:paraId="6CB26821">
      <w:pPr>
        <w:ind w:firstLine="480" w:firstLineChars="200"/>
        <w:rPr>
          <w:b/>
          <w:bCs/>
          <w:sz w:val="21"/>
          <w:szCs w:val="21"/>
        </w:rPr>
      </w:pPr>
      <w:r>
        <w:t xml:space="preserve">经调查， </w:t>
      </w:r>
      <w:r>
        <w:rPr>
          <w:kern w:val="0"/>
        </w:rPr>
        <w:t>水源地保护区</w:t>
      </w:r>
      <w:r>
        <w:t>内涉及的居民点情况见表2-3</w:t>
      </w:r>
      <w:r>
        <w:rPr>
          <w:rFonts w:hint="eastAsia"/>
        </w:rPr>
        <w:t>。</w:t>
      </w:r>
    </w:p>
    <w:p w14:paraId="1E869F70">
      <w:pPr>
        <w:spacing w:line="240" w:lineRule="auto"/>
        <w:jc w:val="center"/>
        <w:rPr>
          <w:b/>
          <w:bCs/>
          <w:sz w:val="21"/>
          <w:szCs w:val="21"/>
        </w:rPr>
      </w:pPr>
      <w:r>
        <w:rPr>
          <w:b/>
          <w:bCs/>
          <w:sz w:val="21"/>
          <w:szCs w:val="21"/>
        </w:rPr>
        <w:t xml:space="preserve">表2-3  </w:t>
      </w:r>
      <w:r>
        <w:rPr>
          <w:b/>
          <w:bCs/>
          <w:kern w:val="0"/>
          <w:sz w:val="21"/>
          <w:szCs w:val="21"/>
        </w:rPr>
        <w:t>水源地保护区</w:t>
      </w:r>
      <w:r>
        <w:rPr>
          <w:b/>
          <w:bCs/>
          <w:sz w:val="21"/>
          <w:szCs w:val="21"/>
        </w:rPr>
        <w:t>内涉及的居民点信息一览表</w:t>
      </w:r>
    </w:p>
    <w:p w14:paraId="1BAF7584">
      <w:pPr>
        <w:spacing w:line="240" w:lineRule="auto"/>
        <w:jc w:val="center"/>
        <w:rPr>
          <w:b/>
          <w:bCs/>
          <w:sz w:val="21"/>
          <w:szCs w:val="21"/>
        </w:rPr>
      </w:pPr>
    </w:p>
    <w:tbl>
      <w:tblPr>
        <w:tblStyle w:val="20"/>
        <w:tblW w:w="86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10"/>
        <w:gridCol w:w="1245"/>
        <w:gridCol w:w="968"/>
        <w:gridCol w:w="1196"/>
        <w:gridCol w:w="1196"/>
        <w:gridCol w:w="1263"/>
        <w:gridCol w:w="1560"/>
      </w:tblGrid>
      <w:tr w14:paraId="30611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1210" w:type="dxa"/>
            <w:vAlign w:val="center"/>
          </w:tcPr>
          <w:p w14:paraId="7ACFF580">
            <w:pPr>
              <w:overflowPunct w:val="0"/>
              <w:autoSpaceDE w:val="0"/>
              <w:autoSpaceDN w:val="0"/>
              <w:spacing w:line="240" w:lineRule="atLeast"/>
              <w:jc w:val="center"/>
              <w:textAlignment w:val="baseline"/>
              <w:rPr>
                <w:kern w:val="0"/>
                <w:sz w:val="21"/>
                <w:szCs w:val="20"/>
              </w:rPr>
            </w:pPr>
            <w:r>
              <w:rPr>
                <w:kern w:val="0"/>
                <w:sz w:val="21"/>
                <w:szCs w:val="20"/>
              </w:rPr>
              <w:t>水源地保护区名称</w:t>
            </w:r>
          </w:p>
        </w:tc>
        <w:tc>
          <w:tcPr>
            <w:tcW w:w="1245" w:type="dxa"/>
            <w:vAlign w:val="center"/>
          </w:tcPr>
          <w:p w14:paraId="797521F4">
            <w:pPr>
              <w:overflowPunct w:val="0"/>
              <w:autoSpaceDE w:val="0"/>
              <w:autoSpaceDN w:val="0"/>
              <w:spacing w:line="240" w:lineRule="atLeast"/>
              <w:jc w:val="center"/>
              <w:textAlignment w:val="baseline"/>
              <w:rPr>
                <w:kern w:val="0"/>
                <w:sz w:val="21"/>
                <w:szCs w:val="20"/>
              </w:rPr>
            </w:pPr>
            <w:r>
              <w:rPr>
                <w:kern w:val="0"/>
                <w:sz w:val="21"/>
                <w:szCs w:val="20"/>
              </w:rPr>
              <w:t>保护区类型</w:t>
            </w:r>
          </w:p>
        </w:tc>
        <w:tc>
          <w:tcPr>
            <w:tcW w:w="968" w:type="dxa"/>
            <w:vAlign w:val="center"/>
          </w:tcPr>
          <w:p w14:paraId="616F24E6">
            <w:pPr>
              <w:overflowPunct w:val="0"/>
              <w:autoSpaceDE w:val="0"/>
              <w:autoSpaceDN w:val="0"/>
              <w:spacing w:line="240" w:lineRule="atLeast"/>
              <w:jc w:val="center"/>
              <w:textAlignment w:val="baseline"/>
              <w:rPr>
                <w:kern w:val="0"/>
                <w:sz w:val="21"/>
                <w:szCs w:val="20"/>
              </w:rPr>
            </w:pPr>
            <w:r>
              <w:rPr>
                <w:kern w:val="0"/>
                <w:sz w:val="21"/>
                <w:szCs w:val="20"/>
              </w:rPr>
              <w:t>农村人口</w:t>
            </w:r>
          </w:p>
          <w:p w14:paraId="2B60E2E3">
            <w:pPr>
              <w:overflowPunct w:val="0"/>
              <w:autoSpaceDE w:val="0"/>
              <w:autoSpaceDN w:val="0"/>
              <w:spacing w:line="240" w:lineRule="atLeast"/>
              <w:jc w:val="center"/>
              <w:textAlignment w:val="baseline"/>
              <w:rPr>
                <w:kern w:val="0"/>
                <w:sz w:val="21"/>
                <w:szCs w:val="20"/>
              </w:rPr>
            </w:pPr>
            <w:r>
              <w:rPr>
                <w:kern w:val="0"/>
                <w:sz w:val="21"/>
                <w:szCs w:val="20"/>
              </w:rPr>
              <w:t>（人）</w:t>
            </w:r>
          </w:p>
        </w:tc>
        <w:tc>
          <w:tcPr>
            <w:tcW w:w="1196" w:type="dxa"/>
            <w:vAlign w:val="center"/>
          </w:tcPr>
          <w:p w14:paraId="7D38C126">
            <w:pPr>
              <w:overflowPunct w:val="0"/>
              <w:autoSpaceDE w:val="0"/>
              <w:autoSpaceDN w:val="0"/>
              <w:spacing w:line="240" w:lineRule="atLeast"/>
              <w:jc w:val="center"/>
              <w:textAlignment w:val="baseline"/>
              <w:rPr>
                <w:kern w:val="0"/>
                <w:sz w:val="21"/>
                <w:szCs w:val="20"/>
              </w:rPr>
            </w:pPr>
            <w:r>
              <w:rPr>
                <w:kern w:val="0"/>
                <w:sz w:val="21"/>
                <w:szCs w:val="20"/>
              </w:rPr>
              <w:t>居民分布</w:t>
            </w:r>
          </w:p>
        </w:tc>
        <w:tc>
          <w:tcPr>
            <w:tcW w:w="1196" w:type="dxa"/>
            <w:vAlign w:val="center"/>
          </w:tcPr>
          <w:p w14:paraId="2BA315A8">
            <w:pPr>
              <w:overflowPunct w:val="0"/>
              <w:autoSpaceDE w:val="0"/>
              <w:autoSpaceDN w:val="0"/>
              <w:spacing w:line="240" w:lineRule="atLeast"/>
              <w:jc w:val="center"/>
              <w:textAlignment w:val="baseline"/>
              <w:rPr>
                <w:kern w:val="0"/>
                <w:sz w:val="21"/>
                <w:szCs w:val="20"/>
              </w:rPr>
            </w:pPr>
            <w:r>
              <w:rPr>
                <w:kern w:val="0"/>
                <w:sz w:val="21"/>
                <w:szCs w:val="20"/>
              </w:rPr>
              <w:t>废水排放量</w:t>
            </w:r>
          </w:p>
          <w:p w14:paraId="1463FEDF">
            <w:pPr>
              <w:overflowPunct w:val="0"/>
              <w:autoSpaceDE w:val="0"/>
              <w:autoSpaceDN w:val="0"/>
              <w:spacing w:line="240" w:lineRule="atLeast"/>
              <w:jc w:val="center"/>
              <w:textAlignment w:val="baseline"/>
              <w:rPr>
                <w:kern w:val="0"/>
                <w:sz w:val="21"/>
                <w:szCs w:val="20"/>
              </w:rPr>
            </w:pPr>
            <w:r>
              <w:rPr>
                <w:kern w:val="0"/>
                <w:sz w:val="21"/>
                <w:szCs w:val="20"/>
              </w:rPr>
              <w:t>（万吨/年）</w:t>
            </w:r>
          </w:p>
        </w:tc>
        <w:tc>
          <w:tcPr>
            <w:tcW w:w="1263" w:type="dxa"/>
            <w:vAlign w:val="center"/>
          </w:tcPr>
          <w:p w14:paraId="24C1E859">
            <w:pPr>
              <w:overflowPunct w:val="0"/>
              <w:autoSpaceDE w:val="0"/>
              <w:autoSpaceDN w:val="0"/>
              <w:spacing w:line="240" w:lineRule="atLeast"/>
              <w:jc w:val="center"/>
              <w:textAlignment w:val="baseline"/>
              <w:rPr>
                <w:kern w:val="0"/>
                <w:sz w:val="21"/>
                <w:szCs w:val="20"/>
              </w:rPr>
            </w:pPr>
            <w:r>
              <w:rPr>
                <w:kern w:val="0"/>
                <w:sz w:val="21"/>
                <w:szCs w:val="20"/>
              </w:rPr>
              <w:t>COD排放量</w:t>
            </w:r>
          </w:p>
          <w:p w14:paraId="0655D3C1">
            <w:pPr>
              <w:overflowPunct w:val="0"/>
              <w:autoSpaceDE w:val="0"/>
              <w:autoSpaceDN w:val="0"/>
              <w:spacing w:line="240" w:lineRule="atLeast"/>
              <w:jc w:val="center"/>
              <w:textAlignment w:val="baseline"/>
              <w:rPr>
                <w:kern w:val="0"/>
                <w:sz w:val="21"/>
                <w:szCs w:val="20"/>
              </w:rPr>
            </w:pPr>
            <w:r>
              <w:rPr>
                <w:kern w:val="0"/>
                <w:sz w:val="21"/>
                <w:szCs w:val="20"/>
              </w:rPr>
              <w:t>（吨/年）</w:t>
            </w:r>
          </w:p>
        </w:tc>
        <w:tc>
          <w:tcPr>
            <w:tcW w:w="1560" w:type="dxa"/>
            <w:vAlign w:val="center"/>
          </w:tcPr>
          <w:p w14:paraId="77920E4E">
            <w:pPr>
              <w:overflowPunct w:val="0"/>
              <w:autoSpaceDE w:val="0"/>
              <w:autoSpaceDN w:val="0"/>
              <w:spacing w:line="240" w:lineRule="atLeast"/>
              <w:jc w:val="center"/>
              <w:textAlignment w:val="baseline"/>
              <w:rPr>
                <w:kern w:val="0"/>
                <w:sz w:val="21"/>
                <w:szCs w:val="20"/>
              </w:rPr>
            </w:pPr>
            <w:r>
              <w:rPr>
                <w:kern w:val="0"/>
                <w:sz w:val="21"/>
                <w:szCs w:val="20"/>
              </w:rPr>
              <w:t>NH</w:t>
            </w:r>
            <w:r>
              <w:rPr>
                <w:kern w:val="0"/>
                <w:sz w:val="21"/>
                <w:szCs w:val="20"/>
                <w:vertAlign w:val="subscript"/>
              </w:rPr>
              <w:t>3</w:t>
            </w:r>
            <w:r>
              <w:rPr>
                <w:kern w:val="0"/>
                <w:sz w:val="21"/>
                <w:szCs w:val="20"/>
              </w:rPr>
              <w:t>-N排放量</w:t>
            </w:r>
          </w:p>
          <w:p w14:paraId="718545D7">
            <w:pPr>
              <w:overflowPunct w:val="0"/>
              <w:autoSpaceDE w:val="0"/>
              <w:autoSpaceDN w:val="0"/>
              <w:spacing w:line="240" w:lineRule="atLeast"/>
              <w:jc w:val="center"/>
              <w:textAlignment w:val="baseline"/>
              <w:rPr>
                <w:kern w:val="0"/>
                <w:sz w:val="21"/>
                <w:szCs w:val="20"/>
              </w:rPr>
            </w:pPr>
            <w:r>
              <w:rPr>
                <w:kern w:val="0"/>
                <w:sz w:val="21"/>
                <w:szCs w:val="20"/>
              </w:rPr>
              <w:t>（吨/年）</w:t>
            </w:r>
          </w:p>
        </w:tc>
      </w:tr>
      <w:tr w14:paraId="1BCC2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210" w:type="dxa"/>
            <w:vMerge w:val="restart"/>
            <w:vAlign w:val="center"/>
          </w:tcPr>
          <w:p w14:paraId="51181195">
            <w:pPr>
              <w:overflowPunct w:val="0"/>
              <w:autoSpaceDE w:val="0"/>
              <w:autoSpaceDN w:val="0"/>
              <w:spacing w:line="240" w:lineRule="atLeast"/>
              <w:jc w:val="center"/>
              <w:textAlignment w:val="baseline"/>
              <w:rPr>
                <w:rFonts w:hint="eastAsia"/>
                <w:kern w:val="0"/>
                <w:sz w:val="21"/>
                <w:szCs w:val="20"/>
              </w:rPr>
            </w:pPr>
            <w:r>
              <w:rPr>
                <w:rFonts w:hint="eastAsia"/>
                <w:kern w:val="0"/>
                <w:sz w:val="21"/>
                <w:szCs w:val="20"/>
              </w:rPr>
              <w:t>绥宁县关峡苗族乡兰溪水饮用水水源地保护区</w:t>
            </w:r>
          </w:p>
        </w:tc>
        <w:tc>
          <w:tcPr>
            <w:tcW w:w="1245" w:type="dxa"/>
            <w:vAlign w:val="center"/>
          </w:tcPr>
          <w:p w14:paraId="6FEC8316">
            <w:pPr>
              <w:overflowPunct w:val="0"/>
              <w:autoSpaceDE w:val="0"/>
              <w:autoSpaceDN w:val="0"/>
              <w:spacing w:line="240" w:lineRule="atLeast"/>
              <w:jc w:val="center"/>
              <w:textAlignment w:val="baseline"/>
              <w:rPr>
                <w:kern w:val="0"/>
                <w:sz w:val="21"/>
                <w:szCs w:val="20"/>
              </w:rPr>
            </w:pPr>
            <w:r>
              <w:rPr>
                <w:kern w:val="0"/>
                <w:sz w:val="21"/>
                <w:szCs w:val="20"/>
              </w:rPr>
              <w:t>一级保护区</w:t>
            </w:r>
          </w:p>
        </w:tc>
        <w:tc>
          <w:tcPr>
            <w:tcW w:w="968" w:type="dxa"/>
            <w:vAlign w:val="center"/>
          </w:tcPr>
          <w:p w14:paraId="3812F6F4">
            <w:pPr>
              <w:overflowPunct w:val="0"/>
              <w:autoSpaceDE w:val="0"/>
              <w:autoSpaceDN w:val="0"/>
              <w:spacing w:line="240" w:lineRule="atLeast"/>
              <w:jc w:val="center"/>
              <w:textAlignment w:val="baseline"/>
              <w:rPr>
                <w:kern w:val="0"/>
                <w:sz w:val="21"/>
                <w:szCs w:val="20"/>
              </w:rPr>
            </w:pPr>
            <w:r>
              <w:rPr>
                <w:kern w:val="0"/>
                <w:sz w:val="21"/>
                <w:szCs w:val="20"/>
              </w:rPr>
              <w:t>0</w:t>
            </w:r>
          </w:p>
        </w:tc>
        <w:tc>
          <w:tcPr>
            <w:tcW w:w="1196" w:type="dxa"/>
            <w:vMerge w:val="restart"/>
            <w:vAlign w:val="center"/>
          </w:tcPr>
          <w:p w14:paraId="47BBDB0E">
            <w:pPr>
              <w:overflowPunct w:val="0"/>
              <w:autoSpaceDE w:val="0"/>
              <w:autoSpaceDN w:val="0"/>
              <w:spacing w:line="240" w:lineRule="atLeast"/>
              <w:jc w:val="center"/>
              <w:textAlignment w:val="baseline"/>
              <w:rPr>
                <w:kern w:val="0"/>
                <w:sz w:val="21"/>
                <w:szCs w:val="20"/>
              </w:rPr>
            </w:pPr>
            <w:r>
              <w:rPr>
                <w:kern w:val="0"/>
                <w:sz w:val="21"/>
                <w:szCs w:val="20"/>
              </w:rPr>
              <w:t>沿河岸分布于两侧</w:t>
            </w:r>
          </w:p>
        </w:tc>
        <w:tc>
          <w:tcPr>
            <w:tcW w:w="1196" w:type="dxa"/>
            <w:vAlign w:val="center"/>
          </w:tcPr>
          <w:p w14:paraId="57412671">
            <w:pPr>
              <w:overflowPunct w:val="0"/>
              <w:autoSpaceDE w:val="0"/>
              <w:autoSpaceDN w:val="0"/>
              <w:spacing w:line="240" w:lineRule="atLeast"/>
              <w:jc w:val="center"/>
              <w:textAlignment w:val="baseline"/>
              <w:rPr>
                <w:kern w:val="0"/>
                <w:sz w:val="21"/>
                <w:szCs w:val="20"/>
              </w:rPr>
            </w:pPr>
            <w:r>
              <w:rPr>
                <w:kern w:val="0"/>
                <w:sz w:val="21"/>
                <w:szCs w:val="20"/>
              </w:rPr>
              <w:t>0</w:t>
            </w:r>
          </w:p>
        </w:tc>
        <w:tc>
          <w:tcPr>
            <w:tcW w:w="1263" w:type="dxa"/>
            <w:vAlign w:val="center"/>
          </w:tcPr>
          <w:p w14:paraId="11A3B2E2">
            <w:pPr>
              <w:overflowPunct w:val="0"/>
              <w:autoSpaceDE w:val="0"/>
              <w:autoSpaceDN w:val="0"/>
              <w:spacing w:line="240" w:lineRule="atLeast"/>
              <w:jc w:val="center"/>
              <w:textAlignment w:val="baseline"/>
              <w:rPr>
                <w:kern w:val="0"/>
                <w:sz w:val="21"/>
                <w:szCs w:val="20"/>
              </w:rPr>
            </w:pPr>
            <w:r>
              <w:rPr>
                <w:kern w:val="0"/>
                <w:sz w:val="21"/>
                <w:szCs w:val="20"/>
              </w:rPr>
              <w:t>0</w:t>
            </w:r>
          </w:p>
        </w:tc>
        <w:tc>
          <w:tcPr>
            <w:tcW w:w="1560" w:type="dxa"/>
            <w:vAlign w:val="center"/>
          </w:tcPr>
          <w:p w14:paraId="625AA97C">
            <w:pPr>
              <w:overflowPunct w:val="0"/>
              <w:autoSpaceDE w:val="0"/>
              <w:autoSpaceDN w:val="0"/>
              <w:spacing w:line="240" w:lineRule="atLeast"/>
              <w:jc w:val="center"/>
              <w:textAlignment w:val="baseline"/>
              <w:rPr>
                <w:kern w:val="0"/>
                <w:sz w:val="21"/>
                <w:szCs w:val="20"/>
              </w:rPr>
            </w:pPr>
            <w:r>
              <w:rPr>
                <w:kern w:val="0"/>
                <w:sz w:val="21"/>
                <w:szCs w:val="20"/>
              </w:rPr>
              <w:t>0</w:t>
            </w:r>
          </w:p>
        </w:tc>
      </w:tr>
      <w:tr w14:paraId="0B128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1" w:hRule="atLeast"/>
          <w:jc w:val="center"/>
        </w:trPr>
        <w:tc>
          <w:tcPr>
            <w:tcW w:w="1210" w:type="dxa"/>
            <w:vMerge w:val="continue"/>
            <w:vAlign w:val="center"/>
          </w:tcPr>
          <w:p w14:paraId="46B75737">
            <w:pPr>
              <w:overflowPunct w:val="0"/>
              <w:autoSpaceDE w:val="0"/>
              <w:autoSpaceDN w:val="0"/>
              <w:spacing w:line="240" w:lineRule="atLeast"/>
              <w:jc w:val="center"/>
              <w:textAlignment w:val="baseline"/>
              <w:rPr>
                <w:kern w:val="0"/>
                <w:sz w:val="21"/>
                <w:szCs w:val="20"/>
              </w:rPr>
            </w:pPr>
          </w:p>
        </w:tc>
        <w:tc>
          <w:tcPr>
            <w:tcW w:w="1245" w:type="dxa"/>
            <w:vAlign w:val="center"/>
          </w:tcPr>
          <w:p w14:paraId="12F43200">
            <w:pPr>
              <w:overflowPunct w:val="0"/>
              <w:autoSpaceDE w:val="0"/>
              <w:autoSpaceDN w:val="0"/>
              <w:spacing w:line="240" w:lineRule="atLeast"/>
              <w:jc w:val="center"/>
              <w:textAlignment w:val="baseline"/>
              <w:rPr>
                <w:kern w:val="0"/>
                <w:sz w:val="21"/>
                <w:szCs w:val="20"/>
              </w:rPr>
            </w:pPr>
            <w:r>
              <w:rPr>
                <w:kern w:val="0"/>
                <w:sz w:val="21"/>
                <w:szCs w:val="20"/>
              </w:rPr>
              <w:t>二级保护区</w:t>
            </w:r>
          </w:p>
        </w:tc>
        <w:tc>
          <w:tcPr>
            <w:tcW w:w="968" w:type="dxa"/>
            <w:vAlign w:val="center"/>
          </w:tcPr>
          <w:p w14:paraId="18C50E6A">
            <w:pPr>
              <w:overflowPunct w:val="0"/>
              <w:autoSpaceDE w:val="0"/>
              <w:autoSpaceDN w:val="0"/>
              <w:spacing w:line="240" w:lineRule="atLeast"/>
              <w:jc w:val="center"/>
              <w:textAlignment w:val="baseline"/>
              <w:rPr>
                <w:kern w:val="0"/>
                <w:sz w:val="21"/>
                <w:szCs w:val="20"/>
              </w:rPr>
            </w:pPr>
            <w:r>
              <w:rPr>
                <w:rFonts w:hint="eastAsia"/>
                <w:kern w:val="0"/>
                <w:sz w:val="21"/>
                <w:szCs w:val="20"/>
              </w:rPr>
              <w:t>5户14人</w:t>
            </w:r>
          </w:p>
        </w:tc>
        <w:tc>
          <w:tcPr>
            <w:tcW w:w="1196" w:type="dxa"/>
            <w:vMerge w:val="continue"/>
            <w:vAlign w:val="center"/>
          </w:tcPr>
          <w:p w14:paraId="491D55A1">
            <w:pPr>
              <w:overflowPunct w:val="0"/>
              <w:autoSpaceDE w:val="0"/>
              <w:autoSpaceDN w:val="0"/>
              <w:spacing w:line="240" w:lineRule="atLeast"/>
              <w:jc w:val="center"/>
              <w:textAlignment w:val="baseline"/>
              <w:rPr>
                <w:kern w:val="0"/>
                <w:sz w:val="21"/>
                <w:szCs w:val="20"/>
              </w:rPr>
            </w:pPr>
          </w:p>
        </w:tc>
        <w:tc>
          <w:tcPr>
            <w:tcW w:w="1196" w:type="dxa"/>
            <w:vAlign w:val="center"/>
          </w:tcPr>
          <w:p w14:paraId="35F2B218">
            <w:pPr>
              <w:spacing w:line="240" w:lineRule="auto"/>
              <w:jc w:val="center"/>
              <w:rPr>
                <w:rFonts w:hint="eastAsia"/>
                <w:sz w:val="21"/>
                <w:szCs w:val="21"/>
              </w:rPr>
            </w:pPr>
            <w:r>
              <w:rPr>
                <w:sz w:val="21"/>
                <w:szCs w:val="21"/>
              </w:rPr>
              <w:t>0.041</w:t>
            </w:r>
          </w:p>
        </w:tc>
        <w:tc>
          <w:tcPr>
            <w:tcW w:w="1263" w:type="dxa"/>
            <w:vAlign w:val="center"/>
          </w:tcPr>
          <w:p w14:paraId="495B6A49">
            <w:pPr>
              <w:spacing w:line="240" w:lineRule="auto"/>
              <w:jc w:val="center"/>
              <w:rPr>
                <w:rFonts w:hint="eastAsia"/>
                <w:sz w:val="21"/>
                <w:szCs w:val="21"/>
              </w:rPr>
            </w:pPr>
            <w:r>
              <w:rPr>
                <w:sz w:val="21"/>
                <w:szCs w:val="21"/>
              </w:rPr>
              <w:t>0.084</w:t>
            </w:r>
          </w:p>
        </w:tc>
        <w:tc>
          <w:tcPr>
            <w:tcW w:w="1560" w:type="dxa"/>
            <w:vAlign w:val="center"/>
          </w:tcPr>
          <w:p w14:paraId="57688F19">
            <w:pPr>
              <w:spacing w:line="240" w:lineRule="auto"/>
              <w:jc w:val="center"/>
              <w:rPr>
                <w:rFonts w:hint="eastAsia"/>
                <w:sz w:val="21"/>
                <w:szCs w:val="21"/>
              </w:rPr>
            </w:pPr>
            <w:r>
              <w:rPr>
                <w:sz w:val="21"/>
                <w:szCs w:val="21"/>
              </w:rPr>
              <w:t>0.020</w:t>
            </w:r>
          </w:p>
        </w:tc>
      </w:tr>
      <w:tr w14:paraId="4D849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1210" w:type="dxa"/>
            <w:vMerge w:val="continue"/>
            <w:vAlign w:val="center"/>
          </w:tcPr>
          <w:p w14:paraId="333AF8BE">
            <w:pPr>
              <w:overflowPunct w:val="0"/>
              <w:autoSpaceDE w:val="0"/>
              <w:autoSpaceDN w:val="0"/>
              <w:spacing w:line="240" w:lineRule="atLeast"/>
              <w:jc w:val="center"/>
              <w:textAlignment w:val="baseline"/>
              <w:rPr>
                <w:kern w:val="0"/>
                <w:sz w:val="21"/>
                <w:szCs w:val="20"/>
              </w:rPr>
            </w:pPr>
          </w:p>
        </w:tc>
        <w:tc>
          <w:tcPr>
            <w:tcW w:w="1245" w:type="dxa"/>
            <w:vAlign w:val="center"/>
          </w:tcPr>
          <w:p w14:paraId="6C5CC1BB">
            <w:pPr>
              <w:overflowPunct w:val="0"/>
              <w:autoSpaceDE w:val="0"/>
              <w:autoSpaceDN w:val="0"/>
              <w:spacing w:line="240" w:lineRule="atLeast"/>
              <w:jc w:val="center"/>
              <w:textAlignment w:val="baseline"/>
              <w:rPr>
                <w:kern w:val="0"/>
                <w:sz w:val="21"/>
                <w:szCs w:val="20"/>
              </w:rPr>
            </w:pPr>
            <w:r>
              <w:rPr>
                <w:kern w:val="0"/>
                <w:sz w:val="21"/>
                <w:szCs w:val="20"/>
              </w:rPr>
              <w:t>合计</w:t>
            </w:r>
          </w:p>
        </w:tc>
        <w:tc>
          <w:tcPr>
            <w:tcW w:w="968" w:type="dxa"/>
            <w:vAlign w:val="center"/>
          </w:tcPr>
          <w:p w14:paraId="2024CC5A">
            <w:pPr>
              <w:overflowPunct w:val="0"/>
              <w:autoSpaceDE w:val="0"/>
              <w:autoSpaceDN w:val="0"/>
              <w:spacing w:line="240" w:lineRule="atLeast"/>
              <w:jc w:val="center"/>
              <w:textAlignment w:val="baseline"/>
              <w:rPr>
                <w:kern w:val="0"/>
                <w:sz w:val="21"/>
                <w:szCs w:val="20"/>
              </w:rPr>
            </w:pPr>
            <w:r>
              <w:rPr>
                <w:rFonts w:hint="eastAsia"/>
                <w:kern w:val="0"/>
                <w:sz w:val="21"/>
                <w:szCs w:val="20"/>
              </w:rPr>
              <w:t>5户14人</w:t>
            </w:r>
          </w:p>
        </w:tc>
        <w:tc>
          <w:tcPr>
            <w:tcW w:w="1196" w:type="dxa"/>
            <w:vAlign w:val="center"/>
          </w:tcPr>
          <w:p w14:paraId="2DE48CC2">
            <w:pPr>
              <w:overflowPunct w:val="0"/>
              <w:autoSpaceDE w:val="0"/>
              <w:autoSpaceDN w:val="0"/>
              <w:spacing w:line="240" w:lineRule="atLeast"/>
              <w:jc w:val="center"/>
              <w:textAlignment w:val="baseline"/>
              <w:rPr>
                <w:kern w:val="0"/>
                <w:sz w:val="21"/>
                <w:szCs w:val="20"/>
              </w:rPr>
            </w:pPr>
            <w:r>
              <w:rPr>
                <w:kern w:val="0"/>
                <w:sz w:val="21"/>
                <w:szCs w:val="20"/>
              </w:rPr>
              <w:t>/</w:t>
            </w:r>
          </w:p>
        </w:tc>
        <w:tc>
          <w:tcPr>
            <w:tcW w:w="1196" w:type="dxa"/>
            <w:vAlign w:val="center"/>
          </w:tcPr>
          <w:p w14:paraId="161253A6">
            <w:pPr>
              <w:spacing w:line="240" w:lineRule="auto"/>
              <w:jc w:val="center"/>
              <w:rPr>
                <w:rFonts w:hint="eastAsia"/>
              </w:rPr>
            </w:pPr>
            <w:r>
              <w:rPr>
                <w:sz w:val="21"/>
                <w:szCs w:val="21"/>
              </w:rPr>
              <w:t>0.041</w:t>
            </w:r>
          </w:p>
        </w:tc>
        <w:tc>
          <w:tcPr>
            <w:tcW w:w="1263" w:type="dxa"/>
            <w:vAlign w:val="center"/>
          </w:tcPr>
          <w:p w14:paraId="5CCB64D9">
            <w:pPr>
              <w:spacing w:line="240" w:lineRule="auto"/>
              <w:jc w:val="center"/>
              <w:rPr>
                <w:rFonts w:hint="eastAsia"/>
              </w:rPr>
            </w:pPr>
            <w:r>
              <w:rPr>
                <w:sz w:val="21"/>
                <w:szCs w:val="21"/>
              </w:rPr>
              <w:t>0.084</w:t>
            </w:r>
          </w:p>
        </w:tc>
        <w:tc>
          <w:tcPr>
            <w:tcW w:w="1560" w:type="dxa"/>
            <w:vAlign w:val="center"/>
          </w:tcPr>
          <w:p w14:paraId="5C7BA9D9">
            <w:pPr>
              <w:spacing w:line="240" w:lineRule="auto"/>
              <w:jc w:val="center"/>
              <w:rPr>
                <w:rFonts w:hint="eastAsia"/>
              </w:rPr>
            </w:pPr>
            <w:r>
              <w:rPr>
                <w:sz w:val="21"/>
                <w:szCs w:val="21"/>
              </w:rPr>
              <w:t>0.020</w:t>
            </w:r>
          </w:p>
        </w:tc>
      </w:tr>
    </w:tbl>
    <w:p w14:paraId="5A9247E3">
      <w:r>
        <w:pict>
          <v:shape id="_x0000_s2082" o:spid="_x0000_s2082" o:spt="202" type="#_x0000_t202" style="position:absolute;left:0pt;margin-left:310.7pt;margin-top:130.65pt;height:24pt;width:46.5pt;z-index:251660288;mso-width-relative:page;mso-height-relative:page;" filled="f" stroked="f" coordsize="21600,21600">
            <v:path/>
            <v:fill on="f" focussize="0,0"/>
            <v:stroke on="f" joinstyle="miter"/>
            <v:imagedata o:title=""/>
            <o:lock v:ext="edit"/>
            <v:textbox>
              <w:txbxContent>
                <w:p w14:paraId="6B1B244C">
                  <w:pPr>
                    <w:rPr>
                      <w:rFonts w:hint="eastAsia"/>
                      <w:b/>
                      <w:bCs/>
                      <w:color w:val="FFFFFF"/>
                    </w:rPr>
                  </w:pPr>
                  <w:r>
                    <w:rPr>
                      <w:rFonts w:hint="eastAsia"/>
                      <w:b/>
                      <w:bCs/>
                      <w:color w:val="FFFFFF"/>
                    </w:rPr>
                    <w:t>一户</w:t>
                  </w:r>
                </w:p>
              </w:txbxContent>
            </v:textbox>
          </v:shape>
        </w:pict>
      </w:r>
      <w:r>
        <w:rPr>
          <w:color w:val="0000FF"/>
          <w:sz w:val="28"/>
          <w:u w:val="single"/>
        </w:rPr>
        <w:pict>
          <v:shape id="_x0000_s2081" o:spid="_x0000_s2081" o:spt="202" type="#_x0000_t202" style="position:absolute;left:0pt;margin-left:253.4pt;margin-top:205.55pt;height:24pt;width:46.5pt;z-index:251660288;mso-width-relative:page;mso-height-relative:page;" filled="f" stroked="f" coordsize="21600,21600">
            <v:path/>
            <v:fill on="f" focussize="0,0"/>
            <v:stroke on="f" joinstyle="miter"/>
            <v:imagedata o:title=""/>
            <o:lock v:ext="edit"/>
            <v:textbox>
              <w:txbxContent>
                <w:p w14:paraId="498659E1">
                  <w:pPr>
                    <w:rPr>
                      <w:rFonts w:hint="eastAsia"/>
                      <w:b/>
                      <w:bCs/>
                      <w:color w:val="FFFFFF"/>
                    </w:rPr>
                  </w:pPr>
                  <w:r>
                    <w:rPr>
                      <w:rFonts w:hint="eastAsia"/>
                      <w:b/>
                      <w:bCs/>
                      <w:color w:val="FFFFFF"/>
                    </w:rPr>
                    <w:t>三户</w:t>
                  </w:r>
                </w:p>
              </w:txbxContent>
            </v:textbox>
          </v:shape>
        </w:pict>
      </w:r>
      <w:r>
        <w:drawing>
          <wp:inline distT="0" distB="0" distL="0" distR="0">
            <wp:extent cx="5283200" cy="3715385"/>
            <wp:effectExtent l="19050" t="0" r="0" b="0"/>
            <wp:docPr id="14" name="图片 47" descr="Inked微信图片_20190816111725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descr="Inked微信图片_20190816111725_LI"/>
                    <pic:cNvPicPr>
                      <a:picLocks noChangeAspect="1" noChangeArrowheads="1"/>
                    </pic:cNvPicPr>
                  </pic:nvPicPr>
                  <pic:blipFill>
                    <a:blip r:embed="rId35" cstate="print"/>
                    <a:srcRect b="3748"/>
                    <a:stretch>
                      <a:fillRect/>
                    </a:stretch>
                  </pic:blipFill>
                  <pic:spPr>
                    <a:xfrm>
                      <a:off x="0" y="0"/>
                      <a:ext cx="5283200" cy="3715385"/>
                    </a:xfrm>
                    <a:prstGeom prst="rect">
                      <a:avLst/>
                    </a:prstGeom>
                    <a:noFill/>
                    <a:ln w="9525" cmpd="sng">
                      <a:noFill/>
                      <a:miter lim="800000"/>
                      <a:headEnd/>
                      <a:tailEnd/>
                    </a:ln>
                    <a:effectLst/>
                  </pic:spPr>
                </pic:pic>
              </a:graphicData>
            </a:graphic>
          </wp:inline>
        </w:drawing>
      </w:r>
      <w:r>
        <w:pict>
          <v:shape id="_x0000_s2080" o:spid="_x0000_s2080" o:spt="202" type="#_x0000_t202" style="position:absolute;left:0pt;margin-left:115.6pt;margin-top:200.4pt;height:24pt;width:46.5pt;z-index:251659264;mso-width-relative:page;mso-height-relative:page;" filled="f" stroked="f" coordsize="21600,21600">
            <v:path/>
            <v:fill on="f" focussize="0,0"/>
            <v:stroke on="f" joinstyle="miter"/>
            <v:imagedata o:title=""/>
            <o:lock v:ext="edit"/>
            <v:textbox>
              <w:txbxContent>
                <w:p w14:paraId="460EB160">
                  <w:pPr>
                    <w:rPr>
                      <w:rFonts w:hint="eastAsia"/>
                      <w:b/>
                      <w:bCs/>
                      <w:color w:val="FFFFFF"/>
                    </w:rPr>
                  </w:pPr>
                  <w:r>
                    <w:rPr>
                      <w:rFonts w:hint="eastAsia"/>
                      <w:b/>
                      <w:bCs/>
                      <w:color w:val="FFFFFF"/>
                    </w:rPr>
                    <w:t>一户</w:t>
                  </w:r>
                </w:p>
              </w:txbxContent>
            </v:textbox>
          </v:shape>
        </w:pict>
      </w:r>
    </w:p>
    <w:p w14:paraId="16B0AF6E">
      <w:pPr>
        <w:ind w:firstLine="480" w:firstLineChars="200"/>
      </w:pPr>
      <w:r>
        <w:t>该类污染源主要是居民点生活污水和</w:t>
      </w:r>
      <w:r>
        <w:rPr>
          <w:rFonts w:hint="eastAsia"/>
        </w:rPr>
        <w:t>经</w:t>
      </w:r>
      <w:r>
        <w:t>化粪池处理后用于水源保护区内及周边农田施肥，从而影响水源地保护区的水质。</w:t>
      </w:r>
      <w:r>
        <w:rPr>
          <w:rFonts w:hint="eastAsia"/>
        </w:rPr>
        <w:t>2020年5月18日，绥宁县生态环境保护委员会办公室印发了《绥宁县关峡水厂“千吨万人”饮用水水源地环境问题专项整治工作方案的通知》（绥生环委办函﹝2020﹞2号），要求设立地理界碑、警示牌、宣传牌、隔离网等保护区标志并对保护区进行全面整治，绥宁县政府采取三格化粪池、小湿地等措施对生活污水进行消纳，确保无生活污水外排。2020年8月19日，绥宁县关峡水厂“千吨万人”饮用水水源地环境问题完成整治并进行销号。</w:t>
      </w:r>
    </w:p>
    <w:p w14:paraId="71F2020A">
      <w:pPr>
        <w:jc w:val="center"/>
        <w:rPr>
          <w:color w:val="0000FF"/>
          <w:u w:val="single"/>
        </w:rPr>
      </w:pPr>
      <w:r>
        <w:rPr>
          <w:color w:val="0000FF"/>
          <w:u w:val="single"/>
        </w:rPr>
        <w:drawing>
          <wp:inline distT="0" distB="0" distL="0" distR="0">
            <wp:extent cx="2540000" cy="2554605"/>
            <wp:effectExtent l="19050" t="0" r="0" b="0"/>
            <wp:docPr id="15" name="图片 54" descr="标识标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4" descr="标识标牌"/>
                    <pic:cNvPicPr>
                      <a:picLocks noChangeAspect="1" noChangeArrowheads="1"/>
                    </pic:cNvPicPr>
                  </pic:nvPicPr>
                  <pic:blipFill>
                    <a:blip r:embed="rId36" cstate="print"/>
                    <a:srcRect/>
                    <a:stretch>
                      <a:fillRect/>
                    </a:stretch>
                  </pic:blipFill>
                  <pic:spPr>
                    <a:xfrm>
                      <a:off x="0" y="0"/>
                      <a:ext cx="2540000" cy="2554605"/>
                    </a:xfrm>
                    <a:prstGeom prst="rect">
                      <a:avLst/>
                    </a:prstGeom>
                    <a:noFill/>
                    <a:ln w="9525" cmpd="sng">
                      <a:noFill/>
                      <a:miter lim="800000"/>
                      <a:headEnd/>
                      <a:tailEnd/>
                    </a:ln>
                  </pic:spPr>
                </pic:pic>
              </a:graphicData>
            </a:graphic>
          </wp:inline>
        </w:drawing>
      </w:r>
      <w:r>
        <w:rPr>
          <w:color w:val="0000FF"/>
          <w:u w:val="single"/>
        </w:rPr>
        <w:drawing>
          <wp:inline distT="0" distB="0" distL="0" distR="0">
            <wp:extent cx="2663190" cy="2540000"/>
            <wp:effectExtent l="19050" t="0" r="3810" b="0"/>
            <wp:docPr id="16" name="图片 55" descr="隔离网和标识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5" descr="隔离网和标识牌"/>
                    <pic:cNvPicPr>
                      <a:picLocks noChangeAspect="1" noChangeArrowheads="1"/>
                    </pic:cNvPicPr>
                  </pic:nvPicPr>
                  <pic:blipFill>
                    <a:blip r:embed="rId37" cstate="print"/>
                    <a:srcRect/>
                    <a:stretch>
                      <a:fillRect/>
                    </a:stretch>
                  </pic:blipFill>
                  <pic:spPr>
                    <a:xfrm>
                      <a:off x="0" y="0"/>
                      <a:ext cx="2663190" cy="2540000"/>
                    </a:xfrm>
                    <a:prstGeom prst="rect">
                      <a:avLst/>
                    </a:prstGeom>
                    <a:noFill/>
                    <a:ln w="9525" cmpd="sng">
                      <a:noFill/>
                      <a:miter lim="800000"/>
                      <a:headEnd/>
                      <a:tailEnd/>
                    </a:ln>
                  </pic:spPr>
                </pic:pic>
              </a:graphicData>
            </a:graphic>
          </wp:inline>
        </w:drawing>
      </w:r>
    </w:p>
    <w:p w14:paraId="39977037">
      <w:pPr>
        <w:jc w:val="center"/>
        <w:rPr>
          <w:color w:val="0000FF"/>
          <w:u w:val="single"/>
        </w:rPr>
      </w:pPr>
      <w:r>
        <w:rPr>
          <w:color w:val="0000FF"/>
          <w:u w:val="single"/>
        </w:rPr>
        <w:drawing>
          <wp:inline distT="0" distB="0" distL="0" distR="0">
            <wp:extent cx="2533015" cy="2772410"/>
            <wp:effectExtent l="19050" t="0" r="635" b="0"/>
            <wp:docPr id="17" name="图片 56" descr="标识标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6" descr="标识标牌2"/>
                    <pic:cNvPicPr>
                      <a:picLocks noChangeAspect="1" noChangeArrowheads="1"/>
                    </pic:cNvPicPr>
                  </pic:nvPicPr>
                  <pic:blipFill>
                    <a:blip r:embed="rId38" cstate="print"/>
                    <a:srcRect/>
                    <a:stretch>
                      <a:fillRect/>
                    </a:stretch>
                  </pic:blipFill>
                  <pic:spPr>
                    <a:xfrm>
                      <a:off x="0" y="0"/>
                      <a:ext cx="2533015" cy="2772410"/>
                    </a:xfrm>
                    <a:prstGeom prst="rect">
                      <a:avLst/>
                    </a:prstGeom>
                    <a:noFill/>
                    <a:ln w="9525" cmpd="sng">
                      <a:noFill/>
                      <a:miter lim="800000"/>
                      <a:headEnd/>
                      <a:tailEnd/>
                    </a:ln>
                  </pic:spPr>
                </pic:pic>
              </a:graphicData>
            </a:graphic>
          </wp:inline>
        </w:drawing>
      </w:r>
      <w:r>
        <w:rPr>
          <w:color w:val="0000FF"/>
          <w:u w:val="single"/>
        </w:rPr>
        <w:drawing>
          <wp:inline distT="0" distB="0" distL="0" distR="0">
            <wp:extent cx="2576195" cy="2772410"/>
            <wp:effectExtent l="19050" t="0" r="0" b="0"/>
            <wp:docPr id="18" name="图片 57" descr="界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7" descr="界碑"/>
                    <pic:cNvPicPr>
                      <a:picLocks noChangeAspect="1" noChangeArrowheads="1"/>
                    </pic:cNvPicPr>
                  </pic:nvPicPr>
                  <pic:blipFill>
                    <a:blip r:embed="rId39" cstate="print"/>
                    <a:srcRect/>
                    <a:stretch>
                      <a:fillRect/>
                    </a:stretch>
                  </pic:blipFill>
                  <pic:spPr>
                    <a:xfrm>
                      <a:off x="0" y="0"/>
                      <a:ext cx="2576195" cy="2772410"/>
                    </a:xfrm>
                    <a:prstGeom prst="rect">
                      <a:avLst/>
                    </a:prstGeom>
                    <a:noFill/>
                    <a:ln w="9525" cmpd="sng">
                      <a:noFill/>
                      <a:miter lim="800000"/>
                      <a:headEnd/>
                      <a:tailEnd/>
                    </a:ln>
                  </pic:spPr>
                </pic:pic>
              </a:graphicData>
            </a:graphic>
          </wp:inline>
        </w:drawing>
      </w:r>
      <w:r>
        <w:rPr>
          <w:color w:val="0000FF"/>
          <w:u w:val="single"/>
        </w:rPr>
        <w:drawing>
          <wp:inline distT="0" distB="0" distL="0" distR="0">
            <wp:extent cx="2554605" cy="2561590"/>
            <wp:effectExtent l="19050" t="0" r="0" b="0"/>
            <wp:docPr id="1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8"/>
                    <pic:cNvPicPr>
                      <a:picLocks noChangeAspect="1" noChangeArrowheads="1"/>
                    </pic:cNvPicPr>
                  </pic:nvPicPr>
                  <pic:blipFill>
                    <a:blip r:embed="rId40" cstate="print"/>
                    <a:srcRect/>
                    <a:stretch>
                      <a:fillRect/>
                    </a:stretch>
                  </pic:blipFill>
                  <pic:spPr>
                    <a:xfrm>
                      <a:off x="0" y="0"/>
                      <a:ext cx="2554605" cy="2561590"/>
                    </a:xfrm>
                    <a:prstGeom prst="rect">
                      <a:avLst/>
                    </a:prstGeom>
                    <a:noFill/>
                    <a:ln w="9525" cmpd="sng">
                      <a:noFill/>
                      <a:miter lim="800000"/>
                      <a:headEnd/>
                      <a:tailEnd/>
                    </a:ln>
                  </pic:spPr>
                </pic:pic>
              </a:graphicData>
            </a:graphic>
          </wp:inline>
        </w:drawing>
      </w:r>
      <w:r>
        <w:rPr>
          <w:color w:val="0000FF"/>
          <w:u w:val="single"/>
        </w:rPr>
        <w:drawing>
          <wp:inline distT="0" distB="0" distL="0" distR="0">
            <wp:extent cx="2620010" cy="2576195"/>
            <wp:effectExtent l="19050" t="0" r="8890" b="0"/>
            <wp:docPr id="2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9"/>
                    <pic:cNvPicPr>
                      <a:picLocks noChangeAspect="1" noChangeArrowheads="1"/>
                    </pic:cNvPicPr>
                  </pic:nvPicPr>
                  <pic:blipFill>
                    <a:blip r:embed="rId41" cstate="print"/>
                    <a:srcRect/>
                    <a:stretch>
                      <a:fillRect/>
                    </a:stretch>
                  </pic:blipFill>
                  <pic:spPr>
                    <a:xfrm>
                      <a:off x="0" y="0"/>
                      <a:ext cx="2620010" cy="2576195"/>
                    </a:xfrm>
                    <a:prstGeom prst="rect">
                      <a:avLst/>
                    </a:prstGeom>
                    <a:noFill/>
                    <a:ln w="9525" cmpd="sng">
                      <a:noFill/>
                      <a:miter lim="800000"/>
                      <a:headEnd/>
                      <a:tailEnd/>
                    </a:ln>
                  </pic:spPr>
                </pic:pic>
              </a:graphicData>
            </a:graphic>
          </wp:inline>
        </w:drawing>
      </w:r>
    </w:p>
    <w:p w14:paraId="06560207">
      <w:pPr>
        <w:jc w:val="center"/>
        <w:rPr>
          <w:b/>
          <w:bCs/>
          <w:sz w:val="21"/>
          <w:szCs w:val="21"/>
        </w:rPr>
      </w:pPr>
      <w:r>
        <w:rPr>
          <w:rFonts w:hint="eastAsia"/>
          <w:b/>
          <w:bCs/>
          <w:sz w:val="21"/>
          <w:szCs w:val="21"/>
        </w:rPr>
        <w:t>图2-2 水源地保护区整治后照片</w:t>
      </w:r>
    </w:p>
    <w:p w14:paraId="7081016C">
      <w:pPr>
        <w:ind w:firstLine="480" w:firstLineChars="200"/>
      </w:pPr>
      <w:r>
        <w:t>根据《全国饮用水源地基础数据调查源强系数》，农村居民生活污水量排放系数取 80 升/（人•日），化学需氧量排放系数取 16.4 克/（人•日），氨氮取 4.0 克/（人•日）。预计水源保护区内每年共排放生活污水约</w:t>
      </w:r>
      <w:r>
        <w:rPr>
          <w:rFonts w:hint="eastAsia"/>
        </w:rPr>
        <w:t>410</w:t>
      </w:r>
      <w:r>
        <w:t>吨，其中COD约为</w:t>
      </w:r>
      <w:r>
        <w:rPr>
          <w:rFonts w:hint="eastAsia"/>
        </w:rPr>
        <w:t>0.084</w:t>
      </w:r>
      <w:r>
        <w:t>吨/年，氨氮约为0.</w:t>
      </w:r>
      <w:r>
        <w:rPr>
          <w:rFonts w:hint="eastAsia"/>
        </w:rPr>
        <w:t>02</w:t>
      </w:r>
      <w:r>
        <w:t>吨/年。</w:t>
      </w:r>
    </w:p>
    <w:p w14:paraId="054E9D51">
      <w:pPr>
        <w:ind w:firstLine="480" w:firstLineChars="200"/>
      </w:pPr>
      <w:r>
        <w:t>对于水源地保护区上游</w:t>
      </w:r>
      <w:r>
        <w:rPr>
          <w:rFonts w:hint="eastAsia"/>
        </w:rPr>
        <w:t>插柳村等</w:t>
      </w:r>
      <w:r>
        <w:t>居民</w:t>
      </w:r>
      <w:r>
        <w:rPr>
          <w:rFonts w:hint="eastAsia"/>
        </w:rPr>
        <w:t>点较聚集的</w:t>
      </w:r>
      <w:r>
        <w:t>非点源污染，本预案建议进一步整治措施如下：积极</w:t>
      </w:r>
      <w:r>
        <w:rPr>
          <w:rFonts w:hint="eastAsia"/>
        </w:rPr>
        <w:t>扩大工业园区污水处理厂纳污范围，将聚集性居民的</w:t>
      </w:r>
      <w:r>
        <w:t>生活污水收集处理达标后，送至保护区以外</w:t>
      </w:r>
      <w:r>
        <w:rPr>
          <w:rFonts w:hint="eastAsia"/>
        </w:rPr>
        <w:t>的</w:t>
      </w:r>
      <w:r>
        <w:t>水源</w:t>
      </w:r>
      <w:r>
        <w:rPr>
          <w:rFonts w:hint="eastAsia"/>
        </w:rPr>
        <w:t>地</w:t>
      </w:r>
      <w:r>
        <w:t>下游排放。</w:t>
      </w:r>
    </w:p>
    <w:p w14:paraId="5CB7841A">
      <w:pPr>
        <w:ind w:firstLine="480" w:firstLineChars="200"/>
      </w:pPr>
      <w:r>
        <w:t>对于水源地保护区上游</w:t>
      </w:r>
      <w:r>
        <w:rPr>
          <w:rFonts w:hint="eastAsia"/>
        </w:rPr>
        <w:t>分散式</w:t>
      </w:r>
      <w:r>
        <w:t>居民非点源污染，本预案建议进一步整治措施如下：积极推广沼气工程。生活污水收集处理达标后，送至水源下游（保护区以外）</w:t>
      </w:r>
      <w:r>
        <w:rPr>
          <w:rFonts w:hint="eastAsia"/>
        </w:rPr>
        <w:t>污水处理厂处理后</w:t>
      </w:r>
      <w:r>
        <w:t>排放，或</w:t>
      </w:r>
      <w:r>
        <w:rPr>
          <w:rFonts w:hint="eastAsia"/>
        </w:rPr>
        <w:t>通过四格池沉淀、一体化设备处理后，排入人工湿地。</w:t>
      </w:r>
    </w:p>
    <w:p w14:paraId="58430952">
      <w:r>
        <w:rPr>
          <w:rFonts w:hint="eastAsia"/>
          <w:lang w:val="en-US" w:eastAsia="zh-CN"/>
        </w:rPr>
        <w:t>3</w:t>
      </w:r>
      <w:r>
        <w:t>.1.5.2农业种植污染</w:t>
      </w:r>
    </w:p>
    <w:p w14:paraId="0383553A">
      <w:pPr>
        <w:ind w:firstLine="480" w:firstLineChars="200"/>
        <w:rPr>
          <w:b/>
          <w:bCs/>
          <w:sz w:val="21"/>
          <w:szCs w:val="21"/>
        </w:rPr>
      </w:pPr>
      <w:r>
        <w:t>经调查， 农业种植污染主要来源于农业生产过程中化肥、农药的施用。</w:t>
      </w:r>
      <w:r>
        <w:rPr>
          <w:kern w:val="0"/>
        </w:rPr>
        <w:t>水源地保护区</w:t>
      </w:r>
      <w:r>
        <w:t>范围内农田具体信息见表2-4。</w:t>
      </w:r>
    </w:p>
    <w:p w14:paraId="2B4D3DD7">
      <w:pPr>
        <w:spacing w:line="240" w:lineRule="auto"/>
        <w:ind w:firstLine="422" w:firstLineChars="200"/>
        <w:jc w:val="center"/>
      </w:pPr>
      <w:r>
        <w:rPr>
          <w:b/>
          <w:bCs/>
          <w:sz w:val="21"/>
          <w:szCs w:val="21"/>
        </w:rPr>
        <w:t>表2-4  水源地保护区内涉及的农田一览表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7"/>
        <w:gridCol w:w="3276"/>
        <w:gridCol w:w="2165"/>
        <w:gridCol w:w="2163"/>
      </w:tblGrid>
      <w:tr w14:paraId="64272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887" w:type="dxa"/>
            <w:tcBorders>
              <w:tl2br w:val="nil"/>
              <w:tr2bl w:val="nil"/>
            </w:tcBorders>
            <w:vAlign w:val="center"/>
          </w:tcPr>
          <w:p w14:paraId="4E8CED4C">
            <w:pPr>
              <w:spacing w:line="240" w:lineRule="auto"/>
              <w:jc w:val="center"/>
              <w:rPr>
                <w:sz w:val="21"/>
                <w:szCs w:val="21"/>
              </w:rPr>
            </w:pPr>
            <w:r>
              <w:rPr>
                <w:sz w:val="21"/>
                <w:szCs w:val="21"/>
              </w:rPr>
              <w:t>序号</w:t>
            </w:r>
          </w:p>
        </w:tc>
        <w:tc>
          <w:tcPr>
            <w:tcW w:w="3276" w:type="dxa"/>
            <w:tcBorders>
              <w:tl2br w:val="nil"/>
              <w:tr2bl w:val="nil"/>
            </w:tcBorders>
            <w:vAlign w:val="center"/>
          </w:tcPr>
          <w:p w14:paraId="53B89C0E">
            <w:pPr>
              <w:spacing w:line="240" w:lineRule="auto"/>
              <w:jc w:val="center"/>
              <w:rPr>
                <w:sz w:val="21"/>
                <w:szCs w:val="21"/>
              </w:rPr>
            </w:pPr>
            <w:r>
              <w:rPr>
                <w:sz w:val="21"/>
                <w:szCs w:val="21"/>
              </w:rPr>
              <w:t>水源地保护区名称</w:t>
            </w:r>
          </w:p>
        </w:tc>
        <w:tc>
          <w:tcPr>
            <w:tcW w:w="4328" w:type="dxa"/>
            <w:gridSpan w:val="2"/>
            <w:tcBorders>
              <w:tl2br w:val="nil"/>
              <w:tr2bl w:val="nil"/>
            </w:tcBorders>
            <w:vAlign w:val="center"/>
          </w:tcPr>
          <w:p w14:paraId="1A82C472">
            <w:pPr>
              <w:spacing w:line="240" w:lineRule="auto"/>
              <w:jc w:val="center"/>
              <w:rPr>
                <w:sz w:val="21"/>
                <w:szCs w:val="21"/>
              </w:rPr>
            </w:pPr>
            <w:r>
              <w:rPr>
                <w:sz w:val="21"/>
                <w:szCs w:val="21"/>
              </w:rPr>
              <w:t>调查范围内农田（亩）</w:t>
            </w:r>
          </w:p>
        </w:tc>
      </w:tr>
      <w:tr w14:paraId="1521CD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87" w:type="dxa"/>
            <w:vMerge w:val="restart"/>
            <w:tcBorders>
              <w:tl2br w:val="nil"/>
              <w:tr2bl w:val="nil"/>
            </w:tcBorders>
            <w:vAlign w:val="center"/>
          </w:tcPr>
          <w:p w14:paraId="5EFD4D6D">
            <w:pPr>
              <w:spacing w:line="240" w:lineRule="auto"/>
              <w:jc w:val="center"/>
              <w:rPr>
                <w:sz w:val="21"/>
                <w:szCs w:val="21"/>
              </w:rPr>
            </w:pPr>
            <w:r>
              <w:rPr>
                <w:sz w:val="21"/>
                <w:szCs w:val="21"/>
              </w:rPr>
              <w:t>1</w:t>
            </w:r>
          </w:p>
        </w:tc>
        <w:tc>
          <w:tcPr>
            <w:tcW w:w="3276" w:type="dxa"/>
            <w:vMerge w:val="restart"/>
            <w:tcBorders>
              <w:tl2br w:val="nil"/>
              <w:tr2bl w:val="nil"/>
            </w:tcBorders>
            <w:vAlign w:val="center"/>
          </w:tcPr>
          <w:p w14:paraId="59136CAA">
            <w:pPr>
              <w:spacing w:line="240" w:lineRule="auto"/>
              <w:jc w:val="center"/>
              <w:rPr>
                <w:sz w:val="21"/>
                <w:szCs w:val="21"/>
              </w:rPr>
            </w:pPr>
            <w:r>
              <w:rPr>
                <w:rFonts w:hint="eastAsia"/>
                <w:kern w:val="0"/>
                <w:sz w:val="21"/>
                <w:szCs w:val="21"/>
              </w:rPr>
              <w:t>绥宁县关峡苗族乡兰溪水饮用水水源地保护区</w:t>
            </w:r>
          </w:p>
        </w:tc>
        <w:tc>
          <w:tcPr>
            <w:tcW w:w="2165" w:type="dxa"/>
            <w:tcBorders>
              <w:tl2br w:val="nil"/>
              <w:tr2bl w:val="nil"/>
            </w:tcBorders>
            <w:vAlign w:val="center"/>
          </w:tcPr>
          <w:p w14:paraId="6BF1D59A">
            <w:pPr>
              <w:spacing w:line="240" w:lineRule="auto"/>
              <w:jc w:val="center"/>
              <w:rPr>
                <w:sz w:val="21"/>
                <w:szCs w:val="21"/>
              </w:rPr>
            </w:pPr>
            <w:r>
              <w:rPr>
                <w:sz w:val="21"/>
                <w:szCs w:val="21"/>
              </w:rPr>
              <w:t>一级保护区</w:t>
            </w:r>
          </w:p>
        </w:tc>
        <w:tc>
          <w:tcPr>
            <w:tcW w:w="2163" w:type="dxa"/>
            <w:tcBorders>
              <w:tl2br w:val="nil"/>
              <w:tr2bl w:val="nil"/>
            </w:tcBorders>
            <w:vAlign w:val="center"/>
          </w:tcPr>
          <w:p w14:paraId="07D9397A">
            <w:pPr>
              <w:spacing w:line="240" w:lineRule="auto"/>
              <w:jc w:val="center"/>
              <w:rPr>
                <w:sz w:val="21"/>
                <w:szCs w:val="21"/>
              </w:rPr>
            </w:pPr>
            <w:r>
              <w:rPr>
                <w:rFonts w:hint="eastAsia"/>
                <w:sz w:val="21"/>
                <w:szCs w:val="21"/>
              </w:rPr>
              <w:t>1</w:t>
            </w:r>
            <w:r>
              <w:rPr>
                <w:sz w:val="21"/>
                <w:szCs w:val="21"/>
              </w:rPr>
              <w:t>0</w:t>
            </w:r>
          </w:p>
        </w:tc>
      </w:tr>
      <w:tr w14:paraId="40EBF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87" w:type="dxa"/>
            <w:vMerge w:val="continue"/>
            <w:tcBorders>
              <w:tl2br w:val="nil"/>
              <w:tr2bl w:val="nil"/>
            </w:tcBorders>
            <w:vAlign w:val="center"/>
          </w:tcPr>
          <w:p w14:paraId="10AA6175">
            <w:pPr>
              <w:spacing w:line="240" w:lineRule="auto"/>
              <w:jc w:val="center"/>
              <w:rPr>
                <w:sz w:val="21"/>
                <w:szCs w:val="21"/>
              </w:rPr>
            </w:pPr>
          </w:p>
        </w:tc>
        <w:tc>
          <w:tcPr>
            <w:tcW w:w="3276" w:type="dxa"/>
            <w:vMerge w:val="continue"/>
            <w:tcBorders>
              <w:tl2br w:val="nil"/>
              <w:tr2bl w:val="nil"/>
            </w:tcBorders>
            <w:vAlign w:val="center"/>
          </w:tcPr>
          <w:p w14:paraId="215432ED">
            <w:pPr>
              <w:spacing w:line="240" w:lineRule="auto"/>
              <w:jc w:val="center"/>
              <w:rPr>
                <w:kern w:val="0"/>
                <w:sz w:val="21"/>
                <w:szCs w:val="21"/>
              </w:rPr>
            </w:pPr>
          </w:p>
        </w:tc>
        <w:tc>
          <w:tcPr>
            <w:tcW w:w="2165" w:type="dxa"/>
            <w:tcBorders>
              <w:tl2br w:val="nil"/>
              <w:tr2bl w:val="nil"/>
            </w:tcBorders>
            <w:vAlign w:val="center"/>
          </w:tcPr>
          <w:p w14:paraId="5E440085">
            <w:pPr>
              <w:spacing w:line="240" w:lineRule="auto"/>
              <w:jc w:val="center"/>
              <w:rPr>
                <w:sz w:val="21"/>
                <w:szCs w:val="21"/>
              </w:rPr>
            </w:pPr>
            <w:r>
              <w:rPr>
                <w:sz w:val="21"/>
                <w:szCs w:val="21"/>
              </w:rPr>
              <w:t>二级保护区</w:t>
            </w:r>
          </w:p>
        </w:tc>
        <w:tc>
          <w:tcPr>
            <w:tcW w:w="2163" w:type="dxa"/>
            <w:tcBorders>
              <w:tl2br w:val="nil"/>
              <w:tr2bl w:val="nil"/>
            </w:tcBorders>
            <w:vAlign w:val="center"/>
          </w:tcPr>
          <w:p w14:paraId="3177ECAC">
            <w:pPr>
              <w:spacing w:line="240" w:lineRule="auto"/>
              <w:jc w:val="center"/>
              <w:rPr>
                <w:sz w:val="21"/>
                <w:szCs w:val="21"/>
              </w:rPr>
            </w:pPr>
            <w:r>
              <w:rPr>
                <w:rFonts w:hint="eastAsia"/>
                <w:sz w:val="21"/>
                <w:szCs w:val="21"/>
              </w:rPr>
              <w:t>4</w:t>
            </w:r>
            <w:r>
              <w:rPr>
                <w:sz w:val="21"/>
                <w:szCs w:val="21"/>
              </w:rPr>
              <w:t>0</w:t>
            </w:r>
          </w:p>
        </w:tc>
      </w:tr>
      <w:tr w14:paraId="47EAF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87" w:type="dxa"/>
            <w:vMerge w:val="continue"/>
            <w:tcBorders>
              <w:tl2br w:val="nil"/>
              <w:tr2bl w:val="nil"/>
            </w:tcBorders>
            <w:vAlign w:val="center"/>
          </w:tcPr>
          <w:p w14:paraId="7B55C4EB">
            <w:pPr>
              <w:spacing w:line="240" w:lineRule="auto"/>
              <w:jc w:val="center"/>
              <w:rPr>
                <w:sz w:val="21"/>
                <w:szCs w:val="21"/>
              </w:rPr>
            </w:pPr>
          </w:p>
        </w:tc>
        <w:tc>
          <w:tcPr>
            <w:tcW w:w="3276" w:type="dxa"/>
            <w:vMerge w:val="continue"/>
            <w:tcBorders>
              <w:tl2br w:val="nil"/>
              <w:tr2bl w:val="nil"/>
            </w:tcBorders>
            <w:vAlign w:val="center"/>
          </w:tcPr>
          <w:p w14:paraId="5476E058">
            <w:pPr>
              <w:spacing w:line="240" w:lineRule="auto"/>
              <w:jc w:val="center"/>
              <w:rPr>
                <w:kern w:val="0"/>
                <w:sz w:val="21"/>
                <w:szCs w:val="21"/>
              </w:rPr>
            </w:pPr>
          </w:p>
        </w:tc>
        <w:tc>
          <w:tcPr>
            <w:tcW w:w="2165" w:type="dxa"/>
            <w:tcBorders>
              <w:tl2br w:val="nil"/>
              <w:tr2bl w:val="nil"/>
            </w:tcBorders>
            <w:vAlign w:val="center"/>
          </w:tcPr>
          <w:p w14:paraId="458E1581">
            <w:pPr>
              <w:spacing w:line="240" w:lineRule="auto"/>
              <w:jc w:val="center"/>
              <w:rPr>
                <w:sz w:val="21"/>
                <w:szCs w:val="21"/>
              </w:rPr>
            </w:pPr>
            <w:r>
              <w:rPr>
                <w:sz w:val="21"/>
                <w:szCs w:val="21"/>
              </w:rPr>
              <w:t>合计</w:t>
            </w:r>
          </w:p>
        </w:tc>
        <w:tc>
          <w:tcPr>
            <w:tcW w:w="2163" w:type="dxa"/>
            <w:tcBorders>
              <w:tl2br w:val="nil"/>
              <w:tr2bl w:val="nil"/>
            </w:tcBorders>
            <w:vAlign w:val="center"/>
          </w:tcPr>
          <w:p w14:paraId="27702440">
            <w:pPr>
              <w:spacing w:line="240" w:lineRule="auto"/>
              <w:jc w:val="center"/>
              <w:rPr>
                <w:sz w:val="21"/>
                <w:szCs w:val="21"/>
              </w:rPr>
            </w:pPr>
            <w:r>
              <w:rPr>
                <w:rFonts w:hint="eastAsia"/>
                <w:sz w:val="21"/>
                <w:szCs w:val="21"/>
              </w:rPr>
              <w:t>5</w:t>
            </w:r>
            <w:r>
              <w:rPr>
                <w:sz w:val="21"/>
                <w:szCs w:val="21"/>
              </w:rPr>
              <w:t>0</w:t>
            </w:r>
          </w:p>
        </w:tc>
      </w:tr>
    </w:tbl>
    <w:p w14:paraId="6C591837">
      <w:pPr>
        <w:ind w:firstLine="480" w:firstLineChars="200"/>
      </w:pPr>
      <w:r>
        <w:t>该类污染源主要是农田不合理施肥和高毒农药的使用而导致水污染事故的产生。</w:t>
      </w:r>
    </w:p>
    <w:p w14:paraId="4AD29643">
      <w:pPr>
        <w:ind w:firstLine="480" w:firstLineChars="200"/>
        <w:rPr>
          <w:rFonts w:hint="eastAsia"/>
          <w:kern w:val="0"/>
        </w:rPr>
      </w:pPr>
      <w:r>
        <w:rPr>
          <w:kern w:val="0"/>
        </w:rPr>
        <w:t>根据调查，</w:t>
      </w:r>
      <w:r>
        <w:rPr>
          <w:rFonts w:hint="eastAsia"/>
          <w:kern w:val="0"/>
        </w:rPr>
        <w:t>绥宁</w:t>
      </w:r>
      <w:r>
        <w:rPr>
          <w:kern w:val="0"/>
        </w:rPr>
        <w:t>县农田化肥年施用量为碳铵 50kg/亩、磷肥 20kg/亩、尿素 7.5kg/亩、钾肥 7.5kg/亩；主要农药年施用量为杀虫双500g/亩、井冈霉素 50g/亩、扑虱灵 20g/亩，其施用量低于全省平均施用量。在自然因素的作用下，施用于稻田中的农药、化肥经作物吸收、土壤截留及土壤微生物化学降解作用后，只有极少部分经雨水冲刷或渗透进入河流中给水体造成一定的污染</w:t>
      </w:r>
      <w:r>
        <w:rPr>
          <w:rFonts w:hint="eastAsia"/>
          <w:kern w:val="0"/>
        </w:rPr>
        <w:t>。</w:t>
      </w:r>
    </w:p>
    <w:p w14:paraId="5C6DDA56">
      <w:pPr>
        <w:ind w:firstLine="480" w:firstLineChars="200"/>
        <w:rPr>
          <w:b/>
          <w:bCs/>
          <w:sz w:val="21"/>
          <w:szCs w:val="21"/>
        </w:rPr>
      </w:pPr>
      <w:r>
        <w:rPr>
          <w:szCs w:val="21"/>
        </w:rPr>
        <w:t>根据《全国饮用水源地基础数据调查源强系数》，</w:t>
      </w:r>
      <w:r>
        <w:t>农田污染物源强系数 COD 为 10 千克/（亩•年），氨氮为 2 千克/（亩•年），湖南省农田径流废水量源强系数为年均 523 千克/亩。水源地保护区内农田径流污染源调查数据详见表</w:t>
      </w:r>
      <w:r>
        <w:rPr>
          <w:rFonts w:hint="eastAsia"/>
        </w:rPr>
        <w:t>3-9</w:t>
      </w:r>
      <w:r>
        <w:t>。</w:t>
      </w:r>
    </w:p>
    <w:p w14:paraId="601D3941">
      <w:pPr>
        <w:ind w:firstLine="422" w:firstLineChars="200"/>
        <w:jc w:val="center"/>
        <w:rPr>
          <w:b/>
          <w:bCs/>
          <w:sz w:val="21"/>
          <w:szCs w:val="21"/>
        </w:rPr>
      </w:pPr>
    </w:p>
    <w:p w14:paraId="09E1587E">
      <w:pPr>
        <w:ind w:firstLine="422" w:firstLineChars="200"/>
        <w:jc w:val="center"/>
        <w:rPr>
          <w:b/>
          <w:bCs/>
          <w:sz w:val="21"/>
          <w:szCs w:val="21"/>
        </w:rPr>
      </w:pPr>
      <w:r>
        <w:rPr>
          <w:b/>
          <w:bCs/>
          <w:sz w:val="21"/>
          <w:szCs w:val="21"/>
        </w:rPr>
        <w:t>表</w:t>
      </w:r>
      <w:r>
        <w:rPr>
          <w:rFonts w:hint="eastAsia"/>
          <w:b/>
          <w:bCs/>
          <w:sz w:val="21"/>
          <w:szCs w:val="21"/>
        </w:rPr>
        <w:t>2-5</w:t>
      </w:r>
      <w:r>
        <w:rPr>
          <w:b/>
          <w:bCs/>
          <w:sz w:val="21"/>
          <w:szCs w:val="21"/>
        </w:rPr>
        <w:t xml:space="preserve"> 水源地保护区内农田径流污染源调查情况统计</w:t>
      </w:r>
    </w:p>
    <w:tbl>
      <w:tblPr>
        <w:tblStyle w:val="20"/>
        <w:tblW w:w="83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834"/>
        <w:gridCol w:w="1391"/>
        <w:gridCol w:w="1118"/>
        <w:gridCol w:w="1405"/>
        <w:gridCol w:w="1173"/>
        <w:gridCol w:w="1397"/>
      </w:tblGrid>
      <w:tr w14:paraId="61A3E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1834" w:type="dxa"/>
            <w:tcBorders>
              <w:tl2br w:val="nil"/>
              <w:tr2bl w:val="nil"/>
            </w:tcBorders>
            <w:vAlign w:val="center"/>
          </w:tcPr>
          <w:p w14:paraId="0979C52A">
            <w:pPr>
              <w:overflowPunct w:val="0"/>
              <w:autoSpaceDE w:val="0"/>
              <w:autoSpaceDN w:val="0"/>
              <w:spacing w:line="240" w:lineRule="atLeast"/>
              <w:jc w:val="center"/>
              <w:textAlignment w:val="baseline"/>
              <w:rPr>
                <w:kern w:val="0"/>
                <w:sz w:val="21"/>
                <w:szCs w:val="20"/>
              </w:rPr>
            </w:pPr>
            <w:r>
              <w:rPr>
                <w:kern w:val="0"/>
                <w:sz w:val="21"/>
                <w:szCs w:val="20"/>
              </w:rPr>
              <w:t>水源地名称</w:t>
            </w:r>
          </w:p>
        </w:tc>
        <w:tc>
          <w:tcPr>
            <w:tcW w:w="1391" w:type="dxa"/>
            <w:tcBorders>
              <w:tl2br w:val="nil"/>
              <w:tr2bl w:val="nil"/>
            </w:tcBorders>
            <w:vAlign w:val="center"/>
          </w:tcPr>
          <w:p w14:paraId="39BCC38D">
            <w:pPr>
              <w:overflowPunct w:val="0"/>
              <w:autoSpaceDE w:val="0"/>
              <w:autoSpaceDN w:val="0"/>
              <w:spacing w:line="240" w:lineRule="atLeast"/>
              <w:jc w:val="center"/>
              <w:textAlignment w:val="baseline"/>
              <w:rPr>
                <w:kern w:val="0"/>
                <w:sz w:val="21"/>
                <w:szCs w:val="20"/>
              </w:rPr>
            </w:pPr>
            <w:r>
              <w:rPr>
                <w:kern w:val="0"/>
                <w:sz w:val="21"/>
                <w:szCs w:val="20"/>
              </w:rPr>
              <w:t>保护区类型</w:t>
            </w:r>
          </w:p>
        </w:tc>
        <w:tc>
          <w:tcPr>
            <w:tcW w:w="1118" w:type="dxa"/>
            <w:tcBorders>
              <w:tl2br w:val="nil"/>
              <w:tr2bl w:val="nil"/>
            </w:tcBorders>
            <w:vAlign w:val="center"/>
          </w:tcPr>
          <w:p w14:paraId="159CB09E">
            <w:pPr>
              <w:overflowPunct w:val="0"/>
              <w:autoSpaceDE w:val="0"/>
              <w:autoSpaceDN w:val="0"/>
              <w:spacing w:line="240" w:lineRule="atLeast"/>
              <w:jc w:val="center"/>
              <w:textAlignment w:val="baseline"/>
              <w:rPr>
                <w:kern w:val="0"/>
                <w:sz w:val="21"/>
                <w:szCs w:val="20"/>
              </w:rPr>
            </w:pPr>
            <w:r>
              <w:rPr>
                <w:kern w:val="0"/>
                <w:sz w:val="21"/>
                <w:szCs w:val="20"/>
              </w:rPr>
              <w:t>农田面积</w:t>
            </w:r>
          </w:p>
          <w:p w14:paraId="46892746">
            <w:pPr>
              <w:overflowPunct w:val="0"/>
              <w:autoSpaceDE w:val="0"/>
              <w:autoSpaceDN w:val="0"/>
              <w:spacing w:line="240" w:lineRule="atLeast"/>
              <w:jc w:val="center"/>
              <w:textAlignment w:val="baseline"/>
              <w:rPr>
                <w:kern w:val="0"/>
                <w:sz w:val="21"/>
                <w:szCs w:val="20"/>
              </w:rPr>
            </w:pPr>
            <w:r>
              <w:rPr>
                <w:kern w:val="0"/>
                <w:sz w:val="21"/>
                <w:szCs w:val="20"/>
              </w:rPr>
              <w:t>（亩）</w:t>
            </w:r>
          </w:p>
        </w:tc>
        <w:tc>
          <w:tcPr>
            <w:tcW w:w="1405" w:type="dxa"/>
            <w:tcBorders>
              <w:tl2br w:val="nil"/>
              <w:tr2bl w:val="nil"/>
            </w:tcBorders>
            <w:vAlign w:val="center"/>
          </w:tcPr>
          <w:p w14:paraId="28BBC4BC">
            <w:pPr>
              <w:overflowPunct w:val="0"/>
              <w:autoSpaceDE w:val="0"/>
              <w:autoSpaceDN w:val="0"/>
              <w:spacing w:line="240" w:lineRule="atLeast"/>
              <w:jc w:val="center"/>
              <w:textAlignment w:val="baseline"/>
              <w:rPr>
                <w:kern w:val="0"/>
                <w:sz w:val="21"/>
                <w:szCs w:val="20"/>
              </w:rPr>
            </w:pPr>
            <w:r>
              <w:rPr>
                <w:kern w:val="0"/>
                <w:sz w:val="21"/>
                <w:szCs w:val="20"/>
              </w:rPr>
              <w:t>废水排放量</w:t>
            </w:r>
          </w:p>
          <w:p w14:paraId="2EE9FC3B">
            <w:pPr>
              <w:overflowPunct w:val="0"/>
              <w:autoSpaceDE w:val="0"/>
              <w:autoSpaceDN w:val="0"/>
              <w:spacing w:line="240" w:lineRule="atLeast"/>
              <w:jc w:val="center"/>
              <w:textAlignment w:val="baseline"/>
              <w:rPr>
                <w:kern w:val="0"/>
                <w:sz w:val="21"/>
                <w:szCs w:val="20"/>
              </w:rPr>
            </w:pPr>
            <w:r>
              <w:rPr>
                <w:kern w:val="0"/>
                <w:sz w:val="21"/>
                <w:szCs w:val="20"/>
              </w:rPr>
              <w:t>（吨/年）</w:t>
            </w:r>
          </w:p>
        </w:tc>
        <w:tc>
          <w:tcPr>
            <w:tcW w:w="1173" w:type="dxa"/>
            <w:tcBorders>
              <w:tl2br w:val="nil"/>
              <w:tr2bl w:val="nil"/>
            </w:tcBorders>
            <w:vAlign w:val="center"/>
          </w:tcPr>
          <w:p w14:paraId="7877CC7B">
            <w:pPr>
              <w:overflowPunct w:val="0"/>
              <w:autoSpaceDE w:val="0"/>
              <w:autoSpaceDN w:val="0"/>
              <w:spacing w:line="240" w:lineRule="atLeast"/>
              <w:jc w:val="center"/>
              <w:textAlignment w:val="baseline"/>
              <w:rPr>
                <w:kern w:val="0"/>
                <w:sz w:val="21"/>
                <w:szCs w:val="20"/>
              </w:rPr>
            </w:pPr>
            <w:r>
              <w:rPr>
                <w:kern w:val="0"/>
                <w:sz w:val="21"/>
                <w:szCs w:val="20"/>
              </w:rPr>
              <w:t>COD排放量</w:t>
            </w:r>
          </w:p>
          <w:p w14:paraId="3A150CAC">
            <w:pPr>
              <w:overflowPunct w:val="0"/>
              <w:autoSpaceDE w:val="0"/>
              <w:autoSpaceDN w:val="0"/>
              <w:spacing w:line="240" w:lineRule="atLeast"/>
              <w:jc w:val="center"/>
              <w:textAlignment w:val="baseline"/>
              <w:rPr>
                <w:kern w:val="0"/>
                <w:sz w:val="21"/>
                <w:szCs w:val="20"/>
              </w:rPr>
            </w:pPr>
            <w:r>
              <w:rPr>
                <w:kern w:val="0"/>
                <w:sz w:val="21"/>
                <w:szCs w:val="20"/>
              </w:rPr>
              <w:t>（吨/年）</w:t>
            </w:r>
          </w:p>
        </w:tc>
        <w:tc>
          <w:tcPr>
            <w:tcW w:w="1397" w:type="dxa"/>
            <w:tcBorders>
              <w:tl2br w:val="nil"/>
              <w:tr2bl w:val="nil"/>
            </w:tcBorders>
            <w:vAlign w:val="center"/>
          </w:tcPr>
          <w:p w14:paraId="062BF503">
            <w:pPr>
              <w:overflowPunct w:val="0"/>
              <w:autoSpaceDE w:val="0"/>
              <w:autoSpaceDN w:val="0"/>
              <w:spacing w:line="240" w:lineRule="atLeast"/>
              <w:jc w:val="center"/>
              <w:textAlignment w:val="baseline"/>
              <w:rPr>
                <w:kern w:val="0"/>
                <w:sz w:val="21"/>
                <w:szCs w:val="20"/>
              </w:rPr>
            </w:pPr>
            <w:r>
              <w:rPr>
                <w:kern w:val="0"/>
                <w:sz w:val="21"/>
                <w:szCs w:val="20"/>
              </w:rPr>
              <w:t>NH</w:t>
            </w:r>
            <w:r>
              <w:rPr>
                <w:kern w:val="0"/>
                <w:sz w:val="21"/>
                <w:szCs w:val="20"/>
                <w:vertAlign w:val="subscript"/>
              </w:rPr>
              <w:t>3</w:t>
            </w:r>
            <w:r>
              <w:rPr>
                <w:kern w:val="0"/>
                <w:sz w:val="21"/>
                <w:szCs w:val="20"/>
              </w:rPr>
              <w:t>-N排放量</w:t>
            </w:r>
          </w:p>
          <w:p w14:paraId="38BA760B">
            <w:pPr>
              <w:overflowPunct w:val="0"/>
              <w:autoSpaceDE w:val="0"/>
              <w:autoSpaceDN w:val="0"/>
              <w:spacing w:line="240" w:lineRule="atLeast"/>
              <w:jc w:val="center"/>
              <w:textAlignment w:val="baseline"/>
              <w:rPr>
                <w:kern w:val="0"/>
                <w:sz w:val="21"/>
                <w:szCs w:val="20"/>
              </w:rPr>
            </w:pPr>
            <w:r>
              <w:rPr>
                <w:kern w:val="0"/>
                <w:sz w:val="21"/>
                <w:szCs w:val="20"/>
              </w:rPr>
              <w:t>（吨/年）</w:t>
            </w:r>
          </w:p>
        </w:tc>
      </w:tr>
      <w:tr w14:paraId="4BB7E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1834" w:type="dxa"/>
            <w:vMerge w:val="restart"/>
            <w:tcBorders>
              <w:tl2br w:val="nil"/>
              <w:tr2bl w:val="nil"/>
            </w:tcBorders>
            <w:vAlign w:val="center"/>
          </w:tcPr>
          <w:p w14:paraId="3E25E6BA">
            <w:pPr>
              <w:overflowPunct w:val="0"/>
              <w:autoSpaceDE w:val="0"/>
              <w:autoSpaceDN w:val="0"/>
              <w:spacing w:line="240" w:lineRule="atLeast"/>
              <w:jc w:val="center"/>
              <w:textAlignment w:val="baseline"/>
              <w:rPr>
                <w:rFonts w:hint="eastAsia"/>
                <w:kern w:val="0"/>
                <w:sz w:val="21"/>
                <w:szCs w:val="20"/>
              </w:rPr>
            </w:pPr>
            <w:r>
              <w:rPr>
                <w:rFonts w:hint="eastAsia"/>
                <w:kern w:val="0"/>
                <w:sz w:val="21"/>
                <w:szCs w:val="20"/>
              </w:rPr>
              <w:t>绥宁县关峡苗族乡兰溪水饮用水水源地保护区</w:t>
            </w:r>
          </w:p>
        </w:tc>
        <w:tc>
          <w:tcPr>
            <w:tcW w:w="1391" w:type="dxa"/>
            <w:tcBorders>
              <w:tl2br w:val="nil"/>
              <w:tr2bl w:val="nil"/>
            </w:tcBorders>
            <w:vAlign w:val="center"/>
          </w:tcPr>
          <w:p w14:paraId="77BC797E">
            <w:pPr>
              <w:overflowPunct w:val="0"/>
              <w:autoSpaceDE w:val="0"/>
              <w:autoSpaceDN w:val="0"/>
              <w:spacing w:line="240" w:lineRule="atLeast"/>
              <w:jc w:val="center"/>
              <w:textAlignment w:val="baseline"/>
              <w:rPr>
                <w:kern w:val="0"/>
                <w:sz w:val="21"/>
                <w:szCs w:val="20"/>
              </w:rPr>
            </w:pPr>
            <w:r>
              <w:rPr>
                <w:kern w:val="0"/>
                <w:sz w:val="21"/>
                <w:szCs w:val="20"/>
              </w:rPr>
              <w:t>一级保护区</w:t>
            </w:r>
          </w:p>
        </w:tc>
        <w:tc>
          <w:tcPr>
            <w:tcW w:w="1118" w:type="dxa"/>
            <w:tcBorders>
              <w:tl2br w:val="nil"/>
              <w:tr2bl w:val="nil"/>
            </w:tcBorders>
            <w:vAlign w:val="center"/>
          </w:tcPr>
          <w:p w14:paraId="44693B5F">
            <w:pPr>
              <w:jc w:val="center"/>
              <w:rPr>
                <w:sz w:val="21"/>
                <w:szCs w:val="21"/>
              </w:rPr>
            </w:pPr>
            <w:r>
              <w:rPr>
                <w:sz w:val="21"/>
                <w:szCs w:val="21"/>
              </w:rPr>
              <w:t>10</w:t>
            </w:r>
          </w:p>
        </w:tc>
        <w:tc>
          <w:tcPr>
            <w:tcW w:w="1405" w:type="dxa"/>
            <w:tcBorders>
              <w:tl2br w:val="nil"/>
              <w:tr2bl w:val="nil"/>
            </w:tcBorders>
            <w:vAlign w:val="center"/>
          </w:tcPr>
          <w:p w14:paraId="3ED990E3">
            <w:pPr>
              <w:jc w:val="center"/>
              <w:rPr>
                <w:sz w:val="21"/>
                <w:szCs w:val="21"/>
              </w:rPr>
            </w:pPr>
            <w:r>
              <w:rPr>
                <w:sz w:val="21"/>
                <w:szCs w:val="21"/>
              </w:rPr>
              <w:t>5.23</w:t>
            </w:r>
          </w:p>
        </w:tc>
        <w:tc>
          <w:tcPr>
            <w:tcW w:w="1173" w:type="dxa"/>
            <w:tcBorders>
              <w:tl2br w:val="nil"/>
              <w:tr2bl w:val="nil"/>
            </w:tcBorders>
            <w:vAlign w:val="center"/>
          </w:tcPr>
          <w:p w14:paraId="262EF72B">
            <w:pPr>
              <w:jc w:val="center"/>
              <w:rPr>
                <w:sz w:val="21"/>
                <w:szCs w:val="21"/>
              </w:rPr>
            </w:pPr>
            <w:r>
              <w:rPr>
                <w:sz w:val="21"/>
                <w:szCs w:val="21"/>
              </w:rPr>
              <w:t>0.10</w:t>
            </w:r>
          </w:p>
        </w:tc>
        <w:tc>
          <w:tcPr>
            <w:tcW w:w="1397" w:type="dxa"/>
            <w:tcBorders>
              <w:tl2br w:val="nil"/>
              <w:tr2bl w:val="nil"/>
            </w:tcBorders>
            <w:vAlign w:val="center"/>
          </w:tcPr>
          <w:p w14:paraId="64A6AAC1">
            <w:pPr>
              <w:jc w:val="center"/>
              <w:rPr>
                <w:sz w:val="21"/>
                <w:szCs w:val="21"/>
              </w:rPr>
            </w:pPr>
            <w:r>
              <w:rPr>
                <w:sz w:val="21"/>
                <w:szCs w:val="21"/>
              </w:rPr>
              <w:t>0.02</w:t>
            </w:r>
          </w:p>
        </w:tc>
      </w:tr>
      <w:tr w14:paraId="679A87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834" w:type="dxa"/>
            <w:vMerge w:val="continue"/>
            <w:tcBorders>
              <w:tl2br w:val="nil"/>
              <w:tr2bl w:val="nil"/>
            </w:tcBorders>
            <w:vAlign w:val="center"/>
          </w:tcPr>
          <w:p w14:paraId="709E02BB">
            <w:pPr>
              <w:overflowPunct w:val="0"/>
              <w:autoSpaceDE w:val="0"/>
              <w:autoSpaceDN w:val="0"/>
              <w:spacing w:line="240" w:lineRule="atLeast"/>
              <w:jc w:val="center"/>
              <w:textAlignment w:val="baseline"/>
              <w:rPr>
                <w:kern w:val="0"/>
                <w:sz w:val="21"/>
                <w:szCs w:val="20"/>
              </w:rPr>
            </w:pPr>
          </w:p>
        </w:tc>
        <w:tc>
          <w:tcPr>
            <w:tcW w:w="1391" w:type="dxa"/>
            <w:tcBorders>
              <w:tl2br w:val="nil"/>
              <w:tr2bl w:val="nil"/>
            </w:tcBorders>
            <w:vAlign w:val="center"/>
          </w:tcPr>
          <w:p w14:paraId="410765DE">
            <w:pPr>
              <w:overflowPunct w:val="0"/>
              <w:autoSpaceDE w:val="0"/>
              <w:autoSpaceDN w:val="0"/>
              <w:spacing w:line="240" w:lineRule="atLeast"/>
              <w:jc w:val="center"/>
              <w:textAlignment w:val="baseline"/>
              <w:rPr>
                <w:kern w:val="0"/>
                <w:sz w:val="21"/>
                <w:szCs w:val="20"/>
              </w:rPr>
            </w:pPr>
            <w:r>
              <w:rPr>
                <w:kern w:val="0"/>
                <w:sz w:val="21"/>
                <w:szCs w:val="20"/>
              </w:rPr>
              <w:t>二级保护区</w:t>
            </w:r>
          </w:p>
        </w:tc>
        <w:tc>
          <w:tcPr>
            <w:tcW w:w="1118" w:type="dxa"/>
            <w:tcBorders>
              <w:tl2br w:val="nil"/>
              <w:tr2bl w:val="nil"/>
            </w:tcBorders>
            <w:vAlign w:val="center"/>
          </w:tcPr>
          <w:p w14:paraId="6ECE2BFF">
            <w:pPr>
              <w:jc w:val="center"/>
              <w:rPr>
                <w:sz w:val="21"/>
                <w:szCs w:val="21"/>
              </w:rPr>
            </w:pPr>
            <w:r>
              <w:rPr>
                <w:sz w:val="21"/>
                <w:szCs w:val="21"/>
              </w:rPr>
              <w:t>40</w:t>
            </w:r>
          </w:p>
        </w:tc>
        <w:tc>
          <w:tcPr>
            <w:tcW w:w="1405" w:type="dxa"/>
            <w:tcBorders>
              <w:tl2br w:val="nil"/>
              <w:tr2bl w:val="nil"/>
            </w:tcBorders>
            <w:vAlign w:val="center"/>
          </w:tcPr>
          <w:p w14:paraId="67AA6C90">
            <w:pPr>
              <w:jc w:val="center"/>
              <w:rPr>
                <w:sz w:val="21"/>
                <w:szCs w:val="21"/>
              </w:rPr>
            </w:pPr>
            <w:r>
              <w:rPr>
                <w:sz w:val="21"/>
                <w:szCs w:val="21"/>
              </w:rPr>
              <w:t>20.92</w:t>
            </w:r>
          </w:p>
        </w:tc>
        <w:tc>
          <w:tcPr>
            <w:tcW w:w="1173" w:type="dxa"/>
            <w:tcBorders>
              <w:tl2br w:val="nil"/>
              <w:tr2bl w:val="nil"/>
            </w:tcBorders>
            <w:vAlign w:val="center"/>
          </w:tcPr>
          <w:p w14:paraId="690201C5">
            <w:pPr>
              <w:jc w:val="center"/>
              <w:rPr>
                <w:sz w:val="21"/>
                <w:szCs w:val="21"/>
              </w:rPr>
            </w:pPr>
            <w:r>
              <w:rPr>
                <w:sz w:val="21"/>
                <w:szCs w:val="21"/>
              </w:rPr>
              <w:t>0.40</w:t>
            </w:r>
          </w:p>
        </w:tc>
        <w:tc>
          <w:tcPr>
            <w:tcW w:w="1397" w:type="dxa"/>
            <w:tcBorders>
              <w:tl2br w:val="nil"/>
              <w:tr2bl w:val="nil"/>
            </w:tcBorders>
            <w:vAlign w:val="center"/>
          </w:tcPr>
          <w:p w14:paraId="4200F5EE">
            <w:pPr>
              <w:jc w:val="center"/>
              <w:rPr>
                <w:sz w:val="21"/>
                <w:szCs w:val="21"/>
              </w:rPr>
            </w:pPr>
            <w:r>
              <w:rPr>
                <w:sz w:val="21"/>
                <w:szCs w:val="21"/>
              </w:rPr>
              <w:t>0.08</w:t>
            </w:r>
          </w:p>
        </w:tc>
      </w:tr>
      <w:tr w14:paraId="21A99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1834" w:type="dxa"/>
            <w:vMerge w:val="continue"/>
            <w:tcBorders>
              <w:tl2br w:val="nil"/>
              <w:tr2bl w:val="nil"/>
            </w:tcBorders>
            <w:vAlign w:val="center"/>
          </w:tcPr>
          <w:p w14:paraId="0D418BE6">
            <w:pPr>
              <w:overflowPunct w:val="0"/>
              <w:autoSpaceDE w:val="0"/>
              <w:autoSpaceDN w:val="0"/>
              <w:spacing w:line="240" w:lineRule="atLeast"/>
              <w:jc w:val="center"/>
              <w:textAlignment w:val="baseline"/>
              <w:rPr>
                <w:kern w:val="0"/>
                <w:sz w:val="21"/>
                <w:szCs w:val="20"/>
              </w:rPr>
            </w:pPr>
          </w:p>
        </w:tc>
        <w:tc>
          <w:tcPr>
            <w:tcW w:w="1391" w:type="dxa"/>
            <w:tcBorders>
              <w:tl2br w:val="nil"/>
              <w:tr2bl w:val="nil"/>
            </w:tcBorders>
            <w:vAlign w:val="center"/>
          </w:tcPr>
          <w:p w14:paraId="19BC3F09">
            <w:pPr>
              <w:overflowPunct w:val="0"/>
              <w:autoSpaceDE w:val="0"/>
              <w:autoSpaceDN w:val="0"/>
              <w:spacing w:line="240" w:lineRule="atLeast"/>
              <w:jc w:val="center"/>
              <w:textAlignment w:val="baseline"/>
              <w:rPr>
                <w:kern w:val="0"/>
                <w:sz w:val="21"/>
                <w:szCs w:val="20"/>
              </w:rPr>
            </w:pPr>
            <w:r>
              <w:rPr>
                <w:kern w:val="0"/>
                <w:sz w:val="21"/>
                <w:szCs w:val="20"/>
              </w:rPr>
              <w:t>合计</w:t>
            </w:r>
          </w:p>
        </w:tc>
        <w:tc>
          <w:tcPr>
            <w:tcW w:w="1118" w:type="dxa"/>
            <w:tcBorders>
              <w:tl2br w:val="nil"/>
              <w:tr2bl w:val="nil"/>
            </w:tcBorders>
            <w:vAlign w:val="center"/>
          </w:tcPr>
          <w:p w14:paraId="11418783">
            <w:pPr>
              <w:jc w:val="center"/>
              <w:rPr>
                <w:sz w:val="21"/>
                <w:szCs w:val="21"/>
              </w:rPr>
            </w:pPr>
            <w:r>
              <w:rPr>
                <w:sz w:val="21"/>
                <w:szCs w:val="21"/>
              </w:rPr>
              <w:t>50</w:t>
            </w:r>
          </w:p>
        </w:tc>
        <w:tc>
          <w:tcPr>
            <w:tcW w:w="1405" w:type="dxa"/>
            <w:tcBorders>
              <w:tl2br w:val="nil"/>
              <w:tr2bl w:val="nil"/>
            </w:tcBorders>
            <w:vAlign w:val="center"/>
          </w:tcPr>
          <w:p w14:paraId="4B727E92">
            <w:pPr>
              <w:jc w:val="center"/>
              <w:rPr>
                <w:sz w:val="21"/>
                <w:szCs w:val="21"/>
              </w:rPr>
            </w:pPr>
            <w:r>
              <w:rPr>
                <w:sz w:val="21"/>
                <w:szCs w:val="21"/>
              </w:rPr>
              <w:t>26.15</w:t>
            </w:r>
          </w:p>
        </w:tc>
        <w:tc>
          <w:tcPr>
            <w:tcW w:w="1173" w:type="dxa"/>
            <w:tcBorders>
              <w:tl2br w:val="nil"/>
              <w:tr2bl w:val="nil"/>
            </w:tcBorders>
            <w:vAlign w:val="center"/>
          </w:tcPr>
          <w:p w14:paraId="56758156">
            <w:pPr>
              <w:jc w:val="center"/>
              <w:rPr>
                <w:sz w:val="21"/>
                <w:szCs w:val="21"/>
              </w:rPr>
            </w:pPr>
            <w:r>
              <w:rPr>
                <w:sz w:val="21"/>
                <w:szCs w:val="21"/>
              </w:rPr>
              <w:t>0.50</w:t>
            </w:r>
          </w:p>
        </w:tc>
        <w:tc>
          <w:tcPr>
            <w:tcW w:w="1397" w:type="dxa"/>
            <w:tcBorders>
              <w:tl2br w:val="nil"/>
              <w:tr2bl w:val="nil"/>
            </w:tcBorders>
            <w:vAlign w:val="center"/>
          </w:tcPr>
          <w:p w14:paraId="15534366">
            <w:pPr>
              <w:jc w:val="center"/>
              <w:rPr>
                <w:sz w:val="21"/>
                <w:szCs w:val="21"/>
              </w:rPr>
            </w:pPr>
            <w:r>
              <w:rPr>
                <w:sz w:val="21"/>
                <w:szCs w:val="21"/>
              </w:rPr>
              <w:t>0.10</w:t>
            </w:r>
          </w:p>
        </w:tc>
      </w:tr>
    </w:tbl>
    <w:p w14:paraId="6845AD93">
      <w:pPr>
        <w:ind w:firstLine="480" w:firstLineChars="200"/>
      </w:pPr>
      <w:r>
        <w:t>经现场勘察，保护区取水口上游约1500-1900米处有6个生活污水及农田退水排污口</w:t>
      </w:r>
      <w:r>
        <w:rPr>
          <w:rFonts w:hint="eastAsia"/>
        </w:rPr>
        <w:t>。取水口上游岩头村、茶江村、芷田村等也存在</w:t>
      </w:r>
      <w:r>
        <w:t>农田退水</w:t>
      </w:r>
      <w:r>
        <w:rPr>
          <w:rFonts w:hint="eastAsia"/>
        </w:rPr>
        <w:t>分散式</w:t>
      </w:r>
      <w:r>
        <w:t>排污口</w:t>
      </w:r>
      <w:r>
        <w:rPr>
          <w:rFonts w:hint="eastAsia"/>
        </w:rPr>
        <w:t>。</w:t>
      </w:r>
    </w:p>
    <w:p w14:paraId="42397D6E">
      <w:pPr>
        <w:ind w:firstLine="480" w:firstLineChars="200"/>
      </w:pPr>
      <w:r>
        <w:t>本预案建议保护区范围内</w:t>
      </w:r>
      <w:r>
        <w:rPr>
          <w:rFonts w:hint="eastAsia"/>
        </w:rPr>
        <w:t>及上游</w:t>
      </w:r>
      <w:r>
        <w:t>农田采取以下整治措施：</w:t>
      </w:r>
    </w:p>
    <w:p w14:paraId="2DB90AF8">
      <w:pPr>
        <w:ind w:firstLine="480" w:firstLineChars="200"/>
      </w:pPr>
      <w:r>
        <w:t>（1）发展有机农业，选用低毒或者无毒农药。</w:t>
      </w:r>
    </w:p>
    <w:p w14:paraId="42561469">
      <w:pPr>
        <w:ind w:firstLine="480" w:firstLineChars="200"/>
      </w:pPr>
      <w:r>
        <w:t>（2）研究并统一施肥配方标准，推广平衡施肥技术，提高肥料的利用率，以减少施肥对水源造成的污染。</w:t>
      </w:r>
    </w:p>
    <w:p w14:paraId="78B86675">
      <w:pPr>
        <w:ind w:firstLine="480" w:firstLineChars="200"/>
      </w:pPr>
      <w:r>
        <w:t>（3）对保护区陆域内河道两侧植树种草，增加水体涵养，减少水土流失，增加土壤稳定性。</w:t>
      </w:r>
    </w:p>
    <w:p w14:paraId="7387481A">
      <w:r>
        <w:rPr>
          <w:rFonts w:hint="eastAsia"/>
          <w:lang w:val="en-US" w:eastAsia="zh-CN"/>
        </w:rPr>
        <w:t>3</w:t>
      </w:r>
      <w:r>
        <w:t>.1.5.3畜禽养殖污染</w:t>
      </w:r>
    </w:p>
    <w:p w14:paraId="53AABE52">
      <w:pPr>
        <w:ind w:firstLine="480" w:firstLineChars="200"/>
        <w:rPr>
          <w:b/>
          <w:spacing w:val="-4"/>
          <w:kern w:val="20"/>
          <w:sz w:val="21"/>
          <w:szCs w:val="21"/>
        </w:rPr>
      </w:pPr>
      <w:r>
        <w:t>近年来由于绥宁县环境整治工作的陆续开展，保护区内无规模化养殖场，区域内的养殖类型以饲养生猪为主且以基本上为散养户，共</w:t>
      </w:r>
      <w:r>
        <w:rPr>
          <w:rFonts w:hint="eastAsia"/>
        </w:rPr>
        <w:t>5</w:t>
      </w:r>
      <w:r>
        <w:t>户（一级保护区内无养殖情况），具体分布情况见表</w:t>
      </w:r>
      <w:r>
        <w:rPr>
          <w:rFonts w:hint="eastAsia"/>
        </w:rPr>
        <w:t>2-6</w:t>
      </w:r>
      <w:r>
        <w:t>。</w:t>
      </w:r>
    </w:p>
    <w:p w14:paraId="648003CE">
      <w:pPr>
        <w:jc w:val="center"/>
        <w:rPr>
          <w:b/>
          <w:spacing w:val="-4"/>
          <w:kern w:val="20"/>
          <w:sz w:val="21"/>
          <w:szCs w:val="21"/>
        </w:rPr>
      </w:pPr>
      <w:r>
        <w:rPr>
          <w:b/>
          <w:spacing w:val="-4"/>
          <w:kern w:val="20"/>
          <w:sz w:val="21"/>
          <w:szCs w:val="21"/>
        </w:rPr>
        <w:t>表</w:t>
      </w:r>
      <w:r>
        <w:rPr>
          <w:rFonts w:hint="eastAsia"/>
          <w:b/>
          <w:spacing w:val="-4"/>
          <w:kern w:val="20"/>
          <w:sz w:val="21"/>
          <w:szCs w:val="21"/>
        </w:rPr>
        <w:t>2-6</w:t>
      </w:r>
      <w:r>
        <w:rPr>
          <w:b/>
          <w:spacing w:val="-4"/>
          <w:kern w:val="20"/>
          <w:sz w:val="21"/>
          <w:szCs w:val="21"/>
        </w:rPr>
        <w:t xml:space="preserve">  水源地附近畜禽养殖分布情况</w:t>
      </w:r>
    </w:p>
    <w:tbl>
      <w:tblPr>
        <w:tblStyle w:val="20"/>
        <w:tblW w:w="874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1848"/>
        <w:gridCol w:w="1597"/>
        <w:gridCol w:w="1200"/>
        <w:gridCol w:w="1063"/>
        <w:gridCol w:w="1114"/>
        <w:gridCol w:w="1012"/>
        <w:gridCol w:w="908"/>
      </w:tblGrid>
      <w:tr w14:paraId="1D2D12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292" w:hRule="atLeast"/>
          <w:jc w:val="center"/>
        </w:trPr>
        <w:tc>
          <w:tcPr>
            <w:tcW w:w="1848" w:type="dxa"/>
            <w:vMerge w:val="restart"/>
            <w:vAlign w:val="center"/>
          </w:tcPr>
          <w:p w14:paraId="287216F3">
            <w:pPr>
              <w:spacing w:line="240" w:lineRule="auto"/>
              <w:jc w:val="center"/>
              <w:rPr>
                <w:b/>
                <w:bCs/>
                <w:sz w:val="21"/>
                <w:szCs w:val="21"/>
              </w:rPr>
            </w:pPr>
            <w:r>
              <w:rPr>
                <w:b/>
                <w:bCs/>
                <w:sz w:val="21"/>
                <w:szCs w:val="21"/>
              </w:rPr>
              <w:t>拟划定保护区级别</w:t>
            </w:r>
          </w:p>
        </w:tc>
        <w:tc>
          <w:tcPr>
            <w:tcW w:w="1597" w:type="dxa"/>
            <w:vMerge w:val="restart"/>
            <w:vAlign w:val="center"/>
          </w:tcPr>
          <w:p w14:paraId="37F766D7">
            <w:pPr>
              <w:spacing w:line="240" w:lineRule="auto"/>
              <w:jc w:val="center"/>
              <w:rPr>
                <w:b/>
                <w:bCs/>
                <w:sz w:val="21"/>
                <w:szCs w:val="21"/>
              </w:rPr>
            </w:pPr>
            <w:r>
              <w:rPr>
                <w:b/>
                <w:bCs/>
                <w:sz w:val="21"/>
                <w:szCs w:val="21"/>
              </w:rPr>
              <w:t>所在村</w:t>
            </w:r>
          </w:p>
        </w:tc>
        <w:tc>
          <w:tcPr>
            <w:tcW w:w="1200" w:type="dxa"/>
            <w:vMerge w:val="restart"/>
            <w:vAlign w:val="center"/>
          </w:tcPr>
          <w:p w14:paraId="4DDF3A2B">
            <w:pPr>
              <w:spacing w:line="240" w:lineRule="auto"/>
              <w:jc w:val="center"/>
              <w:rPr>
                <w:b/>
                <w:bCs/>
                <w:sz w:val="21"/>
                <w:szCs w:val="21"/>
              </w:rPr>
            </w:pPr>
            <w:r>
              <w:rPr>
                <w:b/>
                <w:bCs/>
                <w:sz w:val="21"/>
                <w:szCs w:val="21"/>
              </w:rPr>
              <w:t>养殖户数</w:t>
            </w:r>
          </w:p>
          <w:p w14:paraId="143203AB">
            <w:pPr>
              <w:spacing w:line="240" w:lineRule="auto"/>
              <w:jc w:val="center"/>
              <w:rPr>
                <w:b/>
                <w:bCs/>
                <w:sz w:val="21"/>
                <w:szCs w:val="21"/>
              </w:rPr>
            </w:pPr>
            <w:r>
              <w:rPr>
                <w:b/>
                <w:bCs/>
                <w:sz w:val="21"/>
                <w:szCs w:val="21"/>
              </w:rPr>
              <w:t>（户）</w:t>
            </w:r>
          </w:p>
        </w:tc>
        <w:tc>
          <w:tcPr>
            <w:tcW w:w="4097" w:type="dxa"/>
            <w:gridSpan w:val="4"/>
            <w:vAlign w:val="center"/>
          </w:tcPr>
          <w:p w14:paraId="17E65BA0">
            <w:pPr>
              <w:spacing w:line="240" w:lineRule="auto"/>
              <w:jc w:val="center"/>
              <w:rPr>
                <w:b/>
                <w:bCs/>
                <w:sz w:val="21"/>
                <w:szCs w:val="21"/>
              </w:rPr>
            </w:pPr>
            <w:r>
              <w:rPr>
                <w:b/>
                <w:bCs/>
                <w:sz w:val="21"/>
                <w:szCs w:val="21"/>
              </w:rPr>
              <w:t>种类/数量（头/羽）</w:t>
            </w:r>
          </w:p>
        </w:tc>
      </w:tr>
      <w:tr w14:paraId="594A5B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12" w:hRule="atLeast"/>
          <w:jc w:val="center"/>
        </w:trPr>
        <w:tc>
          <w:tcPr>
            <w:tcW w:w="1848" w:type="dxa"/>
            <w:vMerge w:val="continue"/>
            <w:vAlign w:val="center"/>
          </w:tcPr>
          <w:p w14:paraId="1DD2FD5B">
            <w:pPr>
              <w:spacing w:line="240" w:lineRule="auto"/>
              <w:jc w:val="center"/>
              <w:rPr>
                <w:b/>
                <w:bCs/>
                <w:sz w:val="21"/>
                <w:szCs w:val="21"/>
              </w:rPr>
            </w:pPr>
          </w:p>
        </w:tc>
        <w:tc>
          <w:tcPr>
            <w:tcW w:w="1597" w:type="dxa"/>
            <w:vMerge w:val="continue"/>
            <w:vAlign w:val="center"/>
          </w:tcPr>
          <w:p w14:paraId="40692EDD">
            <w:pPr>
              <w:spacing w:line="240" w:lineRule="auto"/>
              <w:jc w:val="center"/>
              <w:rPr>
                <w:b/>
                <w:bCs/>
                <w:sz w:val="21"/>
                <w:szCs w:val="21"/>
              </w:rPr>
            </w:pPr>
          </w:p>
        </w:tc>
        <w:tc>
          <w:tcPr>
            <w:tcW w:w="1200" w:type="dxa"/>
            <w:vMerge w:val="continue"/>
            <w:vAlign w:val="center"/>
          </w:tcPr>
          <w:p w14:paraId="7EEAFF51">
            <w:pPr>
              <w:spacing w:line="240" w:lineRule="auto"/>
              <w:jc w:val="center"/>
              <w:rPr>
                <w:b/>
                <w:bCs/>
                <w:sz w:val="21"/>
                <w:szCs w:val="21"/>
              </w:rPr>
            </w:pPr>
          </w:p>
        </w:tc>
        <w:tc>
          <w:tcPr>
            <w:tcW w:w="1063" w:type="dxa"/>
            <w:vAlign w:val="center"/>
          </w:tcPr>
          <w:p w14:paraId="374C5979">
            <w:pPr>
              <w:spacing w:line="240" w:lineRule="auto"/>
              <w:jc w:val="center"/>
              <w:rPr>
                <w:b/>
                <w:bCs/>
                <w:sz w:val="21"/>
                <w:szCs w:val="21"/>
              </w:rPr>
            </w:pPr>
            <w:r>
              <w:rPr>
                <w:b/>
                <w:bCs/>
                <w:sz w:val="21"/>
                <w:szCs w:val="21"/>
              </w:rPr>
              <w:t>牛</w:t>
            </w:r>
          </w:p>
        </w:tc>
        <w:tc>
          <w:tcPr>
            <w:tcW w:w="1114" w:type="dxa"/>
            <w:vAlign w:val="center"/>
          </w:tcPr>
          <w:p w14:paraId="32D18667">
            <w:pPr>
              <w:spacing w:line="240" w:lineRule="auto"/>
              <w:jc w:val="center"/>
              <w:rPr>
                <w:b/>
                <w:bCs/>
                <w:sz w:val="21"/>
                <w:szCs w:val="21"/>
              </w:rPr>
            </w:pPr>
            <w:r>
              <w:rPr>
                <w:b/>
                <w:bCs/>
                <w:sz w:val="21"/>
                <w:szCs w:val="21"/>
              </w:rPr>
              <w:t>猪</w:t>
            </w:r>
          </w:p>
        </w:tc>
        <w:tc>
          <w:tcPr>
            <w:tcW w:w="1012" w:type="dxa"/>
            <w:vAlign w:val="center"/>
          </w:tcPr>
          <w:p w14:paraId="1B23CBCD">
            <w:pPr>
              <w:spacing w:line="240" w:lineRule="auto"/>
              <w:jc w:val="center"/>
              <w:rPr>
                <w:b/>
                <w:bCs/>
                <w:sz w:val="21"/>
                <w:szCs w:val="21"/>
              </w:rPr>
            </w:pPr>
            <w:r>
              <w:rPr>
                <w:b/>
                <w:bCs/>
                <w:sz w:val="21"/>
                <w:szCs w:val="21"/>
              </w:rPr>
              <w:t>鸡</w:t>
            </w:r>
          </w:p>
        </w:tc>
        <w:tc>
          <w:tcPr>
            <w:tcW w:w="908" w:type="dxa"/>
            <w:vAlign w:val="center"/>
          </w:tcPr>
          <w:p w14:paraId="3AD7A5FB">
            <w:pPr>
              <w:spacing w:line="240" w:lineRule="auto"/>
              <w:jc w:val="center"/>
              <w:rPr>
                <w:b/>
                <w:bCs/>
                <w:sz w:val="21"/>
                <w:szCs w:val="21"/>
              </w:rPr>
            </w:pPr>
            <w:r>
              <w:rPr>
                <w:b/>
                <w:bCs/>
                <w:sz w:val="21"/>
                <w:szCs w:val="21"/>
              </w:rPr>
              <w:t>鸭</w:t>
            </w:r>
          </w:p>
        </w:tc>
      </w:tr>
      <w:tr w14:paraId="7EC250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47" w:hRule="atLeast"/>
          <w:jc w:val="center"/>
        </w:trPr>
        <w:tc>
          <w:tcPr>
            <w:tcW w:w="1848" w:type="dxa"/>
            <w:vAlign w:val="center"/>
          </w:tcPr>
          <w:p w14:paraId="32ADDF87">
            <w:pPr>
              <w:spacing w:line="240" w:lineRule="auto"/>
              <w:jc w:val="center"/>
              <w:rPr>
                <w:sz w:val="21"/>
                <w:szCs w:val="21"/>
              </w:rPr>
            </w:pPr>
            <w:r>
              <w:rPr>
                <w:sz w:val="21"/>
                <w:szCs w:val="21"/>
              </w:rPr>
              <w:t>一级保护区</w:t>
            </w:r>
          </w:p>
        </w:tc>
        <w:tc>
          <w:tcPr>
            <w:tcW w:w="1597" w:type="dxa"/>
            <w:vAlign w:val="center"/>
          </w:tcPr>
          <w:p w14:paraId="1B109826">
            <w:pPr>
              <w:spacing w:line="240" w:lineRule="auto"/>
              <w:jc w:val="center"/>
              <w:rPr>
                <w:sz w:val="21"/>
                <w:szCs w:val="21"/>
              </w:rPr>
            </w:pPr>
            <w:r>
              <w:rPr>
                <w:sz w:val="21"/>
                <w:szCs w:val="21"/>
              </w:rPr>
              <w:t>插柳村</w:t>
            </w:r>
          </w:p>
        </w:tc>
        <w:tc>
          <w:tcPr>
            <w:tcW w:w="1200" w:type="dxa"/>
            <w:vAlign w:val="center"/>
          </w:tcPr>
          <w:p w14:paraId="1BA0FE26">
            <w:pPr>
              <w:spacing w:line="240" w:lineRule="auto"/>
              <w:jc w:val="center"/>
              <w:rPr>
                <w:sz w:val="21"/>
                <w:szCs w:val="21"/>
              </w:rPr>
            </w:pPr>
            <w:r>
              <w:rPr>
                <w:sz w:val="21"/>
                <w:szCs w:val="21"/>
              </w:rPr>
              <w:t>0</w:t>
            </w:r>
          </w:p>
        </w:tc>
        <w:tc>
          <w:tcPr>
            <w:tcW w:w="1063" w:type="dxa"/>
            <w:vAlign w:val="center"/>
          </w:tcPr>
          <w:p w14:paraId="0F0F2724">
            <w:pPr>
              <w:spacing w:line="240" w:lineRule="auto"/>
              <w:jc w:val="center"/>
              <w:rPr>
                <w:sz w:val="21"/>
                <w:szCs w:val="21"/>
              </w:rPr>
            </w:pPr>
            <w:r>
              <w:rPr>
                <w:sz w:val="21"/>
                <w:szCs w:val="21"/>
              </w:rPr>
              <w:t>0</w:t>
            </w:r>
          </w:p>
        </w:tc>
        <w:tc>
          <w:tcPr>
            <w:tcW w:w="1114" w:type="dxa"/>
            <w:vAlign w:val="center"/>
          </w:tcPr>
          <w:p w14:paraId="61240541">
            <w:pPr>
              <w:spacing w:line="240" w:lineRule="auto"/>
              <w:jc w:val="center"/>
              <w:rPr>
                <w:sz w:val="21"/>
                <w:szCs w:val="21"/>
              </w:rPr>
            </w:pPr>
            <w:r>
              <w:rPr>
                <w:sz w:val="21"/>
                <w:szCs w:val="21"/>
              </w:rPr>
              <w:t>0</w:t>
            </w:r>
          </w:p>
        </w:tc>
        <w:tc>
          <w:tcPr>
            <w:tcW w:w="1012" w:type="dxa"/>
            <w:vAlign w:val="center"/>
          </w:tcPr>
          <w:p w14:paraId="2AEB4CB8">
            <w:pPr>
              <w:spacing w:line="240" w:lineRule="auto"/>
              <w:jc w:val="center"/>
              <w:rPr>
                <w:sz w:val="21"/>
                <w:szCs w:val="21"/>
              </w:rPr>
            </w:pPr>
            <w:r>
              <w:rPr>
                <w:sz w:val="21"/>
                <w:szCs w:val="21"/>
              </w:rPr>
              <w:t>0</w:t>
            </w:r>
          </w:p>
        </w:tc>
        <w:tc>
          <w:tcPr>
            <w:tcW w:w="908" w:type="dxa"/>
            <w:vAlign w:val="center"/>
          </w:tcPr>
          <w:p w14:paraId="3E07358D">
            <w:pPr>
              <w:spacing w:line="240" w:lineRule="auto"/>
              <w:jc w:val="center"/>
              <w:rPr>
                <w:sz w:val="21"/>
                <w:szCs w:val="21"/>
              </w:rPr>
            </w:pPr>
            <w:r>
              <w:rPr>
                <w:sz w:val="21"/>
                <w:szCs w:val="21"/>
              </w:rPr>
              <w:t>0</w:t>
            </w:r>
          </w:p>
        </w:tc>
      </w:tr>
      <w:tr w14:paraId="07CFCA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848" w:type="dxa"/>
            <w:vAlign w:val="center"/>
          </w:tcPr>
          <w:p w14:paraId="2B72A1C7">
            <w:pPr>
              <w:spacing w:line="240" w:lineRule="auto"/>
              <w:jc w:val="center"/>
              <w:rPr>
                <w:sz w:val="21"/>
                <w:szCs w:val="21"/>
              </w:rPr>
            </w:pPr>
            <w:r>
              <w:rPr>
                <w:sz w:val="21"/>
                <w:szCs w:val="21"/>
              </w:rPr>
              <w:t>二级保护区</w:t>
            </w:r>
          </w:p>
        </w:tc>
        <w:tc>
          <w:tcPr>
            <w:tcW w:w="1597" w:type="dxa"/>
            <w:vAlign w:val="center"/>
          </w:tcPr>
          <w:p w14:paraId="0DF2FAF9">
            <w:pPr>
              <w:spacing w:line="240" w:lineRule="auto"/>
              <w:jc w:val="center"/>
              <w:rPr>
                <w:sz w:val="21"/>
                <w:szCs w:val="21"/>
              </w:rPr>
            </w:pPr>
            <w:r>
              <w:rPr>
                <w:sz w:val="21"/>
                <w:szCs w:val="21"/>
              </w:rPr>
              <w:t>插柳村</w:t>
            </w:r>
          </w:p>
        </w:tc>
        <w:tc>
          <w:tcPr>
            <w:tcW w:w="1200" w:type="dxa"/>
            <w:vAlign w:val="center"/>
          </w:tcPr>
          <w:p w14:paraId="4C7CF03E">
            <w:pPr>
              <w:spacing w:line="240" w:lineRule="auto"/>
              <w:jc w:val="center"/>
              <w:rPr>
                <w:sz w:val="21"/>
                <w:szCs w:val="21"/>
              </w:rPr>
            </w:pPr>
            <w:r>
              <w:rPr>
                <w:sz w:val="21"/>
                <w:szCs w:val="21"/>
              </w:rPr>
              <w:t>5</w:t>
            </w:r>
          </w:p>
        </w:tc>
        <w:tc>
          <w:tcPr>
            <w:tcW w:w="1063" w:type="dxa"/>
            <w:vAlign w:val="center"/>
          </w:tcPr>
          <w:p w14:paraId="659378B1">
            <w:pPr>
              <w:spacing w:line="240" w:lineRule="auto"/>
              <w:jc w:val="center"/>
              <w:rPr>
                <w:sz w:val="21"/>
                <w:szCs w:val="21"/>
              </w:rPr>
            </w:pPr>
            <w:r>
              <w:rPr>
                <w:sz w:val="21"/>
                <w:szCs w:val="21"/>
              </w:rPr>
              <w:t>2</w:t>
            </w:r>
          </w:p>
        </w:tc>
        <w:tc>
          <w:tcPr>
            <w:tcW w:w="1114" w:type="dxa"/>
            <w:vAlign w:val="center"/>
          </w:tcPr>
          <w:p w14:paraId="72F3D708">
            <w:pPr>
              <w:spacing w:line="240" w:lineRule="auto"/>
              <w:jc w:val="center"/>
              <w:rPr>
                <w:sz w:val="21"/>
                <w:szCs w:val="21"/>
              </w:rPr>
            </w:pPr>
            <w:r>
              <w:rPr>
                <w:sz w:val="21"/>
                <w:szCs w:val="21"/>
              </w:rPr>
              <w:t>8</w:t>
            </w:r>
          </w:p>
        </w:tc>
        <w:tc>
          <w:tcPr>
            <w:tcW w:w="1012" w:type="dxa"/>
            <w:vAlign w:val="center"/>
          </w:tcPr>
          <w:p w14:paraId="210DF56A">
            <w:pPr>
              <w:spacing w:line="240" w:lineRule="auto"/>
              <w:jc w:val="center"/>
              <w:rPr>
                <w:sz w:val="21"/>
                <w:szCs w:val="21"/>
              </w:rPr>
            </w:pPr>
            <w:r>
              <w:rPr>
                <w:sz w:val="21"/>
                <w:szCs w:val="21"/>
              </w:rPr>
              <w:t>25</w:t>
            </w:r>
          </w:p>
        </w:tc>
        <w:tc>
          <w:tcPr>
            <w:tcW w:w="908" w:type="dxa"/>
            <w:vAlign w:val="center"/>
          </w:tcPr>
          <w:p w14:paraId="1B0FD460">
            <w:pPr>
              <w:spacing w:line="240" w:lineRule="auto"/>
              <w:jc w:val="center"/>
              <w:rPr>
                <w:sz w:val="21"/>
                <w:szCs w:val="21"/>
              </w:rPr>
            </w:pPr>
            <w:r>
              <w:rPr>
                <w:sz w:val="21"/>
                <w:szCs w:val="21"/>
              </w:rPr>
              <w:t>20</w:t>
            </w:r>
          </w:p>
        </w:tc>
      </w:tr>
      <w:tr w14:paraId="6B2399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1848" w:type="dxa"/>
            <w:vAlign w:val="center"/>
          </w:tcPr>
          <w:p w14:paraId="7A0E9247">
            <w:pPr>
              <w:spacing w:line="240" w:lineRule="auto"/>
              <w:jc w:val="center"/>
              <w:rPr>
                <w:sz w:val="21"/>
                <w:szCs w:val="21"/>
              </w:rPr>
            </w:pPr>
            <w:r>
              <w:rPr>
                <w:sz w:val="21"/>
                <w:szCs w:val="21"/>
              </w:rPr>
              <w:t>合计</w:t>
            </w:r>
          </w:p>
        </w:tc>
        <w:tc>
          <w:tcPr>
            <w:tcW w:w="1597" w:type="dxa"/>
            <w:vAlign w:val="center"/>
          </w:tcPr>
          <w:p w14:paraId="18B20CAF">
            <w:pPr>
              <w:spacing w:line="240" w:lineRule="auto"/>
              <w:jc w:val="center"/>
              <w:rPr>
                <w:sz w:val="21"/>
                <w:szCs w:val="21"/>
              </w:rPr>
            </w:pPr>
          </w:p>
        </w:tc>
        <w:tc>
          <w:tcPr>
            <w:tcW w:w="1200" w:type="dxa"/>
            <w:vAlign w:val="center"/>
          </w:tcPr>
          <w:p w14:paraId="0C4F298C">
            <w:pPr>
              <w:spacing w:line="240" w:lineRule="auto"/>
              <w:jc w:val="center"/>
              <w:rPr>
                <w:sz w:val="21"/>
                <w:szCs w:val="21"/>
              </w:rPr>
            </w:pPr>
            <w:r>
              <w:rPr>
                <w:sz w:val="21"/>
                <w:szCs w:val="21"/>
              </w:rPr>
              <w:t>5</w:t>
            </w:r>
          </w:p>
        </w:tc>
        <w:tc>
          <w:tcPr>
            <w:tcW w:w="1063" w:type="dxa"/>
            <w:vAlign w:val="center"/>
          </w:tcPr>
          <w:p w14:paraId="339FE8B7">
            <w:pPr>
              <w:spacing w:line="240" w:lineRule="auto"/>
              <w:jc w:val="center"/>
              <w:rPr>
                <w:sz w:val="21"/>
                <w:szCs w:val="21"/>
              </w:rPr>
            </w:pPr>
            <w:r>
              <w:rPr>
                <w:sz w:val="21"/>
                <w:szCs w:val="21"/>
              </w:rPr>
              <w:t>2</w:t>
            </w:r>
          </w:p>
        </w:tc>
        <w:tc>
          <w:tcPr>
            <w:tcW w:w="1114" w:type="dxa"/>
            <w:vAlign w:val="center"/>
          </w:tcPr>
          <w:p w14:paraId="2749BDE3">
            <w:pPr>
              <w:spacing w:line="240" w:lineRule="auto"/>
              <w:jc w:val="center"/>
              <w:rPr>
                <w:sz w:val="21"/>
                <w:szCs w:val="21"/>
              </w:rPr>
            </w:pPr>
            <w:r>
              <w:rPr>
                <w:sz w:val="21"/>
                <w:szCs w:val="21"/>
              </w:rPr>
              <w:t>8</w:t>
            </w:r>
          </w:p>
        </w:tc>
        <w:tc>
          <w:tcPr>
            <w:tcW w:w="1012" w:type="dxa"/>
            <w:vAlign w:val="center"/>
          </w:tcPr>
          <w:p w14:paraId="36E5411A">
            <w:pPr>
              <w:spacing w:line="240" w:lineRule="auto"/>
              <w:jc w:val="center"/>
              <w:rPr>
                <w:sz w:val="21"/>
                <w:szCs w:val="21"/>
              </w:rPr>
            </w:pPr>
            <w:r>
              <w:rPr>
                <w:sz w:val="21"/>
                <w:szCs w:val="21"/>
              </w:rPr>
              <w:t>20</w:t>
            </w:r>
          </w:p>
        </w:tc>
        <w:tc>
          <w:tcPr>
            <w:tcW w:w="908" w:type="dxa"/>
            <w:vAlign w:val="center"/>
          </w:tcPr>
          <w:p w14:paraId="1143EDF7">
            <w:pPr>
              <w:spacing w:line="240" w:lineRule="auto"/>
              <w:jc w:val="center"/>
              <w:rPr>
                <w:sz w:val="21"/>
                <w:szCs w:val="21"/>
              </w:rPr>
            </w:pPr>
            <w:r>
              <w:rPr>
                <w:sz w:val="21"/>
                <w:szCs w:val="21"/>
              </w:rPr>
              <w:t>20</w:t>
            </w:r>
          </w:p>
        </w:tc>
      </w:tr>
    </w:tbl>
    <w:p w14:paraId="09295D68">
      <w:pPr>
        <w:ind w:firstLine="480" w:firstLineChars="200"/>
        <w:rPr>
          <w:b/>
          <w:spacing w:val="-4"/>
          <w:kern w:val="20"/>
          <w:sz w:val="21"/>
          <w:szCs w:val="21"/>
        </w:rPr>
      </w:pPr>
      <w:r>
        <w:t>依据《农业技术经济手册》附表2-1、附表2-3 可知畜禽养殖排污情况如表</w:t>
      </w:r>
      <w:r>
        <w:rPr>
          <w:rFonts w:hint="eastAsia"/>
        </w:rPr>
        <w:t>2-7、2-8、2-9</w:t>
      </w:r>
      <w:r>
        <w:t>所示。</w:t>
      </w:r>
    </w:p>
    <w:p w14:paraId="068E8261">
      <w:pPr>
        <w:ind w:firstLine="406" w:firstLineChars="200"/>
        <w:jc w:val="center"/>
        <w:rPr>
          <w:b/>
          <w:spacing w:val="-4"/>
          <w:kern w:val="20"/>
          <w:sz w:val="21"/>
          <w:szCs w:val="21"/>
        </w:rPr>
      </w:pPr>
      <w:r>
        <w:rPr>
          <w:b/>
          <w:spacing w:val="-4"/>
          <w:kern w:val="20"/>
          <w:sz w:val="21"/>
          <w:szCs w:val="21"/>
        </w:rPr>
        <w:t>表</w:t>
      </w:r>
      <w:r>
        <w:rPr>
          <w:rFonts w:hint="eastAsia"/>
          <w:b/>
          <w:spacing w:val="-4"/>
          <w:kern w:val="20"/>
          <w:sz w:val="21"/>
          <w:szCs w:val="21"/>
        </w:rPr>
        <w:t>2-7</w:t>
      </w:r>
      <w:r>
        <w:rPr>
          <w:b/>
          <w:spacing w:val="-4"/>
          <w:kern w:val="20"/>
          <w:sz w:val="21"/>
          <w:szCs w:val="21"/>
        </w:rPr>
        <w:t xml:space="preserve">  畜禽粪便排泄系数一览表</w:t>
      </w:r>
    </w:p>
    <w:tbl>
      <w:tblPr>
        <w:tblStyle w:val="20"/>
        <w:tblW w:w="773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60"/>
        <w:gridCol w:w="1607"/>
        <w:gridCol w:w="1220"/>
        <w:gridCol w:w="1219"/>
        <w:gridCol w:w="1215"/>
        <w:gridCol w:w="1214"/>
      </w:tblGrid>
      <w:tr w14:paraId="697DFE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 w:hRule="atLeast"/>
          <w:jc w:val="center"/>
        </w:trPr>
        <w:tc>
          <w:tcPr>
            <w:tcW w:w="1260" w:type="dxa"/>
            <w:vAlign w:val="center"/>
          </w:tcPr>
          <w:p w14:paraId="53B35348">
            <w:pPr>
              <w:spacing w:line="240" w:lineRule="auto"/>
              <w:jc w:val="center"/>
              <w:rPr>
                <w:b/>
                <w:bCs/>
                <w:sz w:val="21"/>
                <w:szCs w:val="21"/>
              </w:rPr>
            </w:pPr>
            <w:r>
              <w:rPr>
                <w:b/>
                <w:bCs/>
                <w:sz w:val="21"/>
                <w:szCs w:val="21"/>
              </w:rPr>
              <w:t>项目</w:t>
            </w:r>
          </w:p>
        </w:tc>
        <w:tc>
          <w:tcPr>
            <w:tcW w:w="1607" w:type="dxa"/>
            <w:vAlign w:val="center"/>
          </w:tcPr>
          <w:p w14:paraId="1E84A931">
            <w:pPr>
              <w:spacing w:line="240" w:lineRule="auto"/>
              <w:jc w:val="center"/>
              <w:rPr>
                <w:b/>
                <w:bCs/>
                <w:sz w:val="21"/>
                <w:szCs w:val="21"/>
              </w:rPr>
            </w:pPr>
            <w:r>
              <w:rPr>
                <w:b/>
                <w:bCs/>
                <w:sz w:val="21"/>
                <w:szCs w:val="21"/>
              </w:rPr>
              <w:t>单位</w:t>
            </w:r>
          </w:p>
        </w:tc>
        <w:tc>
          <w:tcPr>
            <w:tcW w:w="1220" w:type="dxa"/>
            <w:vAlign w:val="center"/>
          </w:tcPr>
          <w:p w14:paraId="21E22CCB">
            <w:pPr>
              <w:spacing w:line="240" w:lineRule="auto"/>
              <w:jc w:val="center"/>
              <w:rPr>
                <w:b/>
                <w:bCs/>
                <w:sz w:val="21"/>
                <w:szCs w:val="21"/>
              </w:rPr>
            </w:pPr>
            <w:r>
              <w:rPr>
                <w:b/>
                <w:bCs/>
                <w:sz w:val="21"/>
                <w:szCs w:val="21"/>
              </w:rPr>
              <w:t>牛</w:t>
            </w:r>
          </w:p>
        </w:tc>
        <w:tc>
          <w:tcPr>
            <w:tcW w:w="1219" w:type="dxa"/>
            <w:vAlign w:val="center"/>
          </w:tcPr>
          <w:p w14:paraId="0ADF37A0">
            <w:pPr>
              <w:spacing w:line="240" w:lineRule="auto"/>
              <w:jc w:val="center"/>
              <w:rPr>
                <w:b/>
                <w:bCs/>
                <w:sz w:val="21"/>
                <w:szCs w:val="21"/>
              </w:rPr>
            </w:pPr>
            <w:r>
              <w:rPr>
                <w:b/>
                <w:bCs/>
                <w:sz w:val="21"/>
                <w:szCs w:val="21"/>
              </w:rPr>
              <w:t>猪</w:t>
            </w:r>
          </w:p>
        </w:tc>
        <w:tc>
          <w:tcPr>
            <w:tcW w:w="1215" w:type="dxa"/>
            <w:vAlign w:val="center"/>
          </w:tcPr>
          <w:p w14:paraId="74E42D86">
            <w:pPr>
              <w:spacing w:line="240" w:lineRule="auto"/>
              <w:jc w:val="center"/>
              <w:rPr>
                <w:b/>
                <w:bCs/>
                <w:sz w:val="21"/>
                <w:szCs w:val="21"/>
              </w:rPr>
            </w:pPr>
            <w:r>
              <w:rPr>
                <w:b/>
                <w:bCs/>
                <w:sz w:val="21"/>
                <w:szCs w:val="21"/>
              </w:rPr>
              <w:t>鸡</w:t>
            </w:r>
          </w:p>
        </w:tc>
        <w:tc>
          <w:tcPr>
            <w:tcW w:w="1214" w:type="dxa"/>
            <w:vAlign w:val="center"/>
          </w:tcPr>
          <w:p w14:paraId="24F8F5FC">
            <w:pPr>
              <w:spacing w:line="240" w:lineRule="auto"/>
              <w:jc w:val="center"/>
              <w:rPr>
                <w:b/>
                <w:bCs/>
                <w:sz w:val="21"/>
                <w:szCs w:val="21"/>
              </w:rPr>
            </w:pPr>
            <w:r>
              <w:rPr>
                <w:b/>
                <w:bCs/>
                <w:sz w:val="21"/>
                <w:szCs w:val="21"/>
              </w:rPr>
              <w:t>鸭</w:t>
            </w:r>
          </w:p>
        </w:tc>
      </w:tr>
      <w:tr w14:paraId="267B20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 w:hRule="atLeast"/>
          <w:jc w:val="center"/>
        </w:trPr>
        <w:tc>
          <w:tcPr>
            <w:tcW w:w="1260" w:type="dxa"/>
            <w:vMerge w:val="restart"/>
            <w:vAlign w:val="center"/>
          </w:tcPr>
          <w:p w14:paraId="28A2C2EB">
            <w:pPr>
              <w:spacing w:line="240" w:lineRule="auto"/>
              <w:jc w:val="center"/>
              <w:rPr>
                <w:sz w:val="21"/>
                <w:szCs w:val="21"/>
              </w:rPr>
            </w:pPr>
          </w:p>
          <w:p w14:paraId="7EF82B3D">
            <w:pPr>
              <w:spacing w:line="240" w:lineRule="auto"/>
              <w:jc w:val="center"/>
              <w:rPr>
                <w:sz w:val="21"/>
                <w:szCs w:val="21"/>
              </w:rPr>
            </w:pPr>
            <w:r>
              <w:rPr>
                <w:sz w:val="21"/>
                <w:szCs w:val="21"/>
              </w:rPr>
              <w:t>粪</w:t>
            </w:r>
          </w:p>
        </w:tc>
        <w:tc>
          <w:tcPr>
            <w:tcW w:w="1607" w:type="dxa"/>
            <w:vAlign w:val="center"/>
          </w:tcPr>
          <w:p w14:paraId="73AD6633">
            <w:pPr>
              <w:spacing w:line="240" w:lineRule="auto"/>
              <w:jc w:val="center"/>
              <w:rPr>
                <w:sz w:val="21"/>
                <w:szCs w:val="21"/>
              </w:rPr>
            </w:pPr>
            <w:r>
              <w:rPr>
                <w:sz w:val="21"/>
                <w:szCs w:val="21"/>
              </w:rPr>
              <w:t>kg（/只·d）</w:t>
            </w:r>
          </w:p>
        </w:tc>
        <w:tc>
          <w:tcPr>
            <w:tcW w:w="1220" w:type="dxa"/>
            <w:vAlign w:val="center"/>
          </w:tcPr>
          <w:p w14:paraId="4994F9C0">
            <w:pPr>
              <w:spacing w:line="240" w:lineRule="auto"/>
              <w:jc w:val="center"/>
              <w:rPr>
                <w:sz w:val="21"/>
                <w:szCs w:val="21"/>
              </w:rPr>
            </w:pPr>
            <w:r>
              <w:rPr>
                <w:sz w:val="21"/>
                <w:szCs w:val="21"/>
              </w:rPr>
              <w:t>20.0</w:t>
            </w:r>
          </w:p>
        </w:tc>
        <w:tc>
          <w:tcPr>
            <w:tcW w:w="1219" w:type="dxa"/>
            <w:vAlign w:val="center"/>
          </w:tcPr>
          <w:p w14:paraId="09377CE9">
            <w:pPr>
              <w:spacing w:line="240" w:lineRule="auto"/>
              <w:jc w:val="center"/>
              <w:rPr>
                <w:sz w:val="21"/>
                <w:szCs w:val="21"/>
              </w:rPr>
            </w:pPr>
            <w:r>
              <w:rPr>
                <w:sz w:val="21"/>
                <w:szCs w:val="21"/>
              </w:rPr>
              <w:t>2.0</w:t>
            </w:r>
          </w:p>
        </w:tc>
        <w:tc>
          <w:tcPr>
            <w:tcW w:w="1215" w:type="dxa"/>
            <w:vAlign w:val="center"/>
          </w:tcPr>
          <w:p w14:paraId="2377053A">
            <w:pPr>
              <w:spacing w:line="240" w:lineRule="auto"/>
              <w:jc w:val="center"/>
              <w:rPr>
                <w:sz w:val="21"/>
                <w:szCs w:val="21"/>
              </w:rPr>
            </w:pPr>
            <w:r>
              <w:rPr>
                <w:sz w:val="21"/>
                <w:szCs w:val="21"/>
              </w:rPr>
              <w:t>0.12</w:t>
            </w:r>
          </w:p>
        </w:tc>
        <w:tc>
          <w:tcPr>
            <w:tcW w:w="1214" w:type="dxa"/>
            <w:vAlign w:val="center"/>
          </w:tcPr>
          <w:p w14:paraId="36FEB7E5">
            <w:pPr>
              <w:spacing w:line="240" w:lineRule="auto"/>
              <w:jc w:val="center"/>
              <w:rPr>
                <w:sz w:val="21"/>
                <w:szCs w:val="21"/>
              </w:rPr>
            </w:pPr>
            <w:r>
              <w:rPr>
                <w:sz w:val="21"/>
                <w:szCs w:val="21"/>
              </w:rPr>
              <w:t>0.13</w:t>
            </w:r>
          </w:p>
        </w:tc>
      </w:tr>
      <w:tr w14:paraId="4AC9D6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 w:hRule="atLeast"/>
          <w:jc w:val="center"/>
        </w:trPr>
        <w:tc>
          <w:tcPr>
            <w:tcW w:w="1260" w:type="dxa"/>
            <w:vMerge w:val="continue"/>
            <w:vAlign w:val="center"/>
          </w:tcPr>
          <w:p w14:paraId="07D512BB">
            <w:pPr>
              <w:spacing w:line="240" w:lineRule="auto"/>
              <w:jc w:val="center"/>
              <w:rPr>
                <w:sz w:val="21"/>
                <w:szCs w:val="21"/>
              </w:rPr>
            </w:pPr>
          </w:p>
        </w:tc>
        <w:tc>
          <w:tcPr>
            <w:tcW w:w="1607" w:type="dxa"/>
            <w:vAlign w:val="center"/>
          </w:tcPr>
          <w:p w14:paraId="5E69597B">
            <w:pPr>
              <w:spacing w:line="240" w:lineRule="auto"/>
              <w:jc w:val="center"/>
              <w:rPr>
                <w:sz w:val="21"/>
                <w:szCs w:val="21"/>
              </w:rPr>
            </w:pPr>
            <w:r>
              <w:rPr>
                <w:sz w:val="21"/>
                <w:szCs w:val="21"/>
              </w:rPr>
              <w:t>kg（/只·a）</w:t>
            </w:r>
          </w:p>
        </w:tc>
        <w:tc>
          <w:tcPr>
            <w:tcW w:w="1220" w:type="dxa"/>
            <w:vAlign w:val="center"/>
          </w:tcPr>
          <w:p w14:paraId="524168F8">
            <w:pPr>
              <w:spacing w:line="240" w:lineRule="auto"/>
              <w:jc w:val="center"/>
              <w:rPr>
                <w:sz w:val="21"/>
                <w:szCs w:val="21"/>
              </w:rPr>
            </w:pPr>
            <w:r>
              <w:rPr>
                <w:sz w:val="21"/>
                <w:szCs w:val="21"/>
              </w:rPr>
              <w:t>7300.0</w:t>
            </w:r>
          </w:p>
        </w:tc>
        <w:tc>
          <w:tcPr>
            <w:tcW w:w="1219" w:type="dxa"/>
            <w:vAlign w:val="center"/>
          </w:tcPr>
          <w:p w14:paraId="170B1048">
            <w:pPr>
              <w:spacing w:line="240" w:lineRule="auto"/>
              <w:jc w:val="center"/>
              <w:rPr>
                <w:sz w:val="21"/>
                <w:szCs w:val="21"/>
              </w:rPr>
            </w:pPr>
            <w:r>
              <w:rPr>
                <w:sz w:val="21"/>
                <w:szCs w:val="21"/>
              </w:rPr>
              <w:t>398.0</w:t>
            </w:r>
          </w:p>
        </w:tc>
        <w:tc>
          <w:tcPr>
            <w:tcW w:w="1215" w:type="dxa"/>
            <w:vAlign w:val="center"/>
          </w:tcPr>
          <w:p w14:paraId="5C1E1924">
            <w:pPr>
              <w:spacing w:line="240" w:lineRule="auto"/>
              <w:jc w:val="center"/>
              <w:rPr>
                <w:sz w:val="21"/>
                <w:szCs w:val="21"/>
              </w:rPr>
            </w:pPr>
            <w:r>
              <w:rPr>
                <w:sz w:val="21"/>
                <w:szCs w:val="21"/>
              </w:rPr>
              <w:t>25.2</w:t>
            </w:r>
          </w:p>
        </w:tc>
        <w:tc>
          <w:tcPr>
            <w:tcW w:w="1214" w:type="dxa"/>
            <w:vAlign w:val="center"/>
          </w:tcPr>
          <w:p w14:paraId="051BFB95">
            <w:pPr>
              <w:spacing w:line="240" w:lineRule="auto"/>
              <w:jc w:val="center"/>
              <w:rPr>
                <w:sz w:val="21"/>
                <w:szCs w:val="21"/>
              </w:rPr>
            </w:pPr>
            <w:r>
              <w:rPr>
                <w:sz w:val="21"/>
                <w:szCs w:val="21"/>
              </w:rPr>
              <w:t>27.3</w:t>
            </w:r>
          </w:p>
        </w:tc>
      </w:tr>
      <w:tr w14:paraId="3E2279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 w:hRule="atLeast"/>
          <w:jc w:val="center"/>
        </w:trPr>
        <w:tc>
          <w:tcPr>
            <w:tcW w:w="1260" w:type="dxa"/>
            <w:vMerge w:val="restart"/>
            <w:vAlign w:val="center"/>
          </w:tcPr>
          <w:p w14:paraId="0256FE6A">
            <w:pPr>
              <w:spacing w:line="240" w:lineRule="auto"/>
              <w:jc w:val="center"/>
              <w:rPr>
                <w:sz w:val="21"/>
                <w:szCs w:val="21"/>
              </w:rPr>
            </w:pPr>
            <w:r>
              <w:rPr>
                <w:sz w:val="21"/>
                <w:szCs w:val="21"/>
              </w:rPr>
              <w:t>尿</w:t>
            </w:r>
          </w:p>
        </w:tc>
        <w:tc>
          <w:tcPr>
            <w:tcW w:w="1607" w:type="dxa"/>
            <w:vAlign w:val="center"/>
          </w:tcPr>
          <w:p w14:paraId="688D40DB">
            <w:pPr>
              <w:spacing w:line="240" w:lineRule="auto"/>
              <w:jc w:val="center"/>
              <w:rPr>
                <w:sz w:val="21"/>
                <w:szCs w:val="21"/>
              </w:rPr>
            </w:pPr>
            <w:r>
              <w:rPr>
                <w:sz w:val="21"/>
                <w:szCs w:val="21"/>
              </w:rPr>
              <w:t>kg（/只·d）</w:t>
            </w:r>
          </w:p>
        </w:tc>
        <w:tc>
          <w:tcPr>
            <w:tcW w:w="1220" w:type="dxa"/>
            <w:vAlign w:val="center"/>
          </w:tcPr>
          <w:p w14:paraId="0F06186C">
            <w:pPr>
              <w:spacing w:line="240" w:lineRule="auto"/>
              <w:jc w:val="center"/>
              <w:rPr>
                <w:sz w:val="21"/>
                <w:szCs w:val="21"/>
              </w:rPr>
            </w:pPr>
            <w:r>
              <w:rPr>
                <w:sz w:val="21"/>
                <w:szCs w:val="21"/>
              </w:rPr>
              <w:t>10.0</w:t>
            </w:r>
          </w:p>
        </w:tc>
        <w:tc>
          <w:tcPr>
            <w:tcW w:w="1219" w:type="dxa"/>
            <w:vAlign w:val="center"/>
          </w:tcPr>
          <w:p w14:paraId="5C1ABB07">
            <w:pPr>
              <w:spacing w:line="240" w:lineRule="auto"/>
              <w:jc w:val="center"/>
              <w:rPr>
                <w:sz w:val="21"/>
                <w:szCs w:val="21"/>
              </w:rPr>
            </w:pPr>
            <w:r>
              <w:rPr>
                <w:sz w:val="21"/>
                <w:szCs w:val="21"/>
              </w:rPr>
              <w:t>3.3</w:t>
            </w:r>
          </w:p>
        </w:tc>
        <w:tc>
          <w:tcPr>
            <w:tcW w:w="1215" w:type="dxa"/>
            <w:vAlign w:val="center"/>
          </w:tcPr>
          <w:p w14:paraId="1C76353E">
            <w:pPr>
              <w:spacing w:line="240" w:lineRule="auto"/>
              <w:jc w:val="center"/>
              <w:rPr>
                <w:sz w:val="21"/>
                <w:szCs w:val="21"/>
              </w:rPr>
            </w:pPr>
            <w:r>
              <w:rPr>
                <w:sz w:val="21"/>
                <w:szCs w:val="21"/>
              </w:rPr>
              <w:t>——</w:t>
            </w:r>
          </w:p>
        </w:tc>
        <w:tc>
          <w:tcPr>
            <w:tcW w:w="1214" w:type="dxa"/>
            <w:vAlign w:val="center"/>
          </w:tcPr>
          <w:p w14:paraId="1BE523F9">
            <w:pPr>
              <w:spacing w:line="240" w:lineRule="auto"/>
              <w:jc w:val="center"/>
              <w:rPr>
                <w:sz w:val="21"/>
                <w:szCs w:val="21"/>
              </w:rPr>
            </w:pPr>
            <w:r>
              <w:rPr>
                <w:sz w:val="21"/>
                <w:szCs w:val="21"/>
              </w:rPr>
              <w:t>——</w:t>
            </w:r>
          </w:p>
        </w:tc>
      </w:tr>
      <w:tr w14:paraId="7CAF98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 w:hRule="atLeast"/>
          <w:jc w:val="center"/>
        </w:trPr>
        <w:tc>
          <w:tcPr>
            <w:tcW w:w="1260" w:type="dxa"/>
            <w:vMerge w:val="continue"/>
            <w:vAlign w:val="center"/>
          </w:tcPr>
          <w:p w14:paraId="0C270DFF">
            <w:pPr>
              <w:spacing w:line="240" w:lineRule="auto"/>
              <w:jc w:val="center"/>
              <w:rPr>
                <w:sz w:val="21"/>
                <w:szCs w:val="21"/>
              </w:rPr>
            </w:pPr>
          </w:p>
        </w:tc>
        <w:tc>
          <w:tcPr>
            <w:tcW w:w="1607" w:type="dxa"/>
            <w:vAlign w:val="center"/>
          </w:tcPr>
          <w:p w14:paraId="18FD9DEB">
            <w:pPr>
              <w:spacing w:line="240" w:lineRule="auto"/>
              <w:jc w:val="center"/>
              <w:rPr>
                <w:sz w:val="21"/>
                <w:szCs w:val="21"/>
              </w:rPr>
            </w:pPr>
            <w:r>
              <w:rPr>
                <w:sz w:val="21"/>
                <w:szCs w:val="21"/>
              </w:rPr>
              <w:t>kg（/只·a）</w:t>
            </w:r>
          </w:p>
        </w:tc>
        <w:tc>
          <w:tcPr>
            <w:tcW w:w="1220" w:type="dxa"/>
            <w:vAlign w:val="center"/>
          </w:tcPr>
          <w:p w14:paraId="4D44DD6E">
            <w:pPr>
              <w:spacing w:line="240" w:lineRule="auto"/>
              <w:jc w:val="center"/>
              <w:rPr>
                <w:sz w:val="21"/>
                <w:szCs w:val="21"/>
              </w:rPr>
            </w:pPr>
            <w:r>
              <w:rPr>
                <w:sz w:val="21"/>
                <w:szCs w:val="21"/>
              </w:rPr>
              <w:t>3650.0</w:t>
            </w:r>
          </w:p>
        </w:tc>
        <w:tc>
          <w:tcPr>
            <w:tcW w:w="1219" w:type="dxa"/>
            <w:vAlign w:val="center"/>
          </w:tcPr>
          <w:p w14:paraId="694A808D">
            <w:pPr>
              <w:spacing w:line="240" w:lineRule="auto"/>
              <w:jc w:val="center"/>
              <w:rPr>
                <w:sz w:val="21"/>
                <w:szCs w:val="21"/>
              </w:rPr>
            </w:pPr>
            <w:r>
              <w:rPr>
                <w:sz w:val="21"/>
                <w:szCs w:val="21"/>
              </w:rPr>
              <w:t>656.7</w:t>
            </w:r>
          </w:p>
        </w:tc>
        <w:tc>
          <w:tcPr>
            <w:tcW w:w="1215" w:type="dxa"/>
            <w:vAlign w:val="center"/>
          </w:tcPr>
          <w:p w14:paraId="4B88C040">
            <w:pPr>
              <w:spacing w:line="240" w:lineRule="auto"/>
              <w:jc w:val="center"/>
              <w:rPr>
                <w:sz w:val="21"/>
                <w:szCs w:val="21"/>
              </w:rPr>
            </w:pPr>
            <w:r>
              <w:rPr>
                <w:sz w:val="21"/>
                <w:szCs w:val="21"/>
              </w:rPr>
              <w:t>——</w:t>
            </w:r>
          </w:p>
        </w:tc>
        <w:tc>
          <w:tcPr>
            <w:tcW w:w="1214" w:type="dxa"/>
            <w:vAlign w:val="center"/>
          </w:tcPr>
          <w:p w14:paraId="4263ECAA">
            <w:pPr>
              <w:spacing w:line="240" w:lineRule="auto"/>
              <w:jc w:val="center"/>
              <w:rPr>
                <w:sz w:val="21"/>
                <w:szCs w:val="21"/>
              </w:rPr>
            </w:pPr>
            <w:r>
              <w:rPr>
                <w:sz w:val="21"/>
                <w:szCs w:val="21"/>
              </w:rPr>
              <w:t>——</w:t>
            </w:r>
          </w:p>
        </w:tc>
      </w:tr>
      <w:tr w14:paraId="231F01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9" w:hRule="atLeast"/>
          <w:jc w:val="center"/>
        </w:trPr>
        <w:tc>
          <w:tcPr>
            <w:tcW w:w="1260" w:type="dxa"/>
            <w:vAlign w:val="center"/>
          </w:tcPr>
          <w:p w14:paraId="3B525F21">
            <w:pPr>
              <w:spacing w:line="240" w:lineRule="auto"/>
              <w:jc w:val="center"/>
              <w:rPr>
                <w:sz w:val="21"/>
                <w:szCs w:val="21"/>
              </w:rPr>
            </w:pPr>
            <w:r>
              <w:rPr>
                <w:sz w:val="21"/>
                <w:szCs w:val="21"/>
              </w:rPr>
              <w:t>饲养周期</w:t>
            </w:r>
          </w:p>
        </w:tc>
        <w:tc>
          <w:tcPr>
            <w:tcW w:w="1607" w:type="dxa"/>
            <w:vAlign w:val="center"/>
          </w:tcPr>
          <w:p w14:paraId="3D8D5FC3">
            <w:pPr>
              <w:spacing w:line="240" w:lineRule="auto"/>
              <w:jc w:val="center"/>
              <w:rPr>
                <w:sz w:val="21"/>
                <w:szCs w:val="21"/>
              </w:rPr>
            </w:pPr>
            <w:r>
              <w:rPr>
                <w:sz w:val="21"/>
                <w:szCs w:val="21"/>
              </w:rPr>
              <w:t>d</w:t>
            </w:r>
          </w:p>
        </w:tc>
        <w:tc>
          <w:tcPr>
            <w:tcW w:w="1220" w:type="dxa"/>
            <w:vAlign w:val="center"/>
          </w:tcPr>
          <w:p w14:paraId="734E0D85">
            <w:pPr>
              <w:spacing w:line="240" w:lineRule="auto"/>
              <w:jc w:val="center"/>
              <w:rPr>
                <w:sz w:val="21"/>
                <w:szCs w:val="21"/>
              </w:rPr>
            </w:pPr>
            <w:r>
              <w:rPr>
                <w:sz w:val="21"/>
                <w:szCs w:val="21"/>
              </w:rPr>
              <w:t>365</w:t>
            </w:r>
          </w:p>
        </w:tc>
        <w:tc>
          <w:tcPr>
            <w:tcW w:w="1219" w:type="dxa"/>
            <w:vAlign w:val="center"/>
          </w:tcPr>
          <w:p w14:paraId="25C8F18E">
            <w:pPr>
              <w:spacing w:line="240" w:lineRule="auto"/>
              <w:jc w:val="center"/>
              <w:rPr>
                <w:sz w:val="21"/>
                <w:szCs w:val="21"/>
              </w:rPr>
            </w:pPr>
            <w:r>
              <w:rPr>
                <w:sz w:val="21"/>
                <w:szCs w:val="21"/>
              </w:rPr>
              <w:t>199</w:t>
            </w:r>
          </w:p>
        </w:tc>
        <w:tc>
          <w:tcPr>
            <w:tcW w:w="1215" w:type="dxa"/>
            <w:vAlign w:val="center"/>
          </w:tcPr>
          <w:p w14:paraId="32DFF8D7">
            <w:pPr>
              <w:spacing w:line="240" w:lineRule="auto"/>
              <w:jc w:val="center"/>
              <w:rPr>
                <w:sz w:val="21"/>
                <w:szCs w:val="21"/>
              </w:rPr>
            </w:pPr>
            <w:r>
              <w:rPr>
                <w:sz w:val="21"/>
                <w:szCs w:val="21"/>
              </w:rPr>
              <w:t>210</w:t>
            </w:r>
          </w:p>
        </w:tc>
        <w:tc>
          <w:tcPr>
            <w:tcW w:w="1214" w:type="dxa"/>
            <w:vAlign w:val="center"/>
          </w:tcPr>
          <w:p w14:paraId="4480A00E">
            <w:pPr>
              <w:spacing w:line="240" w:lineRule="auto"/>
              <w:jc w:val="center"/>
              <w:rPr>
                <w:sz w:val="21"/>
                <w:szCs w:val="21"/>
              </w:rPr>
            </w:pPr>
            <w:r>
              <w:rPr>
                <w:sz w:val="21"/>
                <w:szCs w:val="21"/>
              </w:rPr>
              <w:t>210</w:t>
            </w:r>
          </w:p>
        </w:tc>
      </w:tr>
    </w:tbl>
    <w:p w14:paraId="63AC7D83">
      <w:pPr>
        <w:jc w:val="center"/>
        <w:rPr>
          <w:b/>
          <w:spacing w:val="-4"/>
          <w:kern w:val="20"/>
          <w:sz w:val="21"/>
          <w:szCs w:val="21"/>
        </w:rPr>
      </w:pPr>
    </w:p>
    <w:p w14:paraId="0CC9EFF8">
      <w:pPr>
        <w:jc w:val="center"/>
        <w:rPr>
          <w:b/>
          <w:spacing w:val="-4"/>
          <w:kern w:val="20"/>
          <w:sz w:val="21"/>
          <w:szCs w:val="21"/>
        </w:rPr>
      </w:pPr>
      <w:r>
        <w:rPr>
          <w:b/>
          <w:spacing w:val="-4"/>
          <w:kern w:val="20"/>
          <w:sz w:val="21"/>
          <w:szCs w:val="21"/>
        </w:rPr>
        <w:t>表</w:t>
      </w:r>
      <w:r>
        <w:rPr>
          <w:rFonts w:hint="eastAsia"/>
          <w:b/>
          <w:spacing w:val="-4"/>
          <w:kern w:val="20"/>
          <w:sz w:val="21"/>
          <w:szCs w:val="21"/>
        </w:rPr>
        <w:t>2-8</w:t>
      </w:r>
      <w:r>
        <w:rPr>
          <w:b/>
          <w:spacing w:val="-4"/>
          <w:kern w:val="20"/>
          <w:sz w:val="21"/>
          <w:szCs w:val="21"/>
        </w:rPr>
        <w:t xml:space="preserve">  每头（只）畜禽每年排泄粪便中污染物含量一览表</w:t>
      </w:r>
    </w:p>
    <w:tbl>
      <w:tblPr>
        <w:tblStyle w:val="20"/>
        <w:tblW w:w="852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41"/>
        <w:gridCol w:w="1237"/>
        <w:gridCol w:w="1208"/>
        <w:gridCol w:w="1212"/>
        <w:gridCol w:w="1193"/>
        <w:gridCol w:w="1217"/>
        <w:gridCol w:w="1214"/>
      </w:tblGrid>
      <w:tr w14:paraId="574B96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41" w:type="dxa"/>
            <w:vMerge w:val="restart"/>
            <w:vAlign w:val="center"/>
          </w:tcPr>
          <w:p w14:paraId="35730E12">
            <w:pPr>
              <w:spacing w:line="240" w:lineRule="auto"/>
              <w:jc w:val="center"/>
              <w:rPr>
                <w:b/>
                <w:bCs/>
                <w:sz w:val="21"/>
                <w:szCs w:val="21"/>
              </w:rPr>
            </w:pPr>
            <w:r>
              <w:rPr>
                <w:b/>
                <w:bCs/>
                <w:sz w:val="21"/>
                <w:szCs w:val="21"/>
              </w:rPr>
              <w:t>项目</w:t>
            </w:r>
          </w:p>
        </w:tc>
        <w:tc>
          <w:tcPr>
            <w:tcW w:w="2445" w:type="dxa"/>
            <w:gridSpan w:val="2"/>
            <w:vAlign w:val="center"/>
          </w:tcPr>
          <w:p w14:paraId="0B9AF8FA">
            <w:pPr>
              <w:spacing w:line="240" w:lineRule="auto"/>
              <w:jc w:val="center"/>
              <w:rPr>
                <w:b/>
                <w:bCs/>
                <w:sz w:val="21"/>
                <w:szCs w:val="21"/>
              </w:rPr>
            </w:pPr>
            <w:r>
              <w:rPr>
                <w:b/>
                <w:bCs/>
                <w:sz w:val="21"/>
                <w:szCs w:val="21"/>
              </w:rPr>
              <w:t>牛（kg/年）</w:t>
            </w:r>
          </w:p>
        </w:tc>
        <w:tc>
          <w:tcPr>
            <w:tcW w:w="2405" w:type="dxa"/>
            <w:gridSpan w:val="2"/>
            <w:vAlign w:val="center"/>
          </w:tcPr>
          <w:p w14:paraId="35594770">
            <w:pPr>
              <w:spacing w:line="240" w:lineRule="auto"/>
              <w:jc w:val="center"/>
              <w:rPr>
                <w:b/>
                <w:bCs/>
                <w:sz w:val="21"/>
                <w:szCs w:val="21"/>
              </w:rPr>
            </w:pPr>
            <w:r>
              <w:rPr>
                <w:b/>
                <w:bCs/>
                <w:sz w:val="21"/>
                <w:szCs w:val="21"/>
              </w:rPr>
              <w:t>猪（kg/年）</w:t>
            </w:r>
          </w:p>
        </w:tc>
        <w:tc>
          <w:tcPr>
            <w:tcW w:w="1217" w:type="dxa"/>
            <w:vMerge w:val="restart"/>
            <w:vAlign w:val="center"/>
          </w:tcPr>
          <w:p w14:paraId="748DB5D6">
            <w:pPr>
              <w:spacing w:line="240" w:lineRule="auto"/>
              <w:jc w:val="center"/>
              <w:rPr>
                <w:b/>
                <w:bCs/>
                <w:sz w:val="21"/>
                <w:szCs w:val="21"/>
              </w:rPr>
            </w:pPr>
            <w:r>
              <w:rPr>
                <w:b/>
                <w:bCs/>
                <w:sz w:val="21"/>
                <w:szCs w:val="21"/>
              </w:rPr>
              <w:t>羊粪</w:t>
            </w:r>
          </w:p>
          <w:p w14:paraId="053A1098">
            <w:pPr>
              <w:spacing w:line="240" w:lineRule="auto"/>
              <w:jc w:val="center"/>
              <w:rPr>
                <w:b/>
                <w:bCs/>
                <w:sz w:val="21"/>
                <w:szCs w:val="21"/>
              </w:rPr>
            </w:pPr>
            <w:r>
              <w:rPr>
                <w:b/>
                <w:bCs/>
                <w:sz w:val="21"/>
                <w:szCs w:val="21"/>
              </w:rPr>
              <w:t>（kg/年）</w:t>
            </w:r>
          </w:p>
        </w:tc>
        <w:tc>
          <w:tcPr>
            <w:tcW w:w="1214" w:type="dxa"/>
            <w:vMerge w:val="restart"/>
            <w:vAlign w:val="center"/>
          </w:tcPr>
          <w:p w14:paraId="10C40F17">
            <w:pPr>
              <w:spacing w:line="240" w:lineRule="auto"/>
              <w:jc w:val="center"/>
              <w:rPr>
                <w:b/>
                <w:bCs/>
                <w:sz w:val="21"/>
                <w:szCs w:val="21"/>
              </w:rPr>
            </w:pPr>
            <w:r>
              <w:rPr>
                <w:b/>
                <w:bCs/>
                <w:sz w:val="21"/>
                <w:szCs w:val="21"/>
              </w:rPr>
              <w:t>家禽粪</w:t>
            </w:r>
          </w:p>
          <w:p w14:paraId="68B0252A">
            <w:pPr>
              <w:spacing w:line="240" w:lineRule="auto"/>
              <w:jc w:val="center"/>
              <w:rPr>
                <w:b/>
                <w:bCs/>
                <w:sz w:val="21"/>
                <w:szCs w:val="21"/>
              </w:rPr>
            </w:pPr>
            <w:r>
              <w:rPr>
                <w:b/>
                <w:bCs/>
                <w:sz w:val="21"/>
                <w:szCs w:val="21"/>
              </w:rPr>
              <w:t>（kg/年）</w:t>
            </w:r>
          </w:p>
        </w:tc>
      </w:tr>
      <w:tr w14:paraId="26A4AF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41" w:type="dxa"/>
            <w:vMerge w:val="continue"/>
            <w:vAlign w:val="center"/>
          </w:tcPr>
          <w:p w14:paraId="08D0022C">
            <w:pPr>
              <w:spacing w:line="240" w:lineRule="auto"/>
              <w:jc w:val="center"/>
              <w:rPr>
                <w:b/>
                <w:bCs/>
                <w:sz w:val="21"/>
                <w:szCs w:val="21"/>
              </w:rPr>
            </w:pPr>
          </w:p>
        </w:tc>
        <w:tc>
          <w:tcPr>
            <w:tcW w:w="1237" w:type="dxa"/>
            <w:vAlign w:val="center"/>
          </w:tcPr>
          <w:p w14:paraId="69ABA7F6">
            <w:pPr>
              <w:spacing w:line="240" w:lineRule="auto"/>
              <w:jc w:val="center"/>
              <w:rPr>
                <w:b/>
                <w:bCs/>
                <w:sz w:val="21"/>
                <w:szCs w:val="21"/>
              </w:rPr>
            </w:pPr>
            <w:r>
              <w:rPr>
                <w:b/>
                <w:bCs/>
                <w:sz w:val="21"/>
                <w:szCs w:val="21"/>
              </w:rPr>
              <w:t>粪</w:t>
            </w:r>
          </w:p>
        </w:tc>
        <w:tc>
          <w:tcPr>
            <w:tcW w:w="1208" w:type="dxa"/>
            <w:vAlign w:val="center"/>
          </w:tcPr>
          <w:p w14:paraId="654FD593">
            <w:pPr>
              <w:spacing w:line="240" w:lineRule="auto"/>
              <w:jc w:val="center"/>
              <w:rPr>
                <w:b/>
                <w:bCs/>
                <w:sz w:val="21"/>
                <w:szCs w:val="21"/>
              </w:rPr>
            </w:pPr>
            <w:r>
              <w:rPr>
                <w:b/>
                <w:bCs/>
                <w:sz w:val="21"/>
                <w:szCs w:val="21"/>
              </w:rPr>
              <w:t>尿</w:t>
            </w:r>
          </w:p>
        </w:tc>
        <w:tc>
          <w:tcPr>
            <w:tcW w:w="1212" w:type="dxa"/>
            <w:vAlign w:val="center"/>
          </w:tcPr>
          <w:p w14:paraId="00091C2E">
            <w:pPr>
              <w:spacing w:line="240" w:lineRule="auto"/>
              <w:jc w:val="center"/>
              <w:rPr>
                <w:b/>
                <w:bCs/>
                <w:sz w:val="21"/>
                <w:szCs w:val="21"/>
              </w:rPr>
            </w:pPr>
            <w:r>
              <w:rPr>
                <w:b/>
                <w:bCs/>
                <w:sz w:val="21"/>
                <w:szCs w:val="21"/>
              </w:rPr>
              <w:t>粪</w:t>
            </w:r>
          </w:p>
        </w:tc>
        <w:tc>
          <w:tcPr>
            <w:tcW w:w="1193" w:type="dxa"/>
            <w:vAlign w:val="center"/>
          </w:tcPr>
          <w:p w14:paraId="404142AF">
            <w:pPr>
              <w:spacing w:line="240" w:lineRule="auto"/>
              <w:jc w:val="center"/>
              <w:rPr>
                <w:b/>
                <w:bCs/>
                <w:sz w:val="21"/>
                <w:szCs w:val="21"/>
              </w:rPr>
            </w:pPr>
            <w:r>
              <w:rPr>
                <w:b/>
                <w:bCs/>
                <w:sz w:val="21"/>
                <w:szCs w:val="21"/>
              </w:rPr>
              <w:t>尿</w:t>
            </w:r>
          </w:p>
        </w:tc>
        <w:tc>
          <w:tcPr>
            <w:tcW w:w="1217" w:type="dxa"/>
            <w:vMerge w:val="continue"/>
            <w:vAlign w:val="center"/>
          </w:tcPr>
          <w:p w14:paraId="35ED8122">
            <w:pPr>
              <w:spacing w:line="240" w:lineRule="auto"/>
              <w:jc w:val="center"/>
              <w:rPr>
                <w:b/>
                <w:bCs/>
                <w:sz w:val="21"/>
                <w:szCs w:val="21"/>
              </w:rPr>
            </w:pPr>
          </w:p>
        </w:tc>
        <w:tc>
          <w:tcPr>
            <w:tcW w:w="1214" w:type="dxa"/>
            <w:vMerge w:val="continue"/>
            <w:vAlign w:val="center"/>
          </w:tcPr>
          <w:p w14:paraId="4108A2D5">
            <w:pPr>
              <w:spacing w:line="240" w:lineRule="auto"/>
              <w:jc w:val="center"/>
              <w:rPr>
                <w:b/>
                <w:bCs/>
                <w:sz w:val="21"/>
                <w:szCs w:val="21"/>
              </w:rPr>
            </w:pPr>
          </w:p>
        </w:tc>
      </w:tr>
      <w:tr w14:paraId="3B7D78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41" w:type="dxa"/>
            <w:vAlign w:val="center"/>
          </w:tcPr>
          <w:p w14:paraId="008E4364">
            <w:pPr>
              <w:spacing w:line="240" w:lineRule="auto"/>
              <w:jc w:val="center"/>
              <w:rPr>
                <w:sz w:val="21"/>
                <w:szCs w:val="21"/>
              </w:rPr>
            </w:pPr>
            <w:r>
              <w:rPr>
                <w:sz w:val="21"/>
                <w:szCs w:val="21"/>
              </w:rPr>
              <w:t>COD</w:t>
            </w:r>
          </w:p>
        </w:tc>
        <w:tc>
          <w:tcPr>
            <w:tcW w:w="1237" w:type="dxa"/>
            <w:vAlign w:val="center"/>
          </w:tcPr>
          <w:p w14:paraId="2E66BACF">
            <w:pPr>
              <w:spacing w:line="240" w:lineRule="auto"/>
              <w:jc w:val="center"/>
              <w:rPr>
                <w:sz w:val="21"/>
                <w:szCs w:val="21"/>
              </w:rPr>
            </w:pPr>
            <w:r>
              <w:rPr>
                <w:sz w:val="21"/>
                <w:szCs w:val="21"/>
              </w:rPr>
              <w:t>226.30</w:t>
            </w:r>
          </w:p>
        </w:tc>
        <w:tc>
          <w:tcPr>
            <w:tcW w:w="1208" w:type="dxa"/>
            <w:vAlign w:val="center"/>
          </w:tcPr>
          <w:p w14:paraId="15646E76">
            <w:pPr>
              <w:spacing w:line="240" w:lineRule="auto"/>
              <w:jc w:val="center"/>
              <w:rPr>
                <w:sz w:val="21"/>
                <w:szCs w:val="21"/>
              </w:rPr>
            </w:pPr>
            <w:r>
              <w:rPr>
                <w:sz w:val="21"/>
                <w:szCs w:val="21"/>
              </w:rPr>
              <w:t>21.90</w:t>
            </w:r>
          </w:p>
        </w:tc>
        <w:tc>
          <w:tcPr>
            <w:tcW w:w="1212" w:type="dxa"/>
            <w:vAlign w:val="center"/>
          </w:tcPr>
          <w:p w14:paraId="74AFCD3C">
            <w:pPr>
              <w:spacing w:line="240" w:lineRule="auto"/>
              <w:jc w:val="center"/>
              <w:rPr>
                <w:sz w:val="21"/>
                <w:szCs w:val="21"/>
              </w:rPr>
            </w:pPr>
            <w:r>
              <w:rPr>
                <w:sz w:val="21"/>
                <w:szCs w:val="21"/>
              </w:rPr>
              <w:t>20.70</w:t>
            </w:r>
          </w:p>
        </w:tc>
        <w:tc>
          <w:tcPr>
            <w:tcW w:w="1193" w:type="dxa"/>
            <w:vAlign w:val="center"/>
          </w:tcPr>
          <w:p w14:paraId="14CCB1F8">
            <w:pPr>
              <w:spacing w:line="240" w:lineRule="auto"/>
              <w:jc w:val="center"/>
              <w:rPr>
                <w:sz w:val="21"/>
                <w:szCs w:val="21"/>
              </w:rPr>
            </w:pPr>
            <w:r>
              <w:rPr>
                <w:sz w:val="21"/>
                <w:szCs w:val="21"/>
              </w:rPr>
              <w:t>5.91</w:t>
            </w:r>
          </w:p>
        </w:tc>
        <w:tc>
          <w:tcPr>
            <w:tcW w:w="1217" w:type="dxa"/>
            <w:vAlign w:val="center"/>
          </w:tcPr>
          <w:p w14:paraId="7B8DDC03">
            <w:pPr>
              <w:spacing w:line="240" w:lineRule="auto"/>
              <w:jc w:val="center"/>
              <w:rPr>
                <w:sz w:val="21"/>
                <w:szCs w:val="21"/>
              </w:rPr>
            </w:pPr>
            <w:r>
              <w:rPr>
                <w:sz w:val="21"/>
                <w:szCs w:val="21"/>
              </w:rPr>
              <w:t>4.40</w:t>
            </w:r>
          </w:p>
        </w:tc>
        <w:tc>
          <w:tcPr>
            <w:tcW w:w="1214" w:type="dxa"/>
            <w:vAlign w:val="center"/>
          </w:tcPr>
          <w:p w14:paraId="243B5061">
            <w:pPr>
              <w:spacing w:line="240" w:lineRule="auto"/>
              <w:jc w:val="center"/>
              <w:rPr>
                <w:sz w:val="21"/>
                <w:szCs w:val="21"/>
              </w:rPr>
            </w:pPr>
            <w:r>
              <w:rPr>
                <w:sz w:val="21"/>
                <w:szCs w:val="21"/>
              </w:rPr>
              <w:t>1.165</w:t>
            </w:r>
          </w:p>
        </w:tc>
      </w:tr>
      <w:tr w14:paraId="7A3E6F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41" w:type="dxa"/>
            <w:vAlign w:val="center"/>
          </w:tcPr>
          <w:p w14:paraId="0DAD8DC8">
            <w:pPr>
              <w:spacing w:line="240" w:lineRule="auto"/>
              <w:jc w:val="center"/>
              <w:rPr>
                <w:sz w:val="21"/>
                <w:szCs w:val="21"/>
              </w:rPr>
            </w:pPr>
            <w:r>
              <w:rPr>
                <w:sz w:val="21"/>
                <w:szCs w:val="21"/>
              </w:rPr>
              <w:t>BOD</w:t>
            </w:r>
            <w:r>
              <w:rPr>
                <w:sz w:val="21"/>
                <w:szCs w:val="21"/>
                <w:vertAlign w:val="subscript"/>
              </w:rPr>
              <w:t>5</w:t>
            </w:r>
          </w:p>
        </w:tc>
        <w:tc>
          <w:tcPr>
            <w:tcW w:w="1237" w:type="dxa"/>
            <w:vAlign w:val="center"/>
          </w:tcPr>
          <w:p w14:paraId="61C9F292">
            <w:pPr>
              <w:spacing w:line="240" w:lineRule="auto"/>
              <w:jc w:val="center"/>
              <w:rPr>
                <w:sz w:val="21"/>
                <w:szCs w:val="21"/>
              </w:rPr>
            </w:pPr>
            <w:r>
              <w:rPr>
                <w:sz w:val="21"/>
                <w:szCs w:val="21"/>
              </w:rPr>
              <w:t>179.07</w:t>
            </w:r>
          </w:p>
        </w:tc>
        <w:tc>
          <w:tcPr>
            <w:tcW w:w="1208" w:type="dxa"/>
            <w:vAlign w:val="center"/>
          </w:tcPr>
          <w:p w14:paraId="38166B3C">
            <w:pPr>
              <w:spacing w:line="240" w:lineRule="auto"/>
              <w:jc w:val="center"/>
              <w:rPr>
                <w:sz w:val="21"/>
                <w:szCs w:val="21"/>
              </w:rPr>
            </w:pPr>
            <w:r>
              <w:rPr>
                <w:sz w:val="21"/>
                <w:szCs w:val="21"/>
              </w:rPr>
              <w:t>14.60</w:t>
            </w:r>
          </w:p>
        </w:tc>
        <w:tc>
          <w:tcPr>
            <w:tcW w:w="1212" w:type="dxa"/>
            <w:vAlign w:val="center"/>
          </w:tcPr>
          <w:p w14:paraId="6919572F">
            <w:pPr>
              <w:spacing w:line="240" w:lineRule="auto"/>
              <w:jc w:val="center"/>
              <w:rPr>
                <w:sz w:val="21"/>
                <w:szCs w:val="21"/>
              </w:rPr>
            </w:pPr>
            <w:r>
              <w:rPr>
                <w:sz w:val="21"/>
                <w:szCs w:val="21"/>
              </w:rPr>
              <w:t>22.70</w:t>
            </w:r>
          </w:p>
        </w:tc>
        <w:tc>
          <w:tcPr>
            <w:tcW w:w="1193" w:type="dxa"/>
            <w:vAlign w:val="center"/>
          </w:tcPr>
          <w:p w14:paraId="4E7A631A">
            <w:pPr>
              <w:spacing w:line="240" w:lineRule="auto"/>
              <w:jc w:val="center"/>
              <w:rPr>
                <w:sz w:val="21"/>
                <w:szCs w:val="21"/>
              </w:rPr>
            </w:pPr>
            <w:r>
              <w:rPr>
                <w:sz w:val="21"/>
                <w:szCs w:val="21"/>
              </w:rPr>
              <w:t>3.28</w:t>
            </w:r>
          </w:p>
        </w:tc>
        <w:tc>
          <w:tcPr>
            <w:tcW w:w="1217" w:type="dxa"/>
            <w:vAlign w:val="center"/>
          </w:tcPr>
          <w:p w14:paraId="532858C7">
            <w:pPr>
              <w:spacing w:line="240" w:lineRule="auto"/>
              <w:jc w:val="center"/>
              <w:rPr>
                <w:sz w:val="21"/>
                <w:szCs w:val="21"/>
              </w:rPr>
            </w:pPr>
            <w:r>
              <w:rPr>
                <w:sz w:val="21"/>
                <w:szCs w:val="21"/>
              </w:rPr>
              <w:t>2.70</w:t>
            </w:r>
          </w:p>
        </w:tc>
        <w:tc>
          <w:tcPr>
            <w:tcW w:w="1214" w:type="dxa"/>
            <w:vAlign w:val="center"/>
          </w:tcPr>
          <w:p w14:paraId="6746779C">
            <w:pPr>
              <w:spacing w:line="240" w:lineRule="auto"/>
              <w:jc w:val="center"/>
              <w:rPr>
                <w:sz w:val="21"/>
                <w:szCs w:val="21"/>
              </w:rPr>
            </w:pPr>
            <w:r>
              <w:rPr>
                <w:sz w:val="21"/>
                <w:szCs w:val="21"/>
              </w:rPr>
              <w:t>1.015</w:t>
            </w:r>
          </w:p>
        </w:tc>
      </w:tr>
      <w:tr w14:paraId="2E7BFF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41" w:type="dxa"/>
            <w:vAlign w:val="center"/>
          </w:tcPr>
          <w:p w14:paraId="6EEDC0AA">
            <w:pPr>
              <w:spacing w:line="240" w:lineRule="auto"/>
              <w:jc w:val="center"/>
              <w:rPr>
                <w:sz w:val="21"/>
                <w:szCs w:val="21"/>
              </w:rPr>
            </w:pPr>
            <w:r>
              <w:rPr>
                <w:sz w:val="21"/>
                <w:szCs w:val="21"/>
              </w:rPr>
              <w:t>NH</w:t>
            </w:r>
            <w:r>
              <w:rPr>
                <w:sz w:val="21"/>
                <w:szCs w:val="21"/>
                <w:vertAlign w:val="subscript"/>
              </w:rPr>
              <w:t>3</w:t>
            </w:r>
            <w:r>
              <w:rPr>
                <w:sz w:val="21"/>
                <w:szCs w:val="21"/>
              </w:rPr>
              <w:t>-N</w:t>
            </w:r>
          </w:p>
        </w:tc>
        <w:tc>
          <w:tcPr>
            <w:tcW w:w="1237" w:type="dxa"/>
            <w:vAlign w:val="center"/>
          </w:tcPr>
          <w:p w14:paraId="690CFDC6">
            <w:pPr>
              <w:spacing w:line="240" w:lineRule="auto"/>
              <w:jc w:val="center"/>
              <w:rPr>
                <w:sz w:val="21"/>
                <w:szCs w:val="21"/>
              </w:rPr>
            </w:pPr>
            <w:r>
              <w:rPr>
                <w:sz w:val="21"/>
                <w:szCs w:val="21"/>
              </w:rPr>
              <w:t>12.48</w:t>
            </w:r>
          </w:p>
        </w:tc>
        <w:tc>
          <w:tcPr>
            <w:tcW w:w="1208" w:type="dxa"/>
            <w:vAlign w:val="center"/>
          </w:tcPr>
          <w:p w14:paraId="3F9E0806">
            <w:pPr>
              <w:spacing w:line="240" w:lineRule="auto"/>
              <w:jc w:val="center"/>
              <w:rPr>
                <w:sz w:val="21"/>
                <w:szCs w:val="21"/>
              </w:rPr>
            </w:pPr>
            <w:r>
              <w:rPr>
                <w:sz w:val="21"/>
                <w:szCs w:val="21"/>
              </w:rPr>
              <w:t>12.67</w:t>
            </w:r>
          </w:p>
        </w:tc>
        <w:tc>
          <w:tcPr>
            <w:tcW w:w="1212" w:type="dxa"/>
            <w:vAlign w:val="center"/>
          </w:tcPr>
          <w:p w14:paraId="541B28D7">
            <w:pPr>
              <w:spacing w:line="240" w:lineRule="auto"/>
              <w:jc w:val="center"/>
              <w:rPr>
                <w:sz w:val="21"/>
                <w:szCs w:val="21"/>
              </w:rPr>
            </w:pPr>
            <w:r>
              <w:rPr>
                <w:sz w:val="21"/>
                <w:szCs w:val="21"/>
              </w:rPr>
              <w:t>1.23</w:t>
            </w:r>
          </w:p>
        </w:tc>
        <w:tc>
          <w:tcPr>
            <w:tcW w:w="1193" w:type="dxa"/>
            <w:vAlign w:val="center"/>
          </w:tcPr>
          <w:p w14:paraId="20AA4851">
            <w:pPr>
              <w:spacing w:line="240" w:lineRule="auto"/>
              <w:jc w:val="center"/>
              <w:rPr>
                <w:sz w:val="21"/>
                <w:szCs w:val="21"/>
              </w:rPr>
            </w:pPr>
            <w:r>
              <w:rPr>
                <w:sz w:val="21"/>
                <w:szCs w:val="21"/>
              </w:rPr>
              <w:t>0.84</w:t>
            </w:r>
          </w:p>
        </w:tc>
        <w:tc>
          <w:tcPr>
            <w:tcW w:w="1217" w:type="dxa"/>
            <w:vAlign w:val="center"/>
          </w:tcPr>
          <w:p w14:paraId="04763161">
            <w:pPr>
              <w:spacing w:line="240" w:lineRule="auto"/>
              <w:jc w:val="center"/>
              <w:rPr>
                <w:sz w:val="21"/>
                <w:szCs w:val="21"/>
              </w:rPr>
            </w:pPr>
            <w:r>
              <w:rPr>
                <w:sz w:val="21"/>
                <w:szCs w:val="21"/>
              </w:rPr>
              <w:t>0.57</w:t>
            </w:r>
          </w:p>
        </w:tc>
        <w:tc>
          <w:tcPr>
            <w:tcW w:w="1214" w:type="dxa"/>
            <w:vAlign w:val="center"/>
          </w:tcPr>
          <w:p w14:paraId="5887C494">
            <w:pPr>
              <w:spacing w:line="240" w:lineRule="auto"/>
              <w:jc w:val="center"/>
              <w:rPr>
                <w:sz w:val="21"/>
                <w:szCs w:val="21"/>
              </w:rPr>
            </w:pPr>
            <w:r>
              <w:rPr>
                <w:sz w:val="21"/>
                <w:szCs w:val="21"/>
              </w:rPr>
              <w:t>0.125</w:t>
            </w:r>
          </w:p>
        </w:tc>
      </w:tr>
      <w:tr w14:paraId="2C8284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41" w:type="dxa"/>
            <w:vAlign w:val="center"/>
          </w:tcPr>
          <w:p w14:paraId="06AD78D7">
            <w:pPr>
              <w:spacing w:line="240" w:lineRule="auto"/>
              <w:jc w:val="center"/>
              <w:rPr>
                <w:sz w:val="21"/>
                <w:szCs w:val="21"/>
              </w:rPr>
            </w:pPr>
            <w:r>
              <w:rPr>
                <w:sz w:val="21"/>
                <w:szCs w:val="21"/>
              </w:rPr>
              <w:t>TP</w:t>
            </w:r>
          </w:p>
        </w:tc>
        <w:tc>
          <w:tcPr>
            <w:tcW w:w="1237" w:type="dxa"/>
            <w:vAlign w:val="center"/>
          </w:tcPr>
          <w:p w14:paraId="35A5C83D">
            <w:pPr>
              <w:spacing w:line="240" w:lineRule="auto"/>
              <w:jc w:val="center"/>
              <w:rPr>
                <w:sz w:val="21"/>
                <w:szCs w:val="21"/>
              </w:rPr>
            </w:pPr>
            <w:r>
              <w:rPr>
                <w:sz w:val="21"/>
                <w:szCs w:val="21"/>
              </w:rPr>
              <w:t>8.61</w:t>
            </w:r>
          </w:p>
        </w:tc>
        <w:tc>
          <w:tcPr>
            <w:tcW w:w="1208" w:type="dxa"/>
            <w:vAlign w:val="center"/>
          </w:tcPr>
          <w:p w14:paraId="3C8B4AC6">
            <w:pPr>
              <w:spacing w:line="240" w:lineRule="auto"/>
              <w:jc w:val="center"/>
              <w:rPr>
                <w:sz w:val="21"/>
                <w:szCs w:val="21"/>
              </w:rPr>
            </w:pPr>
            <w:r>
              <w:rPr>
                <w:sz w:val="21"/>
                <w:szCs w:val="21"/>
              </w:rPr>
              <w:t>1.46</w:t>
            </w:r>
          </w:p>
        </w:tc>
        <w:tc>
          <w:tcPr>
            <w:tcW w:w="1212" w:type="dxa"/>
            <w:vAlign w:val="center"/>
          </w:tcPr>
          <w:p w14:paraId="6F49D535">
            <w:pPr>
              <w:spacing w:line="240" w:lineRule="auto"/>
              <w:jc w:val="center"/>
              <w:rPr>
                <w:sz w:val="21"/>
                <w:szCs w:val="21"/>
              </w:rPr>
            </w:pPr>
            <w:r>
              <w:rPr>
                <w:sz w:val="21"/>
                <w:szCs w:val="21"/>
              </w:rPr>
              <w:t>1.36</w:t>
            </w:r>
          </w:p>
        </w:tc>
        <w:tc>
          <w:tcPr>
            <w:tcW w:w="1193" w:type="dxa"/>
            <w:vAlign w:val="center"/>
          </w:tcPr>
          <w:p w14:paraId="5952182C">
            <w:pPr>
              <w:spacing w:line="240" w:lineRule="auto"/>
              <w:jc w:val="center"/>
              <w:rPr>
                <w:sz w:val="21"/>
                <w:szCs w:val="21"/>
              </w:rPr>
            </w:pPr>
            <w:r>
              <w:rPr>
                <w:sz w:val="21"/>
                <w:szCs w:val="21"/>
              </w:rPr>
              <w:t>0.34</w:t>
            </w:r>
          </w:p>
        </w:tc>
        <w:tc>
          <w:tcPr>
            <w:tcW w:w="1217" w:type="dxa"/>
            <w:vAlign w:val="center"/>
          </w:tcPr>
          <w:p w14:paraId="5B2C4F27">
            <w:pPr>
              <w:spacing w:line="240" w:lineRule="auto"/>
              <w:jc w:val="center"/>
              <w:rPr>
                <w:sz w:val="21"/>
                <w:szCs w:val="21"/>
              </w:rPr>
            </w:pPr>
            <w:r>
              <w:rPr>
                <w:sz w:val="21"/>
                <w:szCs w:val="21"/>
              </w:rPr>
              <w:t>0.45</w:t>
            </w:r>
          </w:p>
        </w:tc>
        <w:tc>
          <w:tcPr>
            <w:tcW w:w="1214" w:type="dxa"/>
            <w:vAlign w:val="center"/>
          </w:tcPr>
          <w:p w14:paraId="3FB3C3C0">
            <w:pPr>
              <w:spacing w:line="240" w:lineRule="auto"/>
              <w:jc w:val="center"/>
              <w:rPr>
                <w:sz w:val="21"/>
                <w:szCs w:val="21"/>
              </w:rPr>
            </w:pPr>
            <w:r>
              <w:rPr>
                <w:sz w:val="21"/>
                <w:szCs w:val="21"/>
              </w:rPr>
              <w:t>0.115</w:t>
            </w:r>
          </w:p>
        </w:tc>
      </w:tr>
      <w:tr w14:paraId="675645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41" w:type="dxa"/>
            <w:vAlign w:val="center"/>
          </w:tcPr>
          <w:p w14:paraId="0E1DAE4C">
            <w:pPr>
              <w:spacing w:line="240" w:lineRule="auto"/>
              <w:jc w:val="center"/>
              <w:rPr>
                <w:sz w:val="21"/>
                <w:szCs w:val="21"/>
              </w:rPr>
            </w:pPr>
            <w:r>
              <w:rPr>
                <w:sz w:val="21"/>
                <w:szCs w:val="21"/>
              </w:rPr>
              <w:t>TN</w:t>
            </w:r>
          </w:p>
        </w:tc>
        <w:tc>
          <w:tcPr>
            <w:tcW w:w="1237" w:type="dxa"/>
            <w:vAlign w:val="center"/>
          </w:tcPr>
          <w:p w14:paraId="2FEFD9B2">
            <w:pPr>
              <w:spacing w:line="240" w:lineRule="auto"/>
              <w:jc w:val="center"/>
              <w:rPr>
                <w:sz w:val="21"/>
                <w:szCs w:val="21"/>
              </w:rPr>
            </w:pPr>
            <w:r>
              <w:rPr>
                <w:sz w:val="21"/>
                <w:szCs w:val="21"/>
              </w:rPr>
              <w:t>31.90</w:t>
            </w:r>
          </w:p>
        </w:tc>
        <w:tc>
          <w:tcPr>
            <w:tcW w:w="1208" w:type="dxa"/>
            <w:vAlign w:val="center"/>
          </w:tcPr>
          <w:p w14:paraId="1C6BAFA6">
            <w:pPr>
              <w:spacing w:line="240" w:lineRule="auto"/>
              <w:jc w:val="center"/>
              <w:rPr>
                <w:sz w:val="21"/>
                <w:szCs w:val="21"/>
              </w:rPr>
            </w:pPr>
            <w:r>
              <w:rPr>
                <w:sz w:val="21"/>
                <w:szCs w:val="21"/>
              </w:rPr>
              <w:t>29.20</w:t>
            </w:r>
          </w:p>
        </w:tc>
        <w:tc>
          <w:tcPr>
            <w:tcW w:w="1212" w:type="dxa"/>
            <w:vAlign w:val="center"/>
          </w:tcPr>
          <w:p w14:paraId="7C2542A3">
            <w:pPr>
              <w:spacing w:line="240" w:lineRule="auto"/>
              <w:jc w:val="center"/>
              <w:rPr>
                <w:sz w:val="21"/>
                <w:szCs w:val="21"/>
              </w:rPr>
            </w:pPr>
            <w:r>
              <w:rPr>
                <w:sz w:val="21"/>
                <w:szCs w:val="21"/>
              </w:rPr>
              <w:t>2.34</w:t>
            </w:r>
          </w:p>
        </w:tc>
        <w:tc>
          <w:tcPr>
            <w:tcW w:w="1193" w:type="dxa"/>
            <w:vAlign w:val="center"/>
          </w:tcPr>
          <w:p w14:paraId="2031A078">
            <w:pPr>
              <w:spacing w:line="240" w:lineRule="auto"/>
              <w:jc w:val="center"/>
              <w:rPr>
                <w:sz w:val="21"/>
                <w:szCs w:val="21"/>
              </w:rPr>
            </w:pPr>
            <w:r>
              <w:rPr>
                <w:sz w:val="21"/>
                <w:szCs w:val="21"/>
              </w:rPr>
              <w:t>2.17</w:t>
            </w:r>
          </w:p>
        </w:tc>
        <w:tc>
          <w:tcPr>
            <w:tcW w:w="1217" w:type="dxa"/>
            <w:vAlign w:val="center"/>
          </w:tcPr>
          <w:p w14:paraId="74ADD891">
            <w:pPr>
              <w:spacing w:line="240" w:lineRule="auto"/>
              <w:jc w:val="center"/>
              <w:rPr>
                <w:sz w:val="21"/>
                <w:szCs w:val="21"/>
              </w:rPr>
            </w:pPr>
            <w:r>
              <w:rPr>
                <w:sz w:val="21"/>
                <w:szCs w:val="21"/>
              </w:rPr>
              <w:t>2.28</w:t>
            </w:r>
          </w:p>
        </w:tc>
        <w:tc>
          <w:tcPr>
            <w:tcW w:w="1214" w:type="dxa"/>
            <w:vAlign w:val="center"/>
          </w:tcPr>
          <w:p w14:paraId="52F0B53E">
            <w:pPr>
              <w:spacing w:line="240" w:lineRule="auto"/>
              <w:jc w:val="center"/>
              <w:rPr>
                <w:sz w:val="21"/>
                <w:szCs w:val="21"/>
              </w:rPr>
            </w:pPr>
            <w:r>
              <w:rPr>
                <w:sz w:val="21"/>
                <w:szCs w:val="21"/>
              </w:rPr>
              <w:t>0.275</w:t>
            </w:r>
          </w:p>
        </w:tc>
      </w:tr>
    </w:tbl>
    <w:p w14:paraId="33B29E5E">
      <w:pPr>
        <w:jc w:val="center"/>
        <w:rPr>
          <w:b/>
          <w:spacing w:val="-4"/>
          <w:kern w:val="20"/>
          <w:sz w:val="21"/>
          <w:szCs w:val="21"/>
        </w:rPr>
      </w:pPr>
    </w:p>
    <w:p w14:paraId="00B0FDA2">
      <w:pPr>
        <w:jc w:val="center"/>
        <w:rPr>
          <w:b/>
          <w:spacing w:val="-4"/>
          <w:kern w:val="20"/>
          <w:sz w:val="21"/>
          <w:szCs w:val="21"/>
        </w:rPr>
      </w:pPr>
      <w:r>
        <w:rPr>
          <w:b/>
          <w:spacing w:val="-4"/>
          <w:kern w:val="20"/>
          <w:sz w:val="21"/>
          <w:szCs w:val="21"/>
        </w:rPr>
        <w:t>表</w:t>
      </w:r>
      <w:r>
        <w:rPr>
          <w:rFonts w:hint="eastAsia"/>
          <w:b/>
          <w:spacing w:val="-4"/>
          <w:kern w:val="20"/>
          <w:sz w:val="21"/>
          <w:szCs w:val="21"/>
        </w:rPr>
        <w:t>2-9</w:t>
      </w:r>
      <w:r>
        <w:rPr>
          <w:b/>
          <w:spacing w:val="-4"/>
          <w:kern w:val="20"/>
          <w:sz w:val="21"/>
          <w:szCs w:val="21"/>
        </w:rPr>
        <w:t xml:space="preserve">  水源地附近散户畜禽污染物排放情况</w:t>
      </w:r>
    </w:p>
    <w:tbl>
      <w:tblPr>
        <w:tblStyle w:val="20"/>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94"/>
        <w:gridCol w:w="1266"/>
        <w:gridCol w:w="1080"/>
        <w:gridCol w:w="960"/>
        <w:gridCol w:w="942"/>
        <w:gridCol w:w="859"/>
        <w:gridCol w:w="972"/>
        <w:gridCol w:w="1149"/>
      </w:tblGrid>
      <w:tr w14:paraId="54B62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4" w:type="dxa"/>
            <w:vMerge w:val="restart"/>
            <w:vAlign w:val="center"/>
          </w:tcPr>
          <w:p w14:paraId="643FA1D1">
            <w:pPr>
              <w:spacing w:line="240" w:lineRule="auto"/>
              <w:jc w:val="center"/>
              <w:rPr>
                <w:b/>
                <w:bCs/>
                <w:sz w:val="21"/>
                <w:szCs w:val="21"/>
              </w:rPr>
            </w:pPr>
            <w:r>
              <w:rPr>
                <w:b/>
                <w:bCs/>
                <w:sz w:val="21"/>
                <w:szCs w:val="21"/>
              </w:rPr>
              <w:t>拟划定保护区级别</w:t>
            </w:r>
          </w:p>
        </w:tc>
        <w:tc>
          <w:tcPr>
            <w:tcW w:w="1266" w:type="dxa"/>
            <w:vMerge w:val="restart"/>
            <w:vAlign w:val="center"/>
          </w:tcPr>
          <w:p w14:paraId="2F2B565C">
            <w:pPr>
              <w:spacing w:line="240" w:lineRule="auto"/>
              <w:jc w:val="center"/>
              <w:rPr>
                <w:b/>
                <w:bCs/>
                <w:sz w:val="21"/>
                <w:szCs w:val="21"/>
              </w:rPr>
            </w:pPr>
            <w:r>
              <w:rPr>
                <w:b/>
                <w:bCs/>
                <w:sz w:val="21"/>
                <w:szCs w:val="21"/>
              </w:rPr>
              <w:t>所在村</w:t>
            </w:r>
          </w:p>
        </w:tc>
        <w:tc>
          <w:tcPr>
            <w:tcW w:w="1080" w:type="dxa"/>
            <w:vMerge w:val="restart"/>
            <w:vAlign w:val="center"/>
          </w:tcPr>
          <w:p w14:paraId="0983D7EC">
            <w:pPr>
              <w:spacing w:line="240" w:lineRule="auto"/>
              <w:jc w:val="center"/>
              <w:rPr>
                <w:b/>
                <w:bCs/>
                <w:sz w:val="21"/>
                <w:szCs w:val="21"/>
              </w:rPr>
            </w:pPr>
            <w:r>
              <w:rPr>
                <w:b/>
                <w:bCs/>
                <w:sz w:val="21"/>
                <w:szCs w:val="21"/>
              </w:rPr>
              <w:t>养殖户数</w:t>
            </w:r>
          </w:p>
          <w:p w14:paraId="37117F3D">
            <w:pPr>
              <w:spacing w:line="240" w:lineRule="auto"/>
              <w:jc w:val="center"/>
              <w:rPr>
                <w:b/>
                <w:bCs/>
                <w:sz w:val="21"/>
                <w:szCs w:val="21"/>
              </w:rPr>
            </w:pPr>
            <w:r>
              <w:rPr>
                <w:b/>
                <w:bCs/>
                <w:sz w:val="21"/>
                <w:szCs w:val="21"/>
              </w:rPr>
              <w:t>（户）</w:t>
            </w:r>
          </w:p>
        </w:tc>
        <w:tc>
          <w:tcPr>
            <w:tcW w:w="4882" w:type="dxa"/>
            <w:gridSpan w:val="5"/>
            <w:vAlign w:val="center"/>
          </w:tcPr>
          <w:p w14:paraId="609AA119">
            <w:pPr>
              <w:spacing w:line="240" w:lineRule="auto"/>
              <w:jc w:val="center"/>
              <w:rPr>
                <w:b/>
                <w:bCs/>
                <w:sz w:val="21"/>
                <w:szCs w:val="21"/>
              </w:rPr>
            </w:pPr>
            <w:r>
              <w:rPr>
                <w:b/>
                <w:bCs/>
                <w:sz w:val="21"/>
                <w:szCs w:val="21"/>
              </w:rPr>
              <w:t>单位：Kg/a</w:t>
            </w:r>
          </w:p>
        </w:tc>
      </w:tr>
      <w:tr w14:paraId="40BBB5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4" w:type="dxa"/>
            <w:vMerge w:val="continue"/>
            <w:vAlign w:val="center"/>
          </w:tcPr>
          <w:p w14:paraId="4E42AE56">
            <w:pPr>
              <w:spacing w:line="240" w:lineRule="auto"/>
              <w:jc w:val="center"/>
              <w:rPr>
                <w:b/>
                <w:bCs/>
                <w:sz w:val="21"/>
                <w:szCs w:val="21"/>
              </w:rPr>
            </w:pPr>
          </w:p>
        </w:tc>
        <w:tc>
          <w:tcPr>
            <w:tcW w:w="1266" w:type="dxa"/>
            <w:vMerge w:val="continue"/>
            <w:vAlign w:val="center"/>
          </w:tcPr>
          <w:p w14:paraId="45024FAB">
            <w:pPr>
              <w:spacing w:line="240" w:lineRule="auto"/>
              <w:jc w:val="center"/>
              <w:rPr>
                <w:b/>
                <w:bCs/>
                <w:sz w:val="21"/>
                <w:szCs w:val="21"/>
              </w:rPr>
            </w:pPr>
          </w:p>
        </w:tc>
        <w:tc>
          <w:tcPr>
            <w:tcW w:w="1080" w:type="dxa"/>
            <w:vMerge w:val="continue"/>
            <w:vAlign w:val="center"/>
          </w:tcPr>
          <w:p w14:paraId="5E28C7E7">
            <w:pPr>
              <w:spacing w:line="240" w:lineRule="auto"/>
              <w:jc w:val="center"/>
              <w:rPr>
                <w:b/>
                <w:bCs/>
                <w:sz w:val="21"/>
                <w:szCs w:val="21"/>
              </w:rPr>
            </w:pPr>
          </w:p>
        </w:tc>
        <w:tc>
          <w:tcPr>
            <w:tcW w:w="960" w:type="dxa"/>
            <w:vAlign w:val="center"/>
          </w:tcPr>
          <w:p w14:paraId="7923CB35">
            <w:pPr>
              <w:spacing w:line="240" w:lineRule="auto"/>
              <w:jc w:val="center"/>
              <w:rPr>
                <w:b/>
                <w:bCs/>
                <w:sz w:val="21"/>
                <w:szCs w:val="21"/>
              </w:rPr>
            </w:pPr>
            <w:r>
              <w:rPr>
                <w:b/>
                <w:bCs/>
                <w:sz w:val="21"/>
                <w:szCs w:val="21"/>
              </w:rPr>
              <w:t>COD</w:t>
            </w:r>
          </w:p>
        </w:tc>
        <w:tc>
          <w:tcPr>
            <w:tcW w:w="942" w:type="dxa"/>
            <w:vAlign w:val="center"/>
          </w:tcPr>
          <w:p w14:paraId="2996517E">
            <w:pPr>
              <w:spacing w:line="240" w:lineRule="auto"/>
              <w:jc w:val="center"/>
              <w:rPr>
                <w:b/>
                <w:bCs/>
                <w:sz w:val="21"/>
                <w:szCs w:val="21"/>
              </w:rPr>
            </w:pPr>
            <w:r>
              <w:rPr>
                <w:b/>
                <w:bCs/>
                <w:sz w:val="21"/>
                <w:szCs w:val="21"/>
              </w:rPr>
              <w:t>BOD</w:t>
            </w:r>
            <w:r>
              <w:rPr>
                <w:b/>
                <w:bCs/>
                <w:sz w:val="21"/>
                <w:szCs w:val="21"/>
                <w:vertAlign w:val="subscript"/>
              </w:rPr>
              <w:t>5</w:t>
            </w:r>
          </w:p>
        </w:tc>
        <w:tc>
          <w:tcPr>
            <w:tcW w:w="859" w:type="dxa"/>
            <w:vAlign w:val="center"/>
          </w:tcPr>
          <w:p w14:paraId="6E713345">
            <w:pPr>
              <w:spacing w:line="240" w:lineRule="auto"/>
              <w:jc w:val="center"/>
              <w:rPr>
                <w:b/>
                <w:bCs/>
                <w:sz w:val="21"/>
                <w:szCs w:val="21"/>
              </w:rPr>
            </w:pPr>
            <w:r>
              <w:rPr>
                <w:b/>
                <w:bCs/>
                <w:sz w:val="21"/>
                <w:szCs w:val="21"/>
              </w:rPr>
              <w:t>NH</w:t>
            </w:r>
            <w:r>
              <w:rPr>
                <w:b/>
                <w:bCs/>
                <w:sz w:val="21"/>
                <w:szCs w:val="21"/>
                <w:vertAlign w:val="subscript"/>
              </w:rPr>
              <w:t>3</w:t>
            </w:r>
            <w:r>
              <w:rPr>
                <w:b/>
                <w:bCs/>
                <w:sz w:val="21"/>
                <w:szCs w:val="21"/>
              </w:rPr>
              <w:t>-N</w:t>
            </w:r>
          </w:p>
        </w:tc>
        <w:tc>
          <w:tcPr>
            <w:tcW w:w="972" w:type="dxa"/>
            <w:vAlign w:val="center"/>
          </w:tcPr>
          <w:p w14:paraId="69234719">
            <w:pPr>
              <w:spacing w:line="240" w:lineRule="auto"/>
              <w:jc w:val="center"/>
              <w:rPr>
                <w:b/>
                <w:bCs/>
                <w:sz w:val="21"/>
                <w:szCs w:val="21"/>
              </w:rPr>
            </w:pPr>
            <w:r>
              <w:rPr>
                <w:b/>
                <w:bCs/>
                <w:sz w:val="21"/>
                <w:szCs w:val="21"/>
              </w:rPr>
              <w:t>TP</w:t>
            </w:r>
          </w:p>
        </w:tc>
        <w:tc>
          <w:tcPr>
            <w:tcW w:w="1149" w:type="dxa"/>
            <w:vAlign w:val="center"/>
          </w:tcPr>
          <w:p w14:paraId="4DE1C0C9">
            <w:pPr>
              <w:spacing w:line="240" w:lineRule="auto"/>
              <w:jc w:val="center"/>
              <w:rPr>
                <w:b/>
                <w:bCs/>
                <w:sz w:val="21"/>
                <w:szCs w:val="21"/>
              </w:rPr>
            </w:pPr>
            <w:r>
              <w:rPr>
                <w:b/>
                <w:bCs/>
                <w:sz w:val="21"/>
                <w:szCs w:val="21"/>
              </w:rPr>
              <w:t>TN</w:t>
            </w:r>
          </w:p>
        </w:tc>
      </w:tr>
      <w:tr w14:paraId="341EC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4" w:type="dxa"/>
            <w:vAlign w:val="center"/>
          </w:tcPr>
          <w:p w14:paraId="2691DFF6">
            <w:pPr>
              <w:spacing w:line="240" w:lineRule="auto"/>
              <w:jc w:val="center"/>
              <w:rPr>
                <w:sz w:val="21"/>
                <w:szCs w:val="21"/>
              </w:rPr>
            </w:pPr>
            <w:r>
              <w:rPr>
                <w:sz w:val="21"/>
                <w:szCs w:val="21"/>
              </w:rPr>
              <w:t>一级保护区</w:t>
            </w:r>
          </w:p>
        </w:tc>
        <w:tc>
          <w:tcPr>
            <w:tcW w:w="1266" w:type="dxa"/>
            <w:vAlign w:val="center"/>
          </w:tcPr>
          <w:p w14:paraId="2EEDE5DB">
            <w:pPr>
              <w:spacing w:line="240" w:lineRule="auto"/>
              <w:jc w:val="center"/>
              <w:rPr>
                <w:sz w:val="21"/>
                <w:szCs w:val="21"/>
              </w:rPr>
            </w:pPr>
            <w:r>
              <w:rPr>
                <w:sz w:val="21"/>
                <w:szCs w:val="21"/>
              </w:rPr>
              <w:t>插柳村</w:t>
            </w:r>
          </w:p>
        </w:tc>
        <w:tc>
          <w:tcPr>
            <w:tcW w:w="1080" w:type="dxa"/>
            <w:vAlign w:val="center"/>
          </w:tcPr>
          <w:p w14:paraId="140ADAF7">
            <w:pPr>
              <w:spacing w:line="240" w:lineRule="auto"/>
              <w:jc w:val="center"/>
              <w:rPr>
                <w:sz w:val="21"/>
                <w:szCs w:val="21"/>
              </w:rPr>
            </w:pPr>
            <w:r>
              <w:rPr>
                <w:sz w:val="21"/>
                <w:szCs w:val="21"/>
              </w:rPr>
              <w:t>0</w:t>
            </w:r>
          </w:p>
        </w:tc>
        <w:tc>
          <w:tcPr>
            <w:tcW w:w="960" w:type="dxa"/>
            <w:vAlign w:val="center"/>
          </w:tcPr>
          <w:p w14:paraId="3A96AAF3">
            <w:pPr>
              <w:spacing w:line="240" w:lineRule="auto"/>
              <w:jc w:val="center"/>
              <w:rPr>
                <w:sz w:val="21"/>
                <w:szCs w:val="21"/>
              </w:rPr>
            </w:pPr>
            <w:r>
              <w:rPr>
                <w:sz w:val="21"/>
                <w:szCs w:val="21"/>
              </w:rPr>
              <w:t>0</w:t>
            </w:r>
          </w:p>
        </w:tc>
        <w:tc>
          <w:tcPr>
            <w:tcW w:w="942" w:type="dxa"/>
            <w:vAlign w:val="center"/>
          </w:tcPr>
          <w:p w14:paraId="1AB9D6F4">
            <w:pPr>
              <w:spacing w:line="240" w:lineRule="auto"/>
              <w:jc w:val="center"/>
              <w:rPr>
                <w:sz w:val="21"/>
                <w:szCs w:val="21"/>
              </w:rPr>
            </w:pPr>
            <w:r>
              <w:rPr>
                <w:sz w:val="21"/>
                <w:szCs w:val="21"/>
              </w:rPr>
              <w:t>0</w:t>
            </w:r>
          </w:p>
        </w:tc>
        <w:tc>
          <w:tcPr>
            <w:tcW w:w="859" w:type="dxa"/>
            <w:vAlign w:val="center"/>
          </w:tcPr>
          <w:p w14:paraId="2CEC69EF">
            <w:pPr>
              <w:spacing w:line="240" w:lineRule="auto"/>
              <w:jc w:val="center"/>
              <w:rPr>
                <w:sz w:val="21"/>
                <w:szCs w:val="21"/>
              </w:rPr>
            </w:pPr>
            <w:r>
              <w:rPr>
                <w:sz w:val="21"/>
                <w:szCs w:val="21"/>
              </w:rPr>
              <w:t>0</w:t>
            </w:r>
          </w:p>
        </w:tc>
        <w:tc>
          <w:tcPr>
            <w:tcW w:w="972" w:type="dxa"/>
            <w:vAlign w:val="center"/>
          </w:tcPr>
          <w:p w14:paraId="54762620">
            <w:pPr>
              <w:spacing w:line="240" w:lineRule="auto"/>
              <w:jc w:val="center"/>
              <w:rPr>
                <w:sz w:val="21"/>
                <w:szCs w:val="21"/>
              </w:rPr>
            </w:pPr>
            <w:r>
              <w:rPr>
                <w:sz w:val="21"/>
                <w:szCs w:val="21"/>
              </w:rPr>
              <w:t>0</w:t>
            </w:r>
          </w:p>
        </w:tc>
        <w:tc>
          <w:tcPr>
            <w:tcW w:w="1149" w:type="dxa"/>
            <w:vAlign w:val="center"/>
          </w:tcPr>
          <w:p w14:paraId="43DED0A7">
            <w:pPr>
              <w:spacing w:line="240" w:lineRule="auto"/>
              <w:jc w:val="center"/>
              <w:rPr>
                <w:sz w:val="21"/>
                <w:szCs w:val="21"/>
              </w:rPr>
            </w:pPr>
            <w:r>
              <w:rPr>
                <w:sz w:val="21"/>
                <w:szCs w:val="21"/>
              </w:rPr>
              <w:t>0</w:t>
            </w:r>
          </w:p>
        </w:tc>
      </w:tr>
      <w:tr w14:paraId="0414CD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4" w:type="dxa"/>
            <w:vAlign w:val="center"/>
          </w:tcPr>
          <w:p w14:paraId="412105C2">
            <w:pPr>
              <w:spacing w:line="240" w:lineRule="auto"/>
              <w:jc w:val="center"/>
              <w:rPr>
                <w:sz w:val="21"/>
                <w:szCs w:val="21"/>
              </w:rPr>
            </w:pPr>
            <w:r>
              <w:rPr>
                <w:sz w:val="21"/>
                <w:szCs w:val="21"/>
              </w:rPr>
              <w:t>二级保护区</w:t>
            </w:r>
          </w:p>
        </w:tc>
        <w:tc>
          <w:tcPr>
            <w:tcW w:w="1266" w:type="dxa"/>
            <w:vAlign w:val="center"/>
          </w:tcPr>
          <w:p w14:paraId="5D9FE301">
            <w:pPr>
              <w:spacing w:line="240" w:lineRule="auto"/>
              <w:jc w:val="center"/>
              <w:rPr>
                <w:sz w:val="21"/>
                <w:szCs w:val="21"/>
              </w:rPr>
            </w:pPr>
            <w:r>
              <w:rPr>
                <w:sz w:val="21"/>
                <w:szCs w:val="21"/>
              </w:rPr>
              <w:t>插柳村</w:t>
            </w:r>
          </w:p>
        </w:tc>
        <w:tc>
          <w:tcPr>
            <w:tcW w:w="1080" w:type="dxa"/>
            <w:vAlign w:val="center"/>
          </w:tcPr>
          <w:p w14:paraId="704BC2C0">
            <w:pPr>
              <w:spacing w:line="240" w:lineRule="auto"/>
              <w:jc w:val="center"/>
              <w:rPr>
                <w:sz w:val="21"/>
                <w:szCs w:val="21"/>
              </w:rPr>
            </w:pPr>
            <w:r>
              <w:rPr>
                <w:sz w:val="21"/>
                <w:szCs w:val="21"/>
              </w:rPr>
              <w:t>5</w:t>
            </w:r>
          </w:p>
        </w:tc>
        <w:tc>
          <w:tcPr>
            <w:tcW w:w="960" w:type="dxa"/>
            <w:vAlign w:val="center"/>
          </w:tcPr>
          <w:p w14:paraId="0495F06B">
            <w:pPr>
              <w:spacing w:line="240" w:lineRule="auto"/>
              <w:jc w:val="center"/>
              <w:rPr>
                <w:sz w:val="21"/>
                <w:szCs w:val="21"/>
              </w:rPr>
            </w:pPr>
            <w:r>
              <w:rPr>
                <w:sz w:val="21"/>
                <w:szCs w:val="21"/>
              </w:rPr>
              <w:t>755.88</w:t>
            </w:r>
          </w:p>
        </w:tc>
        <w:tc>
          <w:tcPr>
            <w:tcW w:w="942" w:type="dxa"/>
            <w:vAlign w:val="center"/>
          </w:tcPr>
          <w:p w14:paraId="11ADBC47">
            <w:pPr>
              <w:spacing w:line="240" w:lineRule="auto"/>
              <w:jc w:val="center"/>
              <w:rPr>
                <w:sz w:val="21"/>
                <w:szCs w:val="21"/>
              </w:rPr>
            </w:pPr>
            <w:r>
              <w:rPr>
                <w:sz w:val="21"/>
                <w:szCs w:val="21"/>
              </w:rPr>
              <w:t>635.78</w:t>
            </w:r>
          </w:p>
        </w:tc>
        <w:tc>
          <w:tcPr>
            <w:tcW w:w="859" w:type="dxa"/>
            <w:vAlign w:val="center"/>
          </w:tcPr>
          <w:p w14:paraId="69C94C8A">
            <w:pPr>
              <w:spacing w:line="240" w:lineRule="auto"/>
              <w:jc w:val="center"/>
              <w:rPr>
                <w:sz w:val="21"/>
                <w:szCs w:val="21"/>
              </w:rPr>
            </w:pPr>
            <w:r>
              <w:rPr>
                <w:sz w:val="21"/>
                <w:szCs w:val="21"/>
              </w:rPr>
              <w:t>71.86</w:t>
            </w:r>
          </w:p>
        </w:tc>
        <w:tc>
          <w:tcPr>
            <w:tcW w:w="972" w:type="dxa"/>
            <w:vAlign w:val="center"/>
          </w:tcPr>
          <w:p w14:paraId="5324EACB">
            <w:pPr>
              <w:spacing w:line="240" w:lineRule="auto"/>
              <w:jc w:val="center"/>
              <w:rPr>
                <w:sz w:val="21"/>
                <w:szCs w:val="21"/>
              </w:rPr>
            </w:pPr>
            <w:r>
              <w:rPr>
                <w:sz w:val="21"/>
                <w:szCs w:val="21"/>
              </w:rPr>
              <w:t>38.34</w:t>
            </w:r>
          </w:p>
        </w:tc>
        <w:tc>
          <w:tcPr>
            <w:tcW w:w="1149" w:type="dxa"/>
            <w:vAlign w:val="center"/>
          </w:tcPr>
          <w:p w14:paraId="3CB202CC">
            <w:pPr>
              <w:spacing w:line="240" w:lineRule="auto"/>
              <w:jc w:val="center"/>
              <w:rPr>
                <w:sz w:val="21"/>
                <w:szCs w:val="21"/>
              </w:rPr>
            </w:pPr>
            <w:r>
              <w:rPr>
                <w:sz w:val="21"/>
                <w:szCs w:val="21"/>
              </w:rPr>
              <w:t>169.28</w:t>
            </w:r>
          </w:p>
        </w:tc>
      </w:tr>
      <w:tr w14:paraId="5C163E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4" w:type="dxa"/>
            <w:vAlign w:val="center"/>
          </w:tcPr>
          <w:p w14:paraId="5E6C8F41">
            <w:pPr>
              <w:spacing w:line="240" w:lineRule="auto"/>
              <w:jc w:val="center"/>
              <w:rPr>
                <w:sz w:val="21"/>
                <w:szCs w:val="21"/>
              </w:rPr>
            </w:pPr>
            <w:r>
              <w:rPr>
                <w:sz w:val="21"/>
                <w:szCs w:val="21"/>
              </w:rPr>
              <w:t>合计</w:t>
            </w:r>
          </w:p>
        </w:tc>
        <w:tc>
          <w:tcPr>
            <w:tcW w:w="1266" w:type="dxa"/>
            <w:vAlign w:val="center"/>
          </w:tcPr>
          <w:p w14:paraId="3A02C6CC">
            <w:pPr>
              <w:spacing w:line="240" w:lineRule="auto"/>
              <w:jc w:val="center"/>
              <w:rPr>
                <w:sz w:val="21"/>
                <w:szCs w:val="21"/>
              </w:rPr>
            </w:pPr>
          </w:p>
        </w:tc>
        <w:tc>
          <w:tcPr>
            <w:tcW w:w="1080" w:type="dxa"/>
            <w:vAlign w:val="center"/>
          </w:tcPr>
          <w:p w14:paraId="3DBE2EB2">
            <w:pPr>
              <w:spacing w:line="240" w:lineRule="auto"/>
              <w:jc w:val="center"/>
              <w:rPr>
                <w:sz w:val="21"/>
                <w:szCs w:val="21"/>
              </w:rPr>
            </w:pPr>
            <w:r>
              <w:rPr>
                <w:sz w:val="21"/>
                <w:szCs w:val="21"/>
              </w:rPr>
              <w:t>5</w:t>
            </w:r>
          </w:p>
        </w:tc>
        <w:tc>
          <w:tcPr>
            <w:tcW w:w="960" w:type="dxa"/>
            <w:vAlign w:val="center"/>
          </w:tcPr>
          <w:p w14:paraId="3799E796">
            <w:pPr>
              <w:spacing w:line="240" w:lineRule="auto"/>
              <w:jc w:val="center"/>
              <w:rPr>
                <w:sz w:val="21"/>
                <w:szCs w:val="21"/>
              </w:rPr>
            </w:pPr>
            <w:r>
              <w:rPr>
                <w:sz w:val="21"/>
                <w:szCs w:val="21"/>
              </w:rPr>
              <w:t>755.88</w:t>
            </w:r>
          </w:p>
        </w:tc>
        <w:tc>
          <w:tcPr>
            <w:tcW w:w="942" w:type="dxa"/>
            <w:vAlign w:val="center"/>
          </w:tcPr>
          <w:p w14:paraId="299BAAC2">
            <w:pPr>
              <w:spacing w:line="240" w:lineRule="auto"/>
              <w:jc w:val="center"/>
              <w:rPr>
                <w:sz w:val="21"/>
                <w:szCs w:val="21"/>
              </w:rPr>
            </w:pPr>
            <w:r>
              <w:rPr>
                <w:sz w:val="21"/>
                <w:szCs w:val="21"/>
              </w:rPr>
              <w:t>635.78</w:t>
            </w:r>
          </w:p>
        </w:tc>
        <w:tc>
          <w:tcPr>
            <w:tcW w:w="859" w:type="dxa"/>
            <w:vAlign w:val="center"/>
          </w:tcPr>
          <w:p w14:paraId="5FB71DAC">
            <w:pPr>
              <w:spacing w:line="240" w:lineRule="auto"/>
              <w:jc w:val="center"/>
              <w:rPr>
                <w:sz w:val="21"/>
                <w:szCs w:val="21"/>
              </w:rPr>
            </w:pPr>
            <w:r>
              <w:rPr>
                <w:sz w:val="21"/>
                <w:szCs w:val="21"/>
              </w:rPr>
              <w:t>71.86</w:t>
            </w:r>
          </w:p>
        </w:tc>
        <w:tc>
          <w:tcPr>
            <w:tcW w:w="972" w:type="dxa"/>
            <w:vAlign w:val="center"/>
          </w:tcPr>
          <w:p w14:paraId="11CA87C8">
            <w:pPr>
              <w:spacing w:line="240" w:lineRule="auto"/>
              <w:jc w:val="center"/>
              <w:rPr>
                <w:sz w:val="21"/>
                <w:szCs w:val="21"/>
              </w:rPr>
            </w:pPr>
            <w:r>
              <w:rPr>
                <w:sz w:val="21"/>
                <w:szCs w:val="21"/>
              </w:rPr>
              <w:t>38.34</w:t>
            </w:r>
          </w:p>
        </w:tc>
        <w:tc>
          <w:tcPr>
            <w:tcW w:w="1149" w:type="dxa"/>
            <w:vAlign w:val="center"/>
          </w:tcPr>
          <w:p w14:paraId="166E2FC1">
            <w:pPr>
              <w:spacing w:line="240" w:lineRule="auto"/>
              <w:jc w:val="center"/>
              <w:rPr>
                <w:sz w:val="21"/>
                <w:szCs w:val="21"/>
              </w:rPr>
            </w:pPr>
            <w:r>
              <w:rPr>
                <w:sz w:val="21"/>
                <w:szCs w:val="21"/>
              </w:rPr>
              <w:t>169.28</w:t>
            </w:r>
          </w:p>
        </w:tc>
      </w:tr>
    </w:tbl>
    <w:p w14:paraId="31AD23A2">
      <w:pPr>
        <w:ind w:firstLine="480" w:firstLineChars="200"/>
      </w:pPr>
      <w:r>
        <w:t>实地调研显示，散户养殖主要以猪、鸡、鸭养殖为主，养殖规模很小，多以自给自足为目的。但猪、鸡、鸭粪不经收集，随意堆放，经地表冲刷后大部分流入农田再汇入兰溪水，对水源地水质会有一定影响。</w:t>
      </w:r>
    </w:p>
    <w:p w14:paraId="67A175B3">
      <w:pPr>
        <w:ind w:firstLine="480" w:firstLineChars="200"/>
      </w:pPr>
      <w:r>
        <w:t>本预案建议保护区范围内采取以下整治措施：</w:t>
      </w:r>
    </w:p>
    <w:p w14:paraId="2D9A979B">
      <w:pPr>
        <w:ind w:firstLine="480" w:firstLineChars="200"/>
      </w:pPr>
      <w:r>
        <w:t>水源地保护区内禁止开展规模化和专业户畜禽养殖。保护区内的分散式畜禽养殖圈应尽量远离取水口，禁止向水体直接倾倒畜禽粪便和污水。鼓励种养结合和生态养殖，推动畜禽养殖业污染物的减量化、无害化和资源化处置。禽畜养殖污染治理、控制工程主要釆用干法清粪、沼气发酵、畜禽粪便高温堆肥、畜禽养殖场径流控制等措施。在水源地二级保护区内，对</w:t>
      </w:r>
      <w:r>
        <w:rPr>
          <w:rFonts w:hint="eastAsia"/>
        </w:rPr>
        <w:t>5</w:t>
      </w:r>
      <w:r>
        <w:t>户</w:t>
      </w:r>
      <w:r>
        <w:rPr>
          <w:rFonts w:hint="eastAsia"/>
        </w:rPr>
        <w:t>家庭式</w:t>
      </w:r>
      <w:r>
        <w:t>养殖户需采取防治措施，对养殖</w:t>
      </w:r>
      <w:r>
        <w:rPr>
          <w:rFonts w:hint="eastAsia"/>
        </w:rPr>
        <w:t>户</w:t>
      </w:r>
      <w:r>
        <w:t>排放的废水、粪便需进行收集、处理，畜禽废水不得随意排放、必须处理后达标排放、废渣要采取还田、生产沼气、制造有机肥料、制造再生料等方法进行综合利用。</w:t>
      </w:r>
    </w:p>
    <w:p w14:paraId="05C00FDD">
      <w:r>
        <w:rPr>
          <w:rFonts w:hint="eastAsia"/>
          <w:lang w:val="en-US" w:eastAsia="zh-CN"/>
        </w:rPr>
        <w:t>3</w:t>
      </w:r>
      <w:r>
        <w:t>.1.5.4农村固体废弃物污染</w:t>
      </w:r>
    </w:p>
    <w:p w14:paraId="123EDFB8">
      <w:pPr>
        <w:ind w:firstLine="480" w:firstLineChars="200"/>
      </w:pPr>
      <w:r>
        <w:t>随着农村经济的发展，居民生活水平日渐提高，农村生活垃圾量增长迅速。调查范围内村庄</w:t>
      </w:r>
      <w:r>
        <w:rPr>
          <w:rFonts w:hint="eastAsia"/>
        </w:rPr>
        <w:t>采取户收集、村集中、乡转运处理模式</w:t>
      </w:r>
      <w:r>
        <w:t>，对水源地水质基本无影响。水源地保护区内住有14人，根据《城镇生活源产排污系数手册》，邵阳市属于</w:t>
      </w:r>
      <w:r>
        <w:rPr>
          <w:rFonts w:hint="eastAsia"/>
        </w:rPr>
        <w:t>“</w:t>
      </w:r>
      <w:r>
        <w:t>第三区，二类</w:t>
      </w:r>
      <w:r>
        <w:rPr>
          <w:rFonts w:hint="eastAsia"/>
        </w:rPr>
        <w:t>”</w:t>
      </w:r>
      <w:r>
        <w:t>区域，其生活垃圾产生量系数为 0.6kg/ 人•d，保护区内生活垃圾产量为3.066 吨/年。</w:t>
      </w:r>
    </w:p>
    <w:p w14:paraId="1C78915F">
      <w:pPr>
        <w:ind w:firstLine="480" w:firstLineChars="200"/>
      </w:pPr>
      <w:r>
        <w:t>本预案建议保护区范围内采取以下整治措施：</w:t>
      </w:r>
    </w:p>
    <w:p w14:paraId="48D41016">
      <w:pPr>
        <w:numPr>
          <w:ilvl w:val="0"/>
          <w:numId w:val="8"/>
        </w:numPr>
        <w:ind w:firstLine="480" w:firstLineChars="200"/>
      </w:pPr>
      <w:r>
        <w:t>禁止设立粪便、生活垃圾的收集、转运站，禁止堆放医疗垃圾，禁止设立有毒、有害化学物品仓库。</w:t>
      </w:r>
    </w:p>
    <w:p w14:paraId="0D0B7738">
      <w:pPr>
        <w:numPr>
          <w:ilvl w:val="0"/>
          <w:numId w:val="8"/>
        </w:numPr>
        <w:ind w:firstLine="480" w:firstLineChars="200"/>
      </w:pPr>
      <w:r>
        <w:t>水源地保护区内厕所达到国家卫生厕所标准，与饮用水水源保持必要的安全卫生距离。</w:t>
      </w:r>
    </w:p>
    <w:p w14:paraId="7BDD9E38">
      <w:pPr>
        <w:numPr>
          <w:ilvl w:val="0"/>
          <w:numId w:val="8"/>
        </w:numPr>
        <w:ind w:firstLine="480" w:firstLineChars="200"/>
      </w:pPr>
      <w:r>
        <w:t>水源保护区以外的粪便应实现无害化处理，防止污染水源。</w:t>
      </w:r>
    </w:p>
    <w:p w14:paraId="0EEC3AF3">
      <w:pPr>
        <w:ind w:firstLine="480" w:firstLineChars="200"/>
        <w:rPr>
          <w:rFonts w:hint="eastAsia"/>
        </w:rPr>
      </w:pPr>
      <w:r>
        <w:t>据调查，近年来无水源地</w:t>
      </w:r>
      <w:r>
        <w:rPr>
          <w:rFonts w:hint="eastAsia"/>
        </w:rPr>
        <w:t>保护区</w:t>
      </w:r>
      <w:r>
        <w:t>突发环境事件发生</w:t>
      </w:r>
      <w:r>
        <w:rPr>
          <w:rFonts w:hint="eastAsia"/>
        </w:rPr>
        <w:t>的情况。</w:t>
      </w:r>
    </w:p>
    <w:p w14:paraId="43DB7BCB">
      <w:pPr>
        <w:rPr>
          <w:rFonts w:hint="eastAsia"/>
        </w:rPr>
      </w:pPr>
      <w:r>
        <w:rPr>
          <w:rFonts w:hint="eastAsia"/>
          <w:lang w:val="en-US" w:eastAsia="zh-CN"/>
        </w:rPr>
        <w:t>3</w:t>
      </w:r>
      <w:r>
        <w:rPr>
          <w:rFonts w:hint="eastAsia"/>
        </w:rPr>
        <w:t>.1.5.5闸坝建设情况</w:t>
      </w:r>
    </w:p>
    <w:p w14:paraId="6FB8B63D">
      <w:pPr>
        <w:ind w:firstLine="480" w:firstLineChars="200"/>
        <w:rPr>
          <w:rFonts w:hint="default" w:eastAsia="宋体"/>
          <w:lang w:val="en-US" w:eastAsia="zh-CN"/>
        </w:rPr>
      </w:pPr>
      <w:r>
        <w:rPr>
          <w:rFonts w:hint="eastAsia"/>
          <w:u w:val="wave"/>
        </w:rPr>
        <w:t>关峡水厂取水点上游0.9Km处即二级保护区水域内、2.4Km处、3.7Km处都建设有闸坝。此三处闸坝功能在于防洪排涝、浇灌供水等。</w:t>
      </w:r>
      <w:r>
        <w:rPr>
          <w:rFonts w:hint="eastAsia"/>
          <w:u w:val="wave"/>
          <w:lang w:val="en-US" w:eastAsia="zh-CN"/>
        </w:rPr>
        <w:t>同时当上游发生突发环境事件时，可以利用此三处闸坝进行除污、拦阻作业等。</w:t>
      </w:r>
    </w:p>
    <w:p w14:paraId="5B89F56E">
      <w:pPr>
        <w:pStyle w:val="4"/>
        <w:rPr>
          <w:rFonts w:hint="eastAsia"/>
        </w:rPr>
      </w:pPr>
      <w:bookmarkStart w:id="208" w:name="_Toc27705"/>
      <w:bookmarkStart w:id="209" w:name="_Toc31710"/>
      <w:bookmarkStart w:id="210" w:name="_Toc22877"/>
      <w:bookmarkStart w:id="211" w:name="_Toc25520_WPSOffice_Level2"/>
      <w:bookmarkStart w:id="212" w:name="_Toc492841618"/>
      <w:r>
        <w:rPr>
          <w:rFonts w:hint="eastAsia"/>
          <w:lang w:val="en-US" w:eastAsia="zh-CN"/>
        </w:rPr>
        <w:t>3</w:t>
      </w:r>
      <w:r>
        <w:rPr>
          <w:rFonts w:hint="eastAsia"/>
        </w:rPr>
        <w:t>.2环境风险分析</w:t>
      </w:r>
      <w:bookmarkEnd w:id="208"/>
      <w:bookmarkEnd w:id="209"/>
    </w:p>
    <w:p w14:paraId="12B0A8C7">
      <w:pPr>
        <w:pStyle w:val="5"/>
      </w:pPr>
      <w:bookmarkStart w:id="213" w:name="_Toc529124859"/>
      <w:bookmarkStart w:id="214" w:name="_Toc10067"/>
      <w:r>
        <w:rPr>
          <w:rFonts w:hint="eastAsia"/>
          <w:lang w:val="en-US" w:eastAsia="zh-CN"/>
        </w:rPr>
        <w:t>3</w:t>
      </w:r>
      <w:r>
        <w:rPr>
          <w:rFonts w:hint="eastAsia"/>
        </w:rPr>
        <w:t>.2</w:t>
      </w:r>
      <w:r>
        <w:t>.</w:t>
      </w:r>
      <w:r>
        <w:rPr>
          <w:rFonts w:hint="eastAsia"/>
        </w:rPr>
        <w:t>1</w:t>
      </w:r>
      <w:r>
        <w:t xml:space="preserve"> </w:t>
      </w:r>
      <w:r>
        <w:rPr>
          <w:rFonts w:hint="eastAsia"/>
        </w:rPr>
        <w:t>突发环境事件典型案例库</w:t>
      </w:r>
      <w:bookmarkEnd w:id="213"/>
      <w:bookmarkEnd w:id="214"/>
    </w:p>
    <w:p w14:paraId="39F5FFEA">
      <w:pPr>
        <w:ind w:firstLine="482" w:firstLineChars="200"/>
        <w:rPr>
          <w:rFonts w:hint="eastAsia"/>
          <w:b/>
        </w:rPr>
      </w:pPr>
      <w:r>
        <w:rPr>
          <w:rFonts w:hint="eastAsia"/>
          <w:b/>
        </w:rPr>
        <w:t>1、长沙县成功处置“5•4”页岩油泄露事故</w:t>
      </w:r>
    </w:p>
    <w:p w14:paraId="06833315">
      <w:pPr>
        <w:ind w:firstLine="480" w:firstLineChars="200"/>
        <w:rPr>
          <w:rFonts w:hint="eastAsia"/>
        </w:rPr>
      </w:pPr>
      <w:r>
        <w:rPr>
          <w:rFonts w:hint="eastAsia"/>
        </w:rPr>
        <w:t>2015年5月4日上午11:20，长沙市生态环境局接到长沙县综合执法局报告：京珠高速临长段1467公里处（万家铺村富家咀）发生交通事故，导致煤焦油（后经检测为页岩油）泄露。因事发时大降暴雨，页岩油流进高速公路下的万家铺村杨家坝，我局立即派出以一名局领导为小组的应急调查小组，同时请求市局派专员前往事发地进行协助指导。</w:t>
      </w:r>
    </w:p>
    <w:p w14:paraId="437E6542">
      <w:pPr>
        <w:ind w:firstLine="480" w:firstLineChars="200"/>
        <w:rPr>
          <w:rFonts w:hint="eastAsia"/>
        </w:rPr>
      </w:pPr>
      <w:r>
        <w:rPr>
          <w:rFonts w:hint="eastAsia"/>
        </w:rPr>
        <w:t>一、基本情况</w:t>
      </w:r>
    </w:p>
    <w:p w14:paraId="3B731DB1">
      <w:pPr>
        <w:ind w:firstLine="480" w:firstLineChars="200"/>
        <w:rPr>
          <w:rFonts w:hint="eastAsia"/>
        </w:rPr>
      </w:pPr>
      <w:r>
        <w:rPr>
          <w:rFonts w:hint="eastAsia"/>
        </w:rPr>
        <w:t>现场调查情况</w:t>
      </w:r>
    </w:p>
    <w:p w14:paraId="3135A82F">
      <w:pPr>
        <w:ind w:firstLine="480" w:firstLineChars="200"/>
        <w:rPr>
          <w:rFonts w:hint="eastAsia"/>
        </w:rPr>
      </w:pPr>
      <w:r>
        <w:rPr>
          <w:rFonts w:hint="eastAsia"/>
        </w:rPr>
        <w:t>2015年5月4日上午十点左右，一辆河北籍运送约38吨页岩油的大货车途经京珠高速临长段1467公里处发生侧翻，导致车上运输的部分页岩油泄露进入万家铺村杨家坝小溪内（泄露量因驾驶员受重伤已送至医院无法了解），高速公路事发地路面约两百米有页岩油泄露；杨家坝小溪内有约100米污染带;事发地西侧20米处有一农户鱼塘发现有少量油污；事发地西侧公路有约四十米护坡发现有油污染。水体去向：杨家坝经约3.5公里进入麻林河，麻林河经约16公里由杨泗庙进入捞刀河，其下游约16公里处为星沙水厂取水口。</w:t>
      </w:r>
    </w:p>
    <w:p w14:paraId="051DD591">
      <w:pPr>
        <w:ind w:firstLine="480" w:firstLineChars="200"/>
        <w:rPr>
          <w:rFonts w:hint="eastAsia"/>
        </w:rPr>
      </w:pPr>
      <w:r>
        <w:rPr>
          <w:rFonts w:hint="eastAsia"/>
        </w:rPr>
        <w:t>现场处置情况</w:t>
      </w:r>
    </w:p>
    <w:p w14:paraId="5C56FB73">
      <w:pPr>
        <w:ind w:firstLine="480" w:firstLineChars="200"/>
        <w:rPr>
          <w:rFonts w:hint="eastAsia"/>
        </w:rPr>
      </w:pPr>
      <w:r>
        <w:rPr>
          <w:rFonts w:hint="eastAsia"/>
        </w:rPr>
        <w:t>一是立即关闭杨家坝三个水闸；二是人工设置两个拦截土坝；三是调集围油栏和吸油毡及稻草拦截坝内页岩油；四是调集锯木屑处理高速公路事发地段漏油；五是调集废矿物油处置公司进行页岩油处置工作；六是市县两级监测部门负责对周边水系，特别是星沙水厂取水口的水质监测工作。</w:t>
      </w:r>
    </w:p>
    <w:p w14:paraId="59ACC9E4">
      <w:pPr>
        <w:ind w:firstLine="480" w:firstLineChars="200"/>
        <w:rPr>
          <w:rFonts w:hint="eastAsia"/>
        </w:rPr>
      </w:pPr>
      <w:r>
        <w:rPr>
          <w:rFonts w:hint="eastAsia"/>
        </w:rPr>
        <w:t>后续处置情况</w:t>
      </w:r>
    </w:p>
    <w:p w14:paraId="018818DC">
      <w:pPr>
        <w:ind w:firstLine="480" w:firstLineChars="200"/>
        <w:rPr>
          <w:rFonts w:hint="eastAsia"/>
        </w:rPr>
      </w:pPr>
      <w:r>
        <w:rPr>
          <w:rFonts w:hint="eastAsia"/>
        </w:rPr>
        <w:t>一，由安监部门负责妥善处置事故车辆所载剩余的页岩油；二，高速公路管理局负责处置污染路面及护坡；三，组织人员对杨家坝水体油污带进行打捞并妥善处置；四，请专家论证受污染水体及土壤处置方案并实施;五，密切关注星沙水厂源水水质（特别是苯酚污染）；六、运输车辆涉嫌违法运输危化品并造成环境污染,要求公安部门进行立案调查。</w:t>
      </w:r>
    </w:p>
    <w:p w14:paraId="6BFAB592">
      <w:pPr>
        <w:ind w:firstLine="480" w:firstLineChars="200"/>
        <w:rPr>
          <w:rFonts w:hint="eastAsia"/>
        </w:rPr>
      </w:pPr>
      <w:r>
        <w:rPr>
          <w:rFonts w:hint="eastAsia"/>
        </w:rPr>
        <w:t>二、处置特点</w:t>
      </w:r>
    </w:p>
    <w:p w14:paraId="03164CFE">
      <w:pPr>
        <w:ind w:firstLine="480" w:firstLineChars="200"/>
        <w:rPr>
          <w:rFonts w:hint="eastAsia"/>
        </w:rPr>
      </w:pPr>
      <w:r>
        <w:rPr>
          <w:rFonts w:hint="eastAsia"/>
        </w:rPr>
        <w:t>一、迅速行动。在接到县城乡建设行政执法大队的报告后，长沙县环保局第一时间组织应急人员前往了现场，同时，向县应急管理局、市环保局报告，并向长沙建远废油回收公司寻求人员。物质支持，通过多部门的协同合作，采用堵水坝、用吸油毡吸附、水车抽取废油、投放活性碳吸附等措施，最大化的减少了废油对周边生态环境的影响。</w:t>
      </w:r>
    </w:p>
    <w:p w14:paraId="5347702A">
      <w:pPr>
        <w:ind w:firstLine="480" w:firstLineChars="200"/>
        <w:rPr>
          <w:rFonts w:hint="eastAsia"/>
        </w:rPr>
      </w:pPr>
      <w:r>
        <w:rPr>
          <w:rFonts w:hint="eastAsia"/>
        </w:rPr>
        <w:t>二、领导重视。事故发生后，副县长黄粱、市环保局陈小文副局长、刘诗题副局长、刘英杰支队长、龙加洪站长等领导亲自调度并现场指挥。</w:t>
      </w:r>
    </w:p>
    <w:p w14:paraId="3B6AA2E8">
      <w:pPr>
        <w:ind w:firstLine="480" w:firstLineChars="200"/>
        <w:rPr>
          <w:rFonts w:hint="eastAsia"/>
        </w:rPr>
      </w:pPr>
      <w:r>
        <w:rPr>
          <w:rFonts w:hint="eastAsia"/>
        </w:rPr>
        <w:t>三、人员组织迅速。长沙县环保局在接到报告后，第一时间通知了县应急管理局、市环保局、县环境监测站、废油回收公司。通过多部门的协同合作，采用堵水坝、用吸油毡吸附、水车抽取废油、投放活性碳吸附等措施，最大化的减少了废油对周边生态环境的影响。</w:t>
      </w:r>
    </w:p>
    <w:p w14:paraId="2296ECDC">
      <w:pPr>
        <w:ind w:firstLine="480" w:firstLineChars="200"/>
        <w:rPr>
          <w:rFonts w:hint="eastAsia"/>
        </w:rPr>
      </w:pPr>
      <w:r>
        <w:rPr>
          <w:rFonts w:hint="eastAsia"/>
        </w:rPr>
        <w:t>三、加强舆论引导，消除民众恐慌。通过实时的信息公开，新闻媒体的及时发声，避免了负面社会舆论扩散，消除了民众的恐慌。同时，以支付薪酬的方式寻求当地居民协助处理废水、废油收集工作，使当地居民真正参与到了应急工作中，增强了信息的透明度、真实度。</w:t>
      </w:r>
    </w:p>
    <w:p w14:paraId="439041F3">
      <w:pPr>
        <w:ind w:firstLine="480" w:firstLineChars="200"/>
        <w:rPr>
          <w:rFonts w:hint="eastAsia"/>
        </w:rPr>
      </w:pPr>
      <w:r>
        <w:rPr>
          <w:rFonts w:hint="eastAsia"/>
        </w:rPr>
        <w:t>三、经验教训</w:t>
      </w:r>
    </w:p>
    <w:p w14:paraId="77E2CC06">
      <w:pPr>
        <w:ind w:firstLine="480" w:firstLineChars="200"/>
        <w:rPr>
          <w:rFonts w:hint="eastAsia"/>
        </w:rPr>
      </w:pPr>
      <w:r>
        <w:rPr>
          <w:rFonts w:hint="eastAsia"/>
        </w:rPr>
        <w:t>一、经公安部门赴新疆核实，经检测机构检测，泄露的油性物质为页岩油，而非煤焦油。误判的原因为：运输人员不能准确告知其运输的油料物质名称（公安部门6月9日笔录记载，运输人员表示运输的为煤焦油），环保部门第一时间只能结合实际及问询运输人员初步判断为煤焦油。下次发生此类的油料泄露事故，建议第一时间将泄露物品转交至有资质的检测机构，确认后再向社会公布。</w:t>
      </w:r>
    </w:p>
    <w:p w14:paraId="6D24D71D">
      <w:pPr>
        <w:ind w:firstLine="480" w:firstLineChars="200"/>
        <w:rPr>
          <w:rFonts w:hint="eastAsia"/>
        </w:rPr>
      </w:pPr>
      <w:r>
        <w:rPr>
          <w:rFonts w:hint="eastAsia"/>
        </w:rPr>
        <w:t>二、现场处置的应急抢救人员为长沙建远废油回收公司工作人员及安沙镇万家村村民，活性碳是临时从有关单位采购。建议县应急管理局成立相关的应急抢险队伍，固定机构人员，做到发生事故时能第一时间赶赴现场，处置突发事件，妥善解决。同时，长沙县环保局已制定了突发环境事件应急预案应急物质库、专家库。</w:t>
      </w:r>
    </w:p>
    <w:p w14:paraId="3EA28F63">
      <w:pPr>
        <w:ind w:firstLine="480" w:firstLineChars="200"/>
        <w:rPr>
          <w:rFonts w:hint="eastAsia"/>
          <w:b/>
        </w:rPr>
      </w:pPr>
      <w:r>
        <w:rPr>
          <w:rFonts w:hint="eastAsia"/>
        </w:rPr>
        <w:t>三、截止日前，此次突发环境事件所产生的抢险人员、抢险物质、废水、废油处置的相关费用暂未支付到位。因数额较大，事故类型又为交通肇事，事故所导致的相关费用由油料运输单位支付，而该单位目前仍在公益诉讼阶段。对参与应急抢险人员以后的应急工作积极性有较大影响。</w:t>
      </w:r>
    </w:p>
    <w:p w14:paraId="73C79D55">
      <w:pPr>
        <w:ind w:firstLine="482" w:firstLineChars="200"/>
        <w:rPr>
          <w:rFonts w:hint="eastAsia"/>
          <w:b/>
        </w:rPr>
      </w:pPr>
      <w:r>
        <w:rPr>
          <w:rFonts w:hint="eastAsia"/>
          <w:b/>
        </w:rPr>
        <w:t>2、捞刀河水污染事故记录表</w:t>
      </w:r>
    </w:p>
    <w:p w14:paraId="364D0BFA">
      <w:pPr>
        <w:pStyle w:val="10"/>
        <w:jc w:val="center"/>
        <w:rPr>
          <w:rFonts w:hint="eastAsia"/>
          <w:szCs w:val="21"/>
        </w:rPr>
      </w:pPr>
      <w:r>
        <w:rPr>
          <w:rFonts w:hint="eastAsia"/>
          <w:b/>
          <w:sz w:val="21"/>
          <w:szCs w:val="21"/>
        </w:rPr>
        <w:t>表2-10  捞刀河水污染事故记录表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6"/>
        <w:gridCol w:w="1562"/>
        <w:gridCol w:w="2547"/>
        <w:gridCol w:w="1218"/>
        <w:gridCol w:w="1350"/>
        <w:gridCol w:w="1189"/>
      </w:tblGrid>
      <w:tr w14:paraId="0634C5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656" w:type="dxa"/>
            <w:vAlign w:val="center"/>
          </w:tcPr>
          <w:p w14:paraId="2967197E">
            <w:pPr>
              <w:pStyle w:val="68"/>
              <w:spacing w:line="240" w:lineRule="auto"/>
              <w:rPr>
                <w:b/>
                <w:bCs/>
                <w:color w:val="auto"/>
                <w:sz w:val="21"/>
              </w:rPr>
            </w:pPr>
            <w:r>
              <w:rPr>
                <w:rFonts w:hint="eastAsia"/>
                <w:b/>
                <w:bCs/>
                <w:color w:val="auto"/>
                <w:sz w:val="21"/>
              </w:rPr>
              <w:t>序号</w:t>
            </w:r>
          </w:p>
        </w:tc>
        <w:tc>
          <w:tcPr>
            <w:tcW w:w="1562" w:type="dxa"/>
            <w:vAlign w:val="center"/>
          </w:tcPr>
          <w:p w14:paraId="679243C8">
            <w:pPr>
              <w:pStyle w:val="68"/>
              <w:spacing w:line="240" w:lineRule="auto"/>
              <w:rPr>
                <w:b/>
                <w:bCs/>
                <w:color w:val="auto"/>
                <w:sz w:val="21"/>
              </w:rPr>
            </w:pPr>
            <w:r>
              <w:rPr>
                <w:rFonts w:hint="eastAsia"/>
                <w:b/>
                <w:bCs/>
                <w:color w:val="auto"/>
                <w:sz w:val="21"/>
              </w:rPr>
              <w:t>日期</w:t>
            </w:r>
          </w:p>
        </w:tc>
        <w:tc>
          <w:tcPr>
            <w:tcW w:w="2547" w:type="dxa"/>
            <w:vAlign w:val="center"/>
          </w:tcPr>
          <w:p w14:paraId="65D24B0A">
            <w:pPr>
              <w:pStyle w:val="68"/>
              <w:spacing w:line="240" w:lineRule="auto"/>
              <w:rPr>
                <w:b/>
                <w:bCs/>
                <w:color w:val="auto"/>
                <w:sz w:val="21"/>
              </w:rPr>
            </w:pPr>
            <w:r>
              <w:rPr>
                <w:rFonts w:hint="eastAsia"/>
                <w:b/>
                <w:bCs/>
                <w:color w:val="auto"/>
                <w:sz w:val="21"/>
              </w:rPr>
              <w:t>过程、状况、处理、原因</w:t>
            </w:r>
          </w:p>
        </w:tc>
        <w:tc>
          <w:tcPr>
            <w:tcW w:w="1218" w:type="dxa"/>
            <w:vAlign w:val="center"/>
          </w:tcPr>
          <w:p w14:paraId="2A3E713B">
            <w:pPr>
              <w:pStyle w:val="68"/>
              <w:spacing w:line="240" w:lineRule="auto"/>
              <w:rPr>
                <w:b/>
                <w:bCs/>
                <w:color w:val="auto"/>
                <w:sz w:val="21"/>
              </w:rPr>
            </w:pPr>
            <w:r>
              <w:rPr>
                <w:rFonts w:hint="eastAsia"/>
                <w:b/>
                <w:bCs/>
                <w:color w:val="auto"/>
                <w:sz w:val="21"/>
              </w:rPr>
              <w:t>污染类型</w:t>
            </w:r>
          </w:p>
        </w:tc>
        <w:tc>
          <w:tcPr>
            <w:tcW w:w="1350" w:type="dxa"/>
            <w:vAlign w:val="center"/>
          </w:tcPr>
          <w:p w14:paraId="3D545EAA">
            <w:pPr>
              <w:pStyle w:val="68"/>
              <w:spacing w:line="240" w:lineRule="auto"/>
              <w:rPr>
                <w:b/>
                <w:bCs/>
                <w:color w:val="auto"/>
                <w:sz w:val="21"/>
              </w:rPr>
            </w:pPr>
            <w:r>
              <w:rPr>
                <w:rFonts w:hint="eastAsia"/>
                <w:b/>
                <w:bCs/>
                <w:color w:val="auto"/>
                <w:sz w:val="21"/>
              </w:rPr>
              <w:t>采取的措施</w:t>
            </w:r>
          </w:p>
        </w:tc>
        <w:tc>
          <w:tcPr>
            <w:tcW w:w="1189" w:type="dxa"/>
            <w:vAlign w:val="center"/>
          </w:tcPr>
          <w:p w14:paraId="0F91113A">
            <w:pPr>
              <w:pStyle w:val="68"/>
              <w:spacing w:line="240" w:lineRule="auto"/>
              <w:rPr>
                <w:b/>
                <w:bCs/>
                <w:color w:val="auto"/>
                <w:sz w:val="21"/>
              </w:rPr>
            </w:pPr>
            <w:r>
              <w:rPr>
                <w:rFonts w:hint="eastAsia"/>
                <w:b/>
                <w:bCs/>
                <w:color w:val="auto"/>
                <w:sz w:val="21"/>
              </w:rPr>
              <w:t>效果</w:t>
            </w:r>
          </w:p>
        </w:tc>
      </w:tr>
      <w:tr w14:paraId="52D9DE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5" w:hRule="atLeast"/>
          <w:jc w:val="center"/>
        </w:trPr>
        <w:tc>
          <w:tcPr>
            <w:tcW w:w="656" w:type="dxa"/>
            <w:vAlign w:val="center"/>
          </w:tcPr>
          <w:p w14:paraId="162AA12D">
            <w:pPr>
              <w:pStyle w:val="68"/>
              <w:spacing w:line="240" w:lineRule="auto"/>
              <w:rPr>
                <w:color w:val="auto"/>
                <w:sz w:val="21"/>
              </w:rPr>
            </w:pPr>
            <w:r>
              <w:rPr>
                <w:rFonts w:hint="eastAsia"/>
                <w:color w:val="auto"/>
                <w:sz w:val="21"/>
              </w:rPr>
              <w:t>1</w:t>
            </w:r>
          </w:p>
        </w:tc>
        <w:tc>
          <w:tcPr>
            <w:tcW w:w="1562" w:type="dxa"/>
            <w:vAlign w:val="center"/>
          </w:tcPr>
          <w:p w14:paraId="61132ECC">
            <w:pPr>
              <w:pStyle w:val="68"/>
              <w:spacing w:line="240" w:lineRule="auto"/>
              <w:rPr>
                <w:color w:val="auto"/>
                <w:sz w:val="21"/>
              </w:rPr>
            </w:pPr>
            <w:r>
              <w:rPr>
                <w:rFonts w:hint="eastAsia"/>
                <w:color w:val="auto"/>
                <w:sz w:val="21"/>
              </w:rPr>
              <w:t>2012.07.09-2013.06</w:t>
            </w:r>
          </w:p>
        </w:tc>
        <w:tc>
          <w:tcPr>
            <w:tcW w:w="2547" w:type="dxa"/>
            <w:vAlign w:val="center"/>
          </w:tcPr>
          <w:p w14:paraId="0729D525">
            <w:pPr>
              <w:pStyle w:val="68"/>
              <w:spacing w:line="240" w:lineRule="auto"/>
              <w:rPr>
                <w:rFonts w:hint="eastAsia"/>
                <w:color w:val="auto"/>
                <w:sz w:val="21"/>
              </w:rPr>
            </w:pPr>
            <w:r>
              <w:rPr>
                <w:rFonts w:hint="eastAsia"/>
                <w:color w:val="auto"/>
                <w:sz w:val="21"/>
              </w:rPr>
              <w:t>捞刀河水每隔半月左右就出现异味。12月7日 零点50分，有人向水厂举报看到一辆农用车在永安横坑桥上倾倒污水，很远都能闻到此种异味。</w:t>
            </w:r>
          </w:p>
          <w:p w14:paraId="42C023E6">
            <w:pPr>
              <w:pStyle w:val="68"/>
              <w:spacing w:line="240" w:lineRule="auto"/>
              <w:rPr>
                <w:color w:val="auto"/>
                <w:sz w:val="21"/>
              </w:rPr>
            </w:pPr>
            <w:r>
              <w:rPr>
                <w:rFonts w:hint="eastAsia"/>
                <w:color w:val="auto"/>
                <w:sz w:val="21"/>
              </w:rPr>
              <w:t>2013年9月27日至10月4日永安自来水出现较浓的此种异味。</w:t>
            </w:r>
          </w:p>
        </w:tc>
        <w:tc>
          <w:tcPr>
            <w:tcW w:w="1218" w:type="dxa"/>
            <w:vAlign w:val="center"/>
          </w:tcPr>
          <w:p w14:paraId="70871544">
            <w:pPr>
              <w:pStyle w:val="68"/>
              <w:spacing w:line="240" w:lineRule="auto"/>
              <w:rPr>
                <w:color w:val="auto"/>
                <w:sz w:val="21"/>
              </w:rPr>
            </w:pPr>
            <w:r>
              <w:rPr>
                <w:rFonts w:hint="eastAsia"/>
                <w:color w:val="auto"/>
                <w:sz w:val="21"/>
              </w:rPr>
              <w:t>气味：箥箩密味</w:t>
            </w:r>
          </w:p>
        </w:tc>
        <w:tc>
          <w:tcPr>
            <w:tcW w:w="1350" w:type="dxa"/>
            <w:vAlign w:val="center"/>
          </w:tcPr>
          <w:p w14:paraId="4B6BFE96">
            <w:pPr>
              <w:pStyle w:val="68"/>
              <w:spacing w:line="240" w:lineRule="auto"/>
              <w:rPr>
                <w:color w:val="auto"/>
                <w:sz w:val="21"/>
              </w:rPr>
            </w:pPr>
            <w:r>
              <w:rPr>
                <w:rFonts w:hint="eastAsia"/>
                <w:color w:val="auto"/>
                <w:sz w:val="21"/>
              </w:rPr>
              <w:t>1个小时投1包活性炭</w:t>
            </w:r>
          </w:p>
        </w:tc>
        <w:tc>
          <w:tcPr>
            <w:tcW w:w="1189" w:type="dxa"/>
            <w:vAlign w:val="center"/>
          </w:tcPr>
          <w:p w14:paraId="502FCA3F">
            <w:pPr>
              <w:pStyle w:val="68"/>
              <w:spacing w:line="240" w:lineRule="auto"/>
              <w:rPr>
                <w:color w:val="auto"/>
                <w:sz w:val="21"/>
              </w:rPr>
            </w:pPr>
            <w:r>
              <w:rPr>
                <w:rFonts w:hint="eastAsia"/>
                <w:color w:val="auto"/>
                <w:sz w:val="21"/>
              </w:rPr>
              <w:t>异味逐渐被消除</w:t>
            </w:r>
          </w:p>
        </w:tc>
      </w:tr>
      <w:tr w14:paraId="231C2B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5" w:hRule="atLeast"/>
          <w:jc w:val="center"/>
        </w:trPr>
        <w:tc>
          <w:tcPr>
            <w:tcW w:w="656" w:type="dxa"/>
            <w:vAlign w:val="center"/>
          </w:tcPr>
          <w:p w14:paraId="682CEA7D">
            <w:pPr>
              <w:pStyle w:val="68"/>
              <w:spacing w:line="240" w:lineRule="auto"/>
              <w:rPr>
                <w:color w:val="auto"/>
                <w:sz w:val="21"/>
              </w:rPr>
            </w:pPr>
            <w:r>
              <w:rPr>
                <w:rFonts w:hint="eastAsia"/>
                <w:color w:val="auto"/>
                <w:sz w:val="21"/>
              </w:rPr>
              <w:t>2</w:t>
            </w:r>
          </w:p>
        </w:tc>
        <w:tc>
          <w:tcPr>
            <w:tcW w:w="1562" w:type="dxa"/>
            <w:vAlign w:val="center"/>
          </w:tcPr>
          <w:p w14:paraId="00877F39">
            <w:pPr>
              <w:pStyle w:val="68"/>
              <w:spacing w:line="240" w:lineRule="auto"/>
              <w:rPr>
                <w:color w:val="auto"/>
                <w:sz w:val="21"/>
              </w:rPr>
            </w:pPr>
            <w:r>
              <w:rPr>
                <w:rFonts w:hint="eastAsia"/>
                <w:color w:val="auto"/>
                <w:sz w:val="21"/>
              </w:rPr>
              <w:t>2015.1-2015.2</w:t>
            </w:r>
          </w:p>
        </w:tc>
        <w:tc>
          <w:tcPr>
            <w:tcW w:w="2547" w:type="dxa"/>
            <w:vAlign w:val="center"/>
          </w:tcPr>
          <w:p w14:paraId="1B90FFA6">
            <w:pPr>
              <w:pStyle w:val="68"/>
              <w:spacing w:line="240" w:lineRule="auto"/>
              <w:rPr>
                <w:color w:val="auto"/>
                <w:sz w:val="21"/>
              </w:rPr>
            </w:pPr>
            <w:r>
              <w:rPr>
                <w:rFonts w:hint="eastAsia"/>
                <w:color w:val="auto"/>
                <w:sz w:val="21"/>
              </w:rPr>
              <w:t>上游河水氨氮、耗氧量严重超标，且河水流量太少</w:t>
            </w:r>
          </w:p>
        </w:tc>
        <w:tc>
          <w:tcPr>
            <w:tcW w:w="1218" w:type="dxa"/>
            <w:vAlign w:val="center"/>
          </w:tcPr>
          <w:p w14:paraId="1A047F88">
            <w:pPr>
              <w:pStyle w:val="68"/>
              <w:spacing w:line="240" w:lineRule="auto"/>
              <w:rPr>
                <w:color w:val="auto"/>
                <w:sz w:val="21"/>
              </w:rPr>
            </w:pPr>
            <w:r>
              <w:rPr>
                <w:rFonts w:hint="eastAsia"/>
                <w:color w:val="auto"/>
                <w:sz w:val="21"/>
              </w:rPr>
              <w:t>永安镇河段氨氮3.5mg/L</w:t>
            </w:r>
          </w:p>
        </w:tc>
        <w:tc>
          <w:tcPr>
            <w:tcW w:w="1350" w:type="dxa"/>
            <w:vAlign w:val="center"/>
          </w:tcPr>
          <w:p w14:paraId="65390427">
            <w:pPr>
              <w:pStyle w:val="68"/>
              <w:spacing w:line="240" w:lineRule="auto"/>
              <w:rPr>
                <w:color w:val="auto"/>
                <w:sz w:val="21"/>
              </w:rPr>
            </w:pPr>
            <w:r>
              <w:rPr>
                <w:rFonts w:hint="eastAsia"/>
                <w:color w:val="auto"/>
                <w:sz w:val="21"/>
              </w:rPr>
              <w:t>平流池浊度小于1NTU；前加氯处理</w:t>
            </w:r>
          </w:p>
        </w:tc>
        <w:tc>
          <w:tcPr>
            <w:tcW w:w="1189" w:type="dxa"/>
            <w:vAlign w:val="center"/>
          </w:tcPr>
          <w:p w14:paraId="7F1325AA">
            <w:pPr>
              <w:pStyle w:val="68"/>
              <w:spacing w:line="240" w:lineRule="auto"/>
              <w:rPr>
                <w:color w:val="auto"/>
                <w:sz w:val="21"/>
              </w:rPr>
            </w:pPr>
            <w:r>
              <w:rPr>
                <w:rFonts w:hint="eastAsia"/>
                <w:color w:val="auto"/>
                <w:sz w:val="21"/>
              </w:rPr>
              <w:t>氨氮太多，效果一般</w:t>
            </w:r>
          </w:p>
        </w:tc>
      </w:tr>
      <w:tr w14:paraId="19D6FE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3" w:hRule="atLeast"/>
          <w:jc w:val="center"/>
        </w:trPr>
        <w:tc>
          <w:tcPr>
            <w:tcW w:w="656" w:type="dxa"/>
            <w:vAlign w:val="center"/>
          </w:tcPr>
          <w:p w14:paraId="0D82F361">
            <w:pPr>
              <w:pStyle w:val="68"/>
              <w:spacing w:line="240" w:lineRule="auto"/>
              <w:rPr>
                <w:color w:val="auto"/>
                <w:sz w:val="21"/>
              </w:rPr>
            </w:pPr>
            <w:r>
              <w:rPr>
                <w:rFonts w:hint="eastAsia"/>
                <w:color w:val="auto"/>
                <w:sz w:val="21"/>
              </w:rPr>
              <w:t>3</w:t>
            </w:r>
          </w:p>
        </w:tc>
        <w:tc>
          <w:tcPr>
            <w:tcW w:w="1562" w:type="dxa"/>
            <w:vAlign w:val="center"/>
          </w:tcPr>
          <w:p w14:paraId="5492C6C9">
            <w:pPr>
              <w:pStyle w:val="68"/>
              <w:spacing w:line="240" w:lineRule="auto"/>
              <w:rPr>
                <w:color w:val="auto"/>
                <w:sz w:val="21"/>
              </w:rPr>
            </w:pPr>
            <w:r>
              <w:rPr>
                <w:rFonts w:hint="eastAsia"/>
                <w:color w:val="auto"/>
                <w:sz w:val="21"/>
              </w:rPr>
              <w:t>2015.2.5-2.6</w:t>
            </w:r>
          </w:p>
        </w:tc>
        <w:tc>
          <w:tcPr>
            <w:tcW w:w="2547" w:type="dxa"/>
            <w:vAlign w:val="center"/>
          </w:tcPr>
          <w:p w14:paraId="2603572E">
            <w:pPr>
              <w:pStyle w:val="68"/>
              <w:spacing w:line="240" w:lineRule="auto"/>
              <w:rPr>
                <w:color w:val="auto"/>
                <w:sz w:val="21"/>
              </w:rPr>
            </w:pPr>
            <w:r>
              <w:rPr>
                <w:rFonts w:hint="eastAsia"/>
                <w:color w:val="auto"/>
                <w:sz w:val="21"/>
              </w:rPr>
              <w:t>永波局长、郭灿、宋波堤方案：在反应池投加活性炭，在2号投矾池加6×500g高锰酸钾，未见红，又在隔栅井加4瓶高锰酸钾</w:t>
            </w:r>
          </w:p>
        </w:tc>
        <w:tc>
          <w:tcPr>
            <w:tcW w:w="1218" w:type="dxa"/>
            <w:vAlign w:val="center"/>
          </w:tcPr>
          <w:p w14:paraId="63DEC7B5">
            <w:pPr>
              <w:pStyle w:val="68"/>
              <w:spacing w:line="240" w:lineRule="auto"/>
              <w:rPr>
                <w:color w:val="auto"/>
                <w:sz w:val="21"/>
              </w:rPr>
            </w:pPr>
            <w:r>
              <w:rPr>
                <w:rFonts w:hint="eastAsia"/>
                <w:color w:val="auto"/>
                <w:sz w:val="21"/>
              </w:rPr>
              <w:t>热水有腥味</w:t>
            </w:r>
          </w:p>
        </w:tc>
        <w:tc>
          <w:tcPr>
            <w:tcW w:w="1350" w:type="dxa"/>
            <w:vAlign w:val="center"/>
          </w:tcPr>
          <w:p w14:paraId="3D58F0BF">
            <w:pPr>
              <w:pStyle w:val="68"/>
              <w:spacing w:line="240" w:lineRule="auto"/>
              <w:rPr>
                <w:color w:val="auto"/>
                <w:sz w:val="21"/>
              </w:rPr>
            </w:pPr>
            <w:r>
              <w:rPr>
                <w:rFonts w:hint="eastAsia"/>
                <w:color w:val="auto"/>
                <w:sz w:val="21"/>
              </w:rPr>
              <w:t>活性炭6包/天，高锰酸钾1瓢/班，从红旗水库调水解决问题</w:t>
            </w:r>
          </w:p>
        </w:tc>
        <w:tc>
          <w:tcPr>
            <w:tcW w:w="1189" w:type="dxa"/>
            <w:vAlign w:val="center"/>
          </w:tcPr>
          <w:p w14:paraId="4CE684C0">
            <w:pPr>
              <w:pStyle w:val="68"/>
              <w:spacing w:line="240" w:lineRule="auto"/>
              <w:rPr>
                <w:color w:val="auto"/>
                <w:sz w:val="21"/>
              </w:rPr>
            </w:pPr>
            <w:r>
              <w:rPr>
                <w:rFonts w:hint="eastAsia"/>
                <w:color w:val="auto"/>
                <w:sz w:val="21"/>
              </w:rPr>
              <w:t>氨氮去除率达到30％，对除腥味有效果</w:t>
            </w:r>
          </w:p>
        </w:tc>
      </w:tr>
    </w:tbl>
    <w:p w14:paraId="44C241CF">
      <w:pPr>
        <w:pStyle w:val="5"/>
      </w:pPr>
      <w:bookmarkStart w:id="215" w:name="_Toc14073"/>
      <w:r>
        <w:rPr>
          <w:rFonts w:hint="eastAsia"/>
          <w:lang w:val="en-US" w:eastAsia="zh-CN"/>
        </w:rPr>
        <w:t>3</w:t>
      </w:r>
      <w:r>
        <w:t>.2</w:t>
      </w:r>
      <w:r>
        <w:rPr>
          <w:rFonts w:hint="eastAsia"/>
        </w:rPr>
        <w:t>.2</w:t>
      </w:r>
      <w:r>
        <w:t>饮用水源保护区突发环境</w:t>
      </w:r>
      <w:r>
        <w:rPr>
          <w:rFonts w:hint="eastAsia"/>
        </w:rPr>
        <w:t>风险</w:t>
      </w:r>
      <w:r>
        <w:t>事件分析</w:t>
      </w:r>
      <w:bookmarkEnd w:id="210"/>
      <w:bookmarkEnd w:id="211"/>
      <w:bookmarkEnd w:id="212"/>
      <w:bookmarkEnd w:id="215"/>
    </w:p>
    <w:p w14:paraId="72DC7542">
      <w:pPr>
        <w:pStyle w:val="6"/>
        <w:rPr>
          <w:rStyle w:val="33"/>
          <w:b w:val="0"/>
          <w:sz w:val="24"/>
          <w:szCs w:val="28"/>
        </w:rPr>
      </w:pPr>
      <w:bookmarkStart w:id="216" w:name="_Toc18682"/>
      <w:r>
        <w:rPr>
          <w:rStyle w:val="33"/>
          <w:rFonts w:hint="eastAsia"/>
          <w:b w:val="0"/>
          <w:sz w:val="24"/>
          <w:szCs w:val="28"/>
          <w:lang w:val="en-US"/>
        </w:rPr>
        <w:t>3</w:t>
      </w:r>
      <w:r>
        <w:rPr>
          <w:rStyle w:val="33"/>
          <w:b w:val="0"/>
          <w:sz w:val="24"/>
          <w:szCs w:val="28"/>
        </w:rPr>
        <w:t>.2.</w:t>
      </w:r>
      <w:r>
        <w:rPr>
          <w:rStyle w:val="33"/>
          <w:rFonts w:hint="eastAsia"/>
          <w:b w:val="0"/>
          <w:sz w:val="24"/>
          <w:szCs w:val="28"/>
        </w:rPr>
        <w:t>2.</w:t>
      </w:r>
      <w:r>
        <w:rPr>
          <w:rStyle w:val="33"/>
          <w:b w:val="0"/>
          <w:sz w:val="24"/>
          <w:szCs w:val="28"/>
        </w:rPr>
        <w:t>1 固定风险源突发环境事件分析</w:t>
      </w:r>
      <w:bookmarkEnd w:id="216"/>
    </w:p>
    <w:p w14:paraId="6A62D5FC">
      <w:pPr>
        <w:ind w:firstLine="480" w:firstLineChars="200"/>
        <w:rPr>
          <w:color w:val="000000"/>
        </w:rPr>
      </w:pPr>
      <w:r>
        <w:rPr>
          <w:color w:val="000000"/>
        </w:rPr>
        <w:t>由风险源辨识可知，</w:t>
      </w:r>
      <w:r>
        <w:rPr>
          <w:rFonts w:hint="eastAsia"/>
          <w:color w:val="000000"/>
        </w:rPr>
        <w:t>绥宁县关峡苗族乡兰溪水饮用水水源地保护区</w:t>
      </w:r>
      <w:r>
        <w:rPr>
          <w:color w:val="000000"/>
        </w:rPr>
        <w:t>调查范围内涉及的</w:t>
      </w:r>
      <w:r>
        <w:rPr>
          <w:rFonts w:hint="eastAsia"/>
          <w:color w:val="000000"/>
        </w:rPr>
        <w:t>固定风险源</w:t>
      </w:r>
      <w:r>
        <w:rPr>
          <w:color w:val="000000"/>
        </w:rPr>
        <w:t>为：绥宁云峰新能源有限公司</w:t>
      </w:r>
      <w:r>
        <w:rPr>
          <w:rFonts w:hint="eastAsia"/>
          <w:color w:val="000000"/>
        </w:rPr>
        <w:t>、</w:t>
      </w:r>
      <w:r>
        <w:rPr>
          <w:color w:val="000000"/>
        </w:rPr>
        <w:t>绥宁县关峡鑫峰木制品厂</w:t>
      </w:r>
      <w:r>
        <w:rPr>
          <w:rFonts w:hint="eastAsia"/>
          <w:color w:val="000000"/>
        </w:rPr>
        <w:t>、</w:t>
      </w:r>
      <w:r>
        <w:rPr>
          <w:color w:val="000000"/>
        </w:rPr>
        <w:t>绥宁县友娣竹木制品厂</w:t>
      </w:r>
      <w:r>
        <w:rPr>
          <w:rFonts w:hint="eastAsia"/>
          <w:color w:val="000000"/>
        </w:rPr>
        <w:t>和绥宁县关峡乡自来水厂</w:t>
      </w:r>
      <w:r>
        <w:rPr>
          <w:color w:val="000000"/>
        </w:rPr>
        <w:t>。</w:t>
      </w:r>
    </w:p>
    <w:p w14:paraId="63C21F61">
      <w:pPr>
        <w:ind w:firstLine="480" w:firstLineChars="200"/>
        <w:rPr>
          <w:rFonts w:hint="default" w:eastAsia="宋体"/>
          <w:lang w:val="en-US" w:eastAsia="zh-CN"/>
        </w:rPr>
      </w:pPr>
      <w:r>
        <w:t>绥宁云峰新能源有限公司位于取水口上游 2 公里省道S248 南侧 50 米处，该公司于2014年12月开始筹建，2016年11月底开始试生产，统一社会信用代码：91430527351692619X，法定代表人：陈立和。2015年11月获得邵阳市环境保护局《关于绥宁云峰新能源有限公司年产60万吨水泥粉磨站建设项目环境影响报告表的批复》（邵市环评〔2015〕101号）。该公司总投资 5000 万元，总占地面积 50184.6m</w:t>
      </w:r>
      <w:r>
        <w:rPr>
          <w:vertAlign w:val="superscript"/>
        </w:rPr>
        <w:t>2</w:t>
      </w:r>
      <w:r>
        <w:t>，采用辊压机+高细球磨机工艺，利用湖南省云峰水泥有限公司所生产的熟料，年产 60 万吨水泥。该公司冷却水、生活污水、初期雨水均不外排；废气采用脉冲布袋除尘器+排气筒等处理措施处理后达标排放。</w:t>
      </w:r>
      <w:r>
        <w:rPr>
          <w:rFonts w:hint="eastAsia"/>
          <w:lang w:val="en-US" w:eastAsia="zh-CN"/>
        </w:rPr>
        <w:t>该公司目前已停产，但是生产设备还未拆除。</w:t>
      </w:r>
    </w:p>
    <w:p w14:paraId="5E0184E0">
      <w:pPr>
        <w:jc w:val="center"/>
      </w:pPr>
      <w:r>
        <w:drawing>
          <wp:inline distT="0" distB="0" distL="0" distR="0">
            <wp:extent cx="2764790" cy="2636520"/>
            <wp:effectExtent l="0" t="0" r="16510" b="11430"/>
            <wp:docPr id="21" name="图片 64" descr="微信图片_2019080410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4" descr="微信图片_20190804105532"/>
                    <pic:cNvPicPr>
                      <a:picLocks noChangeAspect="1" noChangeArrowheads="1"/>
                    </pic:cNvPicPr>
                  </pic:nvPicPr>
                  <pic:blipFill>
                    <a:blip r:embed="rId42" cstate="print"/>
                    <a:srcRect/>
                    <a:stretch>
                      <a:fillRect/>
                    </a:stretch>
                  </pic:blipFill>
                  <pic:spPr>
                    <a:xfrm>
                      <a:off x="0" y="0"/>
                      <a:ext cx="2764790" cy="2636520"/>
                    </a:xfrm>
                    <a:prstGeom prst="rect">
                      <a:avLst/>
                    </a:prstGeom>
                    <a:noFill/>
                    <a:ln w="9525" cmpd="sng">
                      <a:noFill/>
                      <a:miter lim="800000"/>
                      <a:headEnd/>
                      <a:tailEnd/>
                    </a:ln>
                  </pic:spPr>
                </pic:pic>
              </a:graphicData>
            </a:graphic>
          </wp:inline>
        </w:drawing>
      </w:r>
      <w:r>
        <w:drawing>
          <wp:inline distT="0" distB="0" distL="0" distR="0">
            <wp:extent cx="2380615" cy="2642870"/>
            <wp:effectExtent l="0" t="0" r="635" b="5080"/>
            <wp:docPr id="22" name="图片 65" descr="微信图片_2019080410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5" descr="微信图片_20190804105658"/>
                    <pic:cNvPicPr>
                      <a:picLocks noChangeAspect="1" noChangeArrowheads="1"/>
                    </pic:cNvPicPr>
                  </pic:nvPicPr>
                  <pic:blipFill>
                    <a:blip r:embed="rId43" cstate="print"/>
                    <a:srcRect/>
                    <a:stretch>
                      <a:fillRect/>
                    </a:stretch>
                  </pic:blipFill>
                  <pic:spPr>
                    <a:xfrm>
                      <a:off x="0" y="0"/>
                      <a:ext cx="2380615" cy="2642870"/>
                    </a:xfrm>
                    <a:prstGeom prst="rect">
                      <a:avLst/>
                    </a:prstGeom>
                    <a:noFill/>
                    <a:ln w="9525" cmpd="sng">
                      <a:noFill/>
                      <a:miter lim="800000"/>
                      <a:headEnd/>
                      <a:tailEnd/>
                    </a:ln>
                  </pic:spPr>
                </pic:pic>
              </a:graphicData>
            </a:graphic>
          </wp:inline>
        </w:drawing>
      </w:r>
    </w:p>
    <w:p w14:paraId="1F3325A9">
      <w:pPr>
        <w:jc w:val="center"/>
        <w:rPr>
          <w:b/>
          <w:bCs/>
          <w:sz w:val="21"/>
          <w:szCs w:val="21"/>
        </w:rPr>
      </w:pPr>
      <w:r>
        <w:rPr>
          <w:b/>
          <w:bCs/>
          <w:sz w:val="21"/>
          <w:szCs w:val="21"/>
        </w:rPr>
        <w:t>图</w:t>
      </w:r>
      <w:r>
        <w:rPr>
          <w:rFonts w:hint="eastAsia"/>
          <w:b/>
          <w:bCs/>
          <w:sz w:val="21"/>
          <w:szCs w:val="21"/>
        </w:rPr>
        <w:t>2-3</w:t>
      </w:r>
      <w:r>
        <w:rPr>
          <w:b/>
          <w:bCs/>
          <w:sz w:val="21"/>
          <w:szCs w:val="21"/>
        </w:rPr>
        <w:t xml:space="preserve">  绥宁云峰新能源有限公司</w:t>
      </w:r>
    </w:p>
    <w:p w14:paraId="6C2C2A32">
      <w:pPr>
        <w:ind w:firstLine="482" w:firstLineChars="200"/>
        <w:rPr>
          <w:b/>
          <w:bCs/>
        </w:rPr>
      </w:pPr>
      <w:r>
        <w:rPr>
          <w:b/>
          <w:bCs/>
        </w:rPr>
        <w:t>绥宁县关峡鑫峰木制品厂</w:t>
      </w:r>
    </w:p>
    <w:p w14:paraId="45EA7092">
      <w:pPr>
        <w:ind w:firstLine="480" w:firstLineChars="200"/>
      </w:pPr>
      <w:r>
        <w:t>绥宁县关峡鑫峰木制品厂（地理坐标：E：110°17′34.03″；N：26°35′44.98″）位于取水口上游2.5Km处省道S248南侧，统一社会信用代码为92430527MA4MPDA265，于2013年2月成立，主要产品为锯材，生产能力为1000立方米/年，采用锯切工艺将原木锯为锯材。该公司无废水外排，主要废气污染物为颗粒物。</w:t>
      </w:r>
    </w:p>
    <w:p w14:paraId="24E4D4E6">
      <w:pPr>
        <w:jc w:val="center"/>
        <w:rPr>
          <w:b/>
          <w:bCs/>
          <w:sz w:val="21"/>
          <w:szCs w:val="21"/>
        </w:rPr>
      </w:pPr>
      <w:r>
        <w:rPr>
          <w:b/>
          <w:bCs/>
          <w:sz w:val="21"/>
          <w:szCs w:val="21"/>
        </w:rPr>
        <w:drawing>
          <wp:inline distT="0" distB="0" distL="0" distR="0">
            <wp:extent cx="3773805" cy="2707005"/>
            <wp:effectExtent l="19050" t="0" r="0" b="0"/>
            <wp:docPr id="23" name="图片 66" descr="微信图片_2019080411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6" descr="微信图片_20190804110224"/>
                    <pic:cNvPicPr>
                      <a:picLocks noChangeAspect="1" noChangeArrowheads="1"/>
                    </pic:cNvPicPr>
                  </pic:nvPicPr>
                  <pic:blipFill>
                    <a:blip r:embed="rId44" cstate="print"/>
                    <a:srcRect/>
                    <a:stretch>
                      <a:fillRect/>
                    </a:stretch>
                  </pic:blipFill>
                  <pic:spPr>
                    <a:xfrm>
                      <a:off x="0" y="0"/>
                      <a:ext cx="3773805" cy="2707005"/>
                    </a:xfrm>
                    <a:prstGeom prst="rect">
                      <a:avLst/>
                    </a:prstGeom>
                    <a:noFill/>
                    <a:ln w="9525" cmpd="sng">
                      <a:noFill/>
                      <a:miter lim="800000"/>
                      <a:headEnd/>
                      <a:tailEnd/>
                    </a:ln>
                  </pic:spPr>
                </pic:pic>
              </a:graphicData>
            </a:graphic>
          </wp:inline>
        </w:drawing>
      </w:r>
    </w:p>
    <w:p w14:paraId="05397150">
      <w:pPr>
        <w:jc w:val="center"/>
      </w:pPr>
      <w:r>
        <w:rPr>
          <w:b/>
          <w:bCs/>
          <w:sz w:val="21"/>
          <w:szCs w:val="21"/>
        </w:rPr>
        <w:t>图</w:t>
      </w:r>
      <w:r>
        <w:rPr>
          <w:rFonts w:hint="eastAsia"/>
          <w:b/>
          <w:bCs/>
          <w:sz w:val="21"/>
          <w:szCs w:val="21"/>
        </w:rPr>
        <w:t>2-4</w:t>
      </w:r>
      <w:r>
        <w:rPr>
          <w:b/>
          <w:bCs/>
          <w:sz w:val="21"/>
          <w:szCs w:val="21"/>
        </w:rPr>
        <w:t xml:space="preserve">  绥宁县关峡鑫峰木制品厂</w:t>
      </w:r>
    </w:p>
    <w:p w14:paraId="07670027">
      <w:pPr>
        <w:ind w:firstLine="482" w:firstLineChars="200"/>
        <w:rPr>
          <w:b/>
          <w:bCs/>
        </w:rPr>
      </w:pPr>
      <w:r>
        <w:rPr>
          <w:b/>
          <w:bCs/>
        </w:rPr>
        <w:t>绥宁县友娣竹木制品厂</w:t>
      </w:r>
    </w:p>
    <w:p w14:paraId="672A3389">
      <w:pPr>
        <w:ind w:firstLine="480" w:firstLineChars="200"/>
      </w:pPr>
      <w:r>
        <w:t>绥宁县友娣竹木制品厂（地理坐标：E：110°17′35.16″；N：26°35′45.06″）位于取水口上游2.3Km处省道S248北侧，统一社会信用代码为92430527MA4LPXPA0M，于2017年5月成立，主要产品为锯材，生产能力为30立方米/年，采用锯切工艺将原木锯为锯材。该公司无废水外排，主要废气污染物为颗粒物。</w:t>
      </w:r>
    </w:p>
    <w:p w14:paraId="505473D4">
      <w:pPr>
        <w:jc w:val="center"/>
      </w:pPr>
      <w:r>
        <w:drawing>
          <wp:inline distT="0" distB="0" distL="0" distR="0">
            <wp:extent cx="4172585" cy="2997200"/>
            <wp:effectExtent l="19050" t="0" r="0" b="0"/>
            <wp:docPr id="24" name="图片 67" descr="微信图片_2019080410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7" descr="微信图片_20190804105850"/>
                    <pic:cNvPicPr>
                      <a:picLocks noChangeAspect="1" noChangeArrowheads="1"/>
                    </pic:cNvPicPr>
                  </pic:nvPicPr>
                  <pic:blipFill>
                    <a:blip r:embed="rId45" cstate="print"/>
                    <a:srcRect/>
                    <a:stretch>
                      <a:fillRect/>
                    </a:stretch>
                  </pic:blipFill>
                  <pic:spPr>
                    <a:xfrm>
                      <a:off x="0" y="0"/>
                      <a:ext cx="4172585" cy="2997200"/>
                    </a:xfrm>
                    <a:prstGeom prst="rect">
                      <a:avLst/>
                    </a:prstGeom>
                    <a:noFill/>
                    <a:ln w="9525" cmpd="sng">
                      <a:noFill/>
                      <a:miter lim="800000"/>
                      <a:headEnd/>
                      <a:tailEnd/>
                    </a:ln>
                  </pic:spPr>
                </pic:pic>
              </a:graphicData>
            </a:graphic>
          </wp:inline>
        </w:drawing>
      </w:r>
    </w:p>
    <w:p w14:paraId="3828E8BC">
      <w:pPr>
        <w:jc w:val="center"/>
        <w:rPr>
          <w:color w:val="000000"/>
        </w:rPr>
      </w:pPr>
      <w:r>
        <w:rPr>
          <w:b/>
          <w:bCs/>
          <w:sz w:val="21"/>
          <w:szCs w:val="21"/>
        </w:rPr>
        <w:t>图</w:t>
      </w:r>
      <w:r>
        <w:rPr>
          <w:rFonts w:hint="eastAsia"/>
          <w:b/>
          <w:bCs/>
          <w:sz w:val="21"/>
          <w:szCs w:val="21"/>
        </w:rPr>
        <w:t>2-5</w:t>
      </w:r>
      <w:r>
        <w:rPr>
          <w:b/>
          <w:bCs/>
          <w:sz w:val="21"/>
          <w:szCs w:val="21"/>
        </w:rPr>
        <w:t xml:space="preserve">  绥宁县友娣竹木制品厂</w:t>
      </w:r>
    </w:p>
    <w:p w14:paraId="7BF45D25">
      <w:pPr>
        <w:ind w:firstLine="482" w:firstLineChars="200"/>
        <w:rPr>
          <w:rFonts w:hint="eastAsia"/>
          <w:b/>
          <w:bCs/>
          <w:color w:val="000000"/>
        </w:rPr>
      </w:pPr>
      <w:r>
        <w:rPr>
          <w:rFonts w:hint="eastAsia"/>
          <w:b/>
          <w:bCs/>
          <w:color w:val="000000"/>
        </w:rPr>
        <w:t>绥宁县关峡乡自来水厂</w:t>
      </w:r>
    </w:p>
    <w:p w14:paraId="3DD94677">
      <w:pPr>
        <w:ind w:firstLine="480" w:firstLineChars="200"/>
      </w:pPr>
      <w:r>
        <w:rPr>
          <w:rFonts w:hint="eastAsia"/>
        </w:rPr>
        <w:t>关峡</w:t>
      </w:r>
      <w:r>
        <w:t>水厂是国家饮水安全项目</w:t>
      </w:r>
      <w:r>
        <w:rPr>
          <w:rFonts w:hint="eastAsia"/>
        </w:rPr>
        <w:t>，其</w:t>
      </w:r>
      <w:r>
        <w:t>投资金额为1047.25万元，于2014年12月开工建设，2016年6月建成运营。</w:t>
      </w:r>
      <w:r>
        <w:rPr>
          <w:rFonts w:hint="eastAsia"/>
        </w:rPr>
        <w:t>水厂</w:t>
      </w:r>
      <w:r>
        <w:t>南面紧邻省道S248，距离绥宁县县城约15Km。取水水源类型为河流（兰溪水，巫水一级支流），取水方式为提水，年取水量为53.61万m</w:t>
      </w:r>
      <w:r>
        <w:rPr>
          <w:vertAlign w:val="superscript"/>
        </w:rPr>
        <w:t>3</w:t>
      </w:r>
      <w:r>
        <w:t>，日最大取水量为1468m</w:t>
      </w:r>
      <w:r>
        <w:rPr>
          <w:vertAlign w:val="superscript"/>
        </w:rPr>
        <w:t>3</w:t>
      </w:r>
      <w:r>
        <w:t>，最高日供水规模1500m</w:t>
      </w:r>
      <w:r>
        <w:rPr>
          <w:vertAlign w:val="superscript"/>
        </w:rPr>
        <w:t>3</w:t>
      </w:r>
      <w:r>
        <w:t>/d。供关峡乡关峡、大园、插柳村和湘商产业园居民饮用和生产使用，供水范围总面积为7.8 Km</w:t>
      </w:r>
      <w:r>
        <w:rPr>
          <w:vertAlign w:val="superscript"/>
        </w:rPr>
        <w:t>2</w:t>
      </w:r>
      <w:r>
        <w:t>，总供水人口为15146人。</w:t>
      </w:r>
    </w:p>
    <w:p w14:paraId="0190C254">
      <w:pPr>
        <w:ind w:firstLine="480" w:firstLineChars="200"/>
      </w:pPr>
      <w:r>
        <w:t>关峡水厂处理工艺为混凝沉淀、过滤、消毒等，其具体工艺流程图见图2-1。水厂供水管网材质为铸铁，主管径DN300，往北连接插柳村，往南连接湘商产业园、关峡和大园村；次管径DN100-200，再连接至用户</w:t>
      </w:r>
      <w:r>
        <w:rPr>
          <w:rFonts w:hint="eastAsia"/>
          <w:lang w:eastAsia="zh-CN"/>
        </w:rPr>
        <w:t>。</w:t>
      </w:r>
      <w:r>
        <w:rPr>
          <w:rFonts w:hint="eastAsia"/>
          <w:u w:val="wave"/>
          <w:lang w:val="en-US" w:eastAsia="zh-CN"/>
        </w:rPr>
        <w:t>水厂尾水排口位于取水口下游约100m处</w:t>
      </w:r>
      <w:r>
        <w:rPr>
          <w:u w:val="wave"/>
        </w:rPr>
        <w:t>。</w:t>
      </w:r>
    </w:p>
    <w:p w14:paraId="169A99E7">
      <w:pPr>
        <w:pStyle w:val="16"/>
        <w:rPr>
          <w:rFonts w:hint="eastAsia"/>
        </w:rPr>
      </w:pPr>
      <w:r>
        <w:rPr>
          <w:rFonts w:hint="eastAsia"/>
          <w:b/>
          <w:bCs/>
          <w:lang w:eastAsia="zh-CN"/>
        </w:rPr>
        <w:t>绥宁县骏峰建设工程有限公司</w:t>
      </w:r>
    </w:p>
    <w:p w14:paraId="0084DA4E">
      <w:pPr>
        <w:ind w:firstLine="480" w:firstLineChars="200"/>
        <w:rPr>
          <w:rFonts w:hint="eastAsia"/>
          <w:lang w:val="en-US" w:eastAsia="zh-CN"/>
        </w:rPr>
      </w:pPr>
      <w:r>
        <w:rPr>
          <w:rFonts w:hint="eastAsia"/>
        </w:rPr>
        <w:t>绥宁县骏峰建设工程有限公司投资1000万元在绥宁县关峡苗族乡插柳村五里坪建设“年产20万吨沥青混凝土拌和站项目”，项目租赁湖南新云农业科技发展有限公司的土地进行建设，占地面积3560平方米。</w:t>
      </w:r>
      <w:r>
        <w:rPr>
          <w:rFonts w:hint="eastAsia"/>
          <w:lang w:val="en-US" w:eastAsia="zh-CN"/>
        </w:rPr>
        <w:t>该项目于2022年8月获得邵阳市生态环境局绥宁分局批复，公司于2023年9月15日获得排污许可证，编号为91430527MA7DJPBK72001U，但该项目还未进行应急预案备案和竣工环境保护验收。</w:t>
      </w:r>
    </w:p>
    <w:p w14:paraId="5559EEEA">
      <w:pPr>
        <w:pStyle w:val="16"/>
        <w:ind w:left="0" w:leftChars="0" w:firstLine="480" w:firstLineChars="200"/>
        <w:rPr>
          <w:rFonts w:hint="eastAsia"/>
          <w:lang w:val="en-US" w:eastAsia="zh-CN"/>
        </w:rPr>
      </w:pPr>
      <w:r>
        <w:rPr>
          <w:rFonts w:hint="eastAsia"/>
          <w:lang w:val="en-US" w:eastAsia="zh-CN"/>
        </w:rPr>
        <w:t>该项目无污废水外排，生活污水经隔油池、三格化粪池处理后用于周边农作物施肥；生产废水经隔油沉淀池处理后回用，不外排。</w:t>
      </w:r>
    </w:p>
    <w:p w14:paraId="795BD346">
      <w:pPr>
        <w:pStyle w:val="16"/>
        <w:ind w:left="0" w:leftChars="0" w:firstLine="480" w:firstLineChars="200"/>
        <w:rPr>
          <w:rFonts w:hint="eastAsia"/>
          <w:lang w:val="en-US" w:eastAsia="zh-CN"/>
        </w:rPr>
      </w:pPr>
      <w:r>
        <w:rPr>
          <w:rFonts w:hint="eastAsia"/>
          <w:lang w:val="en-US" w:eastAsia="zh-CN"/>
        </w:rPr>
        <w:t>该项目废气处理及排放情况：燃烧器燃烧废气和烘干及筛分粉尘共用一套除尘设备（旋风除尘器+布袋除尘器）处理后经20m排气筒排放；矿粉筒仓粉尘经布袋除尘器处理后于仓顶排放；沥青烟气经电捕焦油器+活性炭吸附后由20m高排气筒排放；导热油炉废气经10m高排气筒排放。</w:t>
      </w:r>
    </w:p>
    <w:p w14:paraId="7C44FC9A">
      <w:pPr>
        <w:rPr>
          <w:rFonts w:hint="default"/>
          <w:lang w:val="en-US" w:eastAsia="zh-CN"/>
        </w:rPr>
      </w:pPr>
      <w:r>
        <w:rPr>
          <w:rFonts w:hint="eastAsia"/>
          <w:lang w:val="en-US" w:eastAsia="zh-CN"/>
        </w:rPr>
        <w:t xml:space="preserve">    项目沥青储罐、柴油、重油及导热油储罐均建设有围堰，不会外溢至外环境。</w:t>
      </w:r>
    </w:p>
    <w:p w14:paraId="19C30F45">
      <w:pPr>
        <w:ind w:firstLine="480" w:firstLineChars="200"/>
        <w:rPr>
          <w:rFonts w:hint="eastAsia"/>
        </w:rPr>
      </w:pPr>
      <w:r>
        <w:t>因此，</w:t>
      </w:r>
      <w:r>
        <w:rPr>
          <w:rFonts w:hint="eastAsia"/>
          <w:color w:val="000000"/>
        </w:rPr>
        <w:t>绥宁县关峡苗族乡兰溪水饮用水水源地保护区周边</w:t>
      </w:r>
      <w:r>
        <w:t>存在</w:t>
      </w:r>
      <w:r>
        <w:rPr>
          <w:color w:val="000000"/>
        </w:rPr>
        <w:t>绥宁云峰新能源有限公司</w:t>
      </w:r>
      <w:r>
        <w:rPr>
          <w:rFonts w:hint="eastAsia"/>
          <w:color w:val="000000"/>
        </w:rPr>
        <w:t>、</w:t>
      </w:r>
      <w:r>
        <w:rPr>
          <w:color w:val="000000"/>
        </w:rPr>
        <w:t>绥宁县关峡鑫峰木制品厂</w:t>
      </w:r>
      <w:r>
        <w:rPr>
          <w:rFonts w:hint="eastAsia"/>
          <w:color w:val="000000"/>
        </w:rPr>
        <w:t>、绥宁县骏峰建设工程有限公司</w:t>
      </w:r>
      <w:r>
        <w:rPr>
          <w:rFonts w:hint="eastAsia"/>
          <w:color w:val="000000"/>
          <w:lang w:eastAsia="zh-CN"/>
        </w:rPr>
        <w:t>、</w:t>
      </w:r>
      <w:r>
        <w:rPr>
          <w:color w:val="000000"/>
        </w:rPr>
        <w:t>绥宁县友娣竹木制品厂</w:t>
      </w:r>
      <w:r>
        <w:rPr>
          <w:rFonts w:hint="eastAsia"/>
          <w:color w:val="000000"/>
        </w:rPr>
        <w:t>和绥宁县关峡乡自来水厂运行时出现故障可能导致火灾环境衍生事件及污水事故排放事件。</w:t>
      </w:r>
    </w:p>
    <w:p w14:paraId="45AB8475">
      <w:pPr>
        <w:widowControl/>
        <w:rPr>
          <w:rFonts w:hint="eastAsia" w:hAnsi="宋体"/>
        </w:rPr>
      </w:pPr>
      <w:r>
        <w:rPr>
          <w:rFonts w:hint="eastAsia" w:hAnsi="宋体"/>
          <w:lang w:val="en-US" w:eastAsia="zh-CN"/>
        </w:rPr>
        <w:t>3</w:t>
      </w:r>
      <w:r>
        <w:rPr>
          <w:rFonts w:hint="eastAsia" w:hAnsi="宋体"/>
        </w:rPr>
        <w:t>.2.1.1火灾环境衍生事件情景分析</w:t>
      </w:r>
    </w:p>
    <w:p w14:paraId="345F6A18">
      <w:pPr>
        <w:ind w:firstLine="480"/>
        <w:jc w:val="left"/>
        <w:rPr>
          <w:rFonts w:hint="eastAsia"/>
          <w:color w:val="0000FF"/>
        </w:rPr>
      </w:pPr>
      <w:r>
        <w:rPr>
          <w:color w:val="000000"/>
        </w:rPr>
        <w:t>绥宁云峰新能源有限公司</w:t>
      </w:r>
      <w:r>
        <w:rPr>
          <w:rFonts w:hint="eastAsia"/>
          <w:color w:val="000000"/>
        </w:rPr>
        <w:t>、</w:t>
      </w:r>
      <w:r>
        <w:rPr>
          <w:color w:val="000000"/>
        </w:rPr>
        <w:t>绥宁县关峡鑫峰木制品厂</w:t>
      </w:r>
      <w:r>
        <w:rPr>
          <w:rFonts w:hint="eastAsia"/>
          <w:color w:val="000000"/>
        </w:rPr>
        <w:t>、</w:t>
      </w:r>
      <w:r>
        <w:rPr>
          <w:color w:val="000000"/>
        </w:rPr>
        <w:t>绥宁县友娣竹木制品厂</w:t>
      </w:r>
      <w:r>
        <w:rPr>
          <w:rFonts w:hint="eastAsia"/>
          <w:color w:val="000000"/>
          <w:lang w:eastAsia="zh-CN"/>
        </w:rPr>
        <w:t>、绥宁县骏峰建设工程有限公司</w:t>
      </w:r>
      <w:r>
        <w:rPr>
          <w:rFonts w:hint="eastAsia"/>
          <w:color w:val="000000"/>
        </w:rPr>
        <w:t>和绥宁县关峡乡自来水厂一旦发生火灾，其产生的废气、泄漏的物质及消防废水等都会对水源地保护区水质构成潜在的危害。</w:t>
      </w:r>
      <w:r>
        <w:rPr>
          <w:color w:val="000000"/>
        </w:rPr>
        <w:t>绥宁云峰新能源有限公司</w:t>
      </w:r>
      <w:r>
        <w:rPr>
          <w:rFonts w:hint="eastAsia"/>
          <w:color w:val="000000"/>
        </w:rPr>
        <w:t>、绥宁县关峡乡自来水厂设有应急事故池等应急设施，且</w:t>
      </w:r>
      <w:r>
        <w:rPr>
          <w:color w:val="000000"/>
        </w:rPr>
        <w:t>绥宁云峰新能源有限公司</w:t>
      </w:r>
      <w:r>
        <w:rPr>
          <w:rFonts w:hint="eastAsia"/>
          <w:color w:val="000000"/>
        </w:rPr>
        <w:t>、</w:t>
      </w:r>
      <w:r>
        <w:rPr>
          <w:color w:val="000000"/>
        </w:rPr>
        <w:t>绥宁县关峡鑫峰木制品厂</w:t>
      </w:r>
      <w:r>
        <w:rPr>
          <w:rFonts w:hint="eastAsia"/>
          <w:color w:val="000000"/>
        </w:rPr>
        <w:t>、绥宁县骏峰建设工程有限公司</w:t>
      </w:r>
      <w:r>
        <w:rPr>
          <w:rFonts w:hint="eastAsia"/>
          <w:color w:val="000000"/>
          <w:lang w:eastAsia="zh-CN"/>
        </w:rPr>
        <w:t>、</w:t>
      </w:r>
      <w:r>
        <w:rPr>
          <w:color w:val="000000"/>
        </w:rPr>
        <w:t>绥宁县友娣竹木制品厂</w:t>
      </w:r>
      <w:r>
        <w:rPr>
          <w:rFonts w:hint="eastAsia"/>
          <w:color w:val="000000"/>
        </w:rPr>
        <w:t>与兰溪有道路及山丘阻隔，不会对水源地保护区水质造成较大影响。</w:t>
      </w:r>
    </w:p>
    <w:p w14:paraId="5B20B56E">
      <w:pPr>
        <w:ind w:firstLine="480"/>
        <w:jc w:val="left"/>
        <w:rPr>
          <w:rFonts w:hint="eastAsia"/>
        </w:rPr>
      </w:pPr>
      <w:r>
        <w:rPr>
          <w:rFonts w:hint="eastAsia" w:hAnsi="宋体"/>
          <w:b/>
        </w:rPr>
        <w:t>环境风险防控措施完善要求：</w:t>
      </w:r>
      <w:r>
        <w:rPr>
          <w:rFonts w:hint="eastAsia" w:hAnsi="宋体"/>
        </w:rPr>
        <w:t>平时加强对生产原辅材料及设备等的维护和巡查，加强安全生产管理制度的执行力度和对职工的培训力度，减少安全生产事故发生的可能性。</w:t>
      </w:r>
    </w:p>
    <w:p w14:paraId="00D39D49">
      <w:pPr>
        <w:jc w:val="left"/>
        <w:rPr>
          <w:rFonts w:hint="eastAsia"/>
        </w:rPr>
      </w:pPr>
      <w:r>
        <w:rPr>
          <w:rFonts w:hint="eastAsia"/>
          <w:lang w:val="en-US" w:eastAsia="zh-CN"/>
        </w:rPr>
        <w:t>3</w:t>
      </w:r>
      <w:r>
        <w:rPr>
          <w:rFonts w:hint="eastAsia"/>
        </w:rPr>
        <w:t>.2.1.2污水事故排放事件</w:t>
      </w:r>
    </w:p>
    <w:p w14:paraId="5DE9AE1A">
      <w:pPr>
        <w:ind w:firstLine="480" w:firstLineChars="200"/>
      </w:pPr>
      <w:r>
        <w:rPr>
          <w:rFonts w:hint="eastAsia"/>
          <w:lang w:val="zh-CN"/>
        </w:rPr>
        <w:t>根据</w:t>
      </w:r>
      <w:r>
        <w:rPr>
          <w:rFonts w:hint="eastAsia"/>
        </w:rPr>
        <w:t>对绥宁县关峡乡自来水厂废水类型分析，其产生的生产废水主要为含SS、COD等的尾水。当公司设备设施发生故障时，导致尾水未经处理即排放，会对</w:t>
      </w:r>
      <w:r>
        <w:rPr>
          <w:rFonts w:hint="eastAsia" w:hAnsi="宋体"/>
        </w:rPr>
        <w:t>水源地保护区水质构成潜在的威胁</w:t>
      </w:r>
      <w:r>
        <w:rPr>
          <w:rFonts w:hint="eastAsia"/>
        </w:rPr>
        <w:t>，但水厂尾水排污口位于饮用水源保护区取水口下游约100m处，因而不会对饮用水源地水质造成影响。</w:t>
      </w:r>
      <w:r>
        <w:t xml:space="preserve"> </w:t>
      </w:r>
    </w:p>
    <w:p w14:paraId="74744D02">
      <w:pPr>
        <w:pStyle w:val="6"/>
      </w:pPr>
      <w:bookmarkStart w:id="217" w:name="_Toc7876"/>
      <w:r>
        <w:rPr>
          <w:rFonts w:hint="eastAsia"/>
          <w:lang w:val="en-US" w:eastAsia="zh-CN"/>
        </w:rPr>
        <w:t>3</w:t>
      </w:r>
      <w:r>
        <w:t>.2.</w:t>
      </w:r>
      <w:r>
        <w:rPr>
          <w:rFonts w:hint="eastAsia"/>
        </w:rPr>
        <w:t>2.</w:t>
      </w:r>
      <w:r>
        <w:t>2 流动风险源突发环境事件分析</w:t>
      </w:r>
      <w:bookmarkEnd w:id="217"/>
    </w:p>
    <w:p w14:paraId="5BC07606">
      <w:pPr>
        <w:ind w:firstLine="480" w:firstLineChars="200"/>
      </w:pPr>
      <w:bookmarkStart w:id="218" w:name="_Toc12851"/>
      <w:r>
        <w:t>根据现场调查，</w:t>
      </w:r>
      <w:r>
        <w:rPr>
          <w:rFonts w:hint="eastAsia"/>
        </w:rPr>
        <w:t>绥宁县关峡苗族乡兰溪水饮用水水源地保护区</w:t>
      </w:r>
      <w:r>
        <w:t>调查范围内涉及道路主要为省道2</w:t>
      </w:r>
      <w:r>
        <w:rPr>
          <w:rFonts w:hint="eastAsia"/>
        </w:rPr>
        <w:t>48</w:t>
      </w:r>
      <w:r>
        <w:t>（保护区内无道路路段）、大树至太安乡间便道（保护区内无道路路段）、龚家坪至插柳村乡间便桥（取水口上游1.63 Km处，仅可供人通行）、太安至文家村乡间便桥（取水口上游2.78 Km处，可供车辆通行）</w:t>
      </w:r>
      <w:r>
        <w:rPr>
          <w:rFonts w:hint="eastAsia"/>
        </w:rPr>
        <w:t>、取水口上游约15.22Km处S248跨越兰溪桥梁。兰溪与S248伴行路段为兰溪的汇水区域，所以</w:t>
      </w:r>
      <w:r>
        <w:t>陆路流动风险源突发环境事件主要为S2</w:t>
      </w:r>
      <w:r>
        <w:rPr>
          <w:rFonts w:hint="eastAsia"/>
        </w:rPr>
        <w:t>48</w:t>
      </w:r>
      <w:r>
        <w:t>发生交通事故时所导致的危化品、危险废物及其他影响饮用水安全物质泄漏事故，具体情况见表2-</w:t>
      </w:r>
      <w:r>
        <w:rPr>
          <w:rFonts w:hint="eastAsia"/>
        </w:rPr>
        <w:t>8</w:t>
      </w:r>
      <w:r>
        <w:t>。</w:t>
      </w:r>
    </w:p>
    <w:p w14:paraId="536C5413">
      <w:pPr>
        <w:ind w:firstLine="480" w:firstLineChars="200"/>
        <w:rPr>
          <w:b/>
          <w:bCs/>
          <w:sz w:val="21"/>
          <w:szCs w:val="21"/>
        </w:rPr>
      </w:pPr>
      <w:r>
        <w:t>运输危险化学品、危险废物及其他影响饮用水安全物质的车辆等交通工具发生交通事故或泄露，可</w:t>
      </w:r>
      <w:r>
        <w:rPr>
          <w:rFonts w:hint="eastAsia"/>
        </w:rPr>
        <w:t>能</w:t>
      </w:r>
      <w:r>
        <w:t>导致有毒有害</w:t>
      </w:r>
      <w:r>
        <w:rPr>
          <w:rFonts w:hint="eastAsia"/>
        </w:rPr>
        <w:t>物质</w:t>
      </w:r>
      <w:r>
        <w:t>流入水体或直接倾翻入河，从而导致水体突发污染事件，对取水口水质造成影响。</w:t>
      </w:r>
      <w:r>
        <w:rPr>
          <w:rFonts w:hint="eastAsia"/>
        </w:rPr>
        <w:t>现在还没有相关部门对省道S248运输的危险化学品进行统计分析。</w:t>
      </w:r>
    </w:p>
    <w:p w14:paraId="75DA4B27">
      <w:pPr>
        <w:ind w:firstLine="422" w:firstLineChars="200"/>
        <w:jc w:val="center"/>
      </w:pPr>
      <w:r>
        <w:rPr>
          <w:b/>
          <w:bCs/>
          <w:sz w:val="21"/>
          <w:szCs w:val="21"/>
        </w:rPr>
        <w:t>表</w:t>
      </w:r>
      <w:r>
        <w:rPr>
          <w:rFonts w:hint="eastAsia"/>
          <w:b/>
          <w:bCs/>
          <w:sz w:val="21"/>
          <w:szCs w:val="21"/>
        </w:rPr>
        <w:t>2-11</w:t>
      </w:r>
      <w:r>
        <w:rPr>
          <w:b/>
          <w:bCs/>
          <w:sz w:val="21"/>
          <w:szCs w:val="21"/>
        </w:rPr>
        <w:t xml:space="preserve">  饮用水源保护区</w:t>
      </w:r>
      <w:r>
        <w:rPr>
          <w:rFonts w:hint="eastAsia"/>
          <w:b/>
          <w:bCs/>
          <w:sz w:val="21"/>
          <w:szCs w:val="21"/>
        </w:rPr>
        <w:t>周边</w:t>
      </w:r>
      <w:r>
        <w:rPr>
          <w:b/>
          <w:bCs/>
          <w:sz w:val="21"/>
          <w:szCs w:val="21"/>
        </w:rPr>
        <w:t>涉及的道路</w:t>
      </w:r>
      <w:r>
        <w:rPr>
          <w:rFonts w:hint="eastAsia"/>
          <w:b/>
          <w:bCs/>
          <w:sz w:val="21"/>
          <w:szCs w:val="21"/>
        </w:rPr>
        <w:t>、桥梁</w:t>
      </w:r>
      <w:r>
        <w:rPr>
          <w:b/>
          <w:bCs/>
          <w:sz w:val="21"/>
          <w:szCs w:val="21"/>
        </w:rPr>
        <w:t>一览表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2277"/>
        <w:gridCol w:w="2595"/>
        <w:gridCol w:w="1116"/>
      </w:tblGrid>
      <w:tr w14:paraId="08C489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849" w:type="dxa"/>
            <w:tcBorders>
              <w:tl2br w:val="nil"/>
              <w:tr2bl w:val="nil"/>
            </w:tcBorders>
            <w:vAlign w:val="center"/>
          </w:tcPr>
          <w:p w14:paraId="5F8CCFB2">
            <w:pPr>
              <w:spacing w:line="240" w:lineRule="auto"/>
              <w:jc w:val="center"/>
              <w:rPr>
                <w:b/>
                <w:bCs/>
                <w:sz w:val="21"/>
                <w:szCs w:val="21"/>
              </w:rPr>
            </w:pPr>
            <w:r>
              <w:rPr>
                <w:b/>
                <w:bCs/>
                <w:sz w:val="21"/>
                <w:szCs w:val="21"/>
              </w:rPr>
              <w:t>水源保护区名称</w:t>
            </w:r>
          </w:p>
        </w:tc>
        <w:tc>
          <w:tcPr>
            <w:tcW w:w="2277" w:type="dxa"/>
            <w:tcBorders>
              <w:tl2br w:val="nil"/>
              <w:tr2bl w:val="nil"/>
            </w:tcBorders>
            <w:vAlign w:val="center"/>
          </w:tcPr>
          <w:p w14:paraId="637DADD1">
            <w:pPr>
              <w:spacing w:line="240" w:lineRule="auto"/>
              <w:jc w:val="center"/>
              <w:rPr>
                <w:b/>
                <w:bCs/>
                <w:sz w:val="21"/>
                <w:szCs w:val="21"/>
              </w:rPr>
            </w:pPr>
            <w:r>
              <w:rPr>
                <w:b/>
                <w:bCs/>
                <w:sz w:val="21"/>
                <w:szCs w:val="21"/>
              </w:rPr>
              <w:t>道路</w:t>
            </w:r>
            <w:r>
              <w:rPr>
                <w:rFonts w:hint="eastAsia"/>
                <w:b/>
                <w:bCs/>
                <w:sz w:val="21"/>
                <w:szCs w:val="21"/>
              </w:rPr>
              <w:t>/桥梁</w:t>
            </w:r>
          </w:p>
        </w:tc>
        <w:tc>
          <w:tcPr>
            <w:tcW w:w="2595" w:type="dxa"/>
            <w:tcBorders>
              <w:tl2br w:val="nil"/>
              <w:tr2bl w:val="nil"/>
            </w:tcBorders>
            <w:vAlign w:val="center"/>
          </w:tcPr>
          <w:p w14:paraId="4421E4DF">
            <w:pPr>
              <w:spacing w:line="240" w:lineRule="auto"/>
              <w:jc w:val="center"/>
              <w:rPr>
                <w:b/>
                <w:bCs/>
                <w:sz w:val="21"/>
                <w:szCs w:val="21"/>
              </w:rPr>
            </w:pPr>
            <w:r>
              <w:rPr>
                <w:b/>
                <w:bCs/>
                <w:sz w:val="21"/>
                <w:szCs w:val="21"/>
              </w:rPr>
              <w:t>相对位置</w:t>
            </w:r>
          </w:p>
        </w:tc>
        <w:tc>
          <w:tcPr>
            <w:tcW w:w="1116" w:type="dxa"/>
            <w:tcBorders>
              <w:tl2br w:val="nil"/>
              <w:tr2bl w:val="nil"/>
            </w:tcBorders>
            <w:vAlign w:val="center"/>
          </w:tcPr>
          <w:p w14:paraId="5E1B7C8B">
            <w:pPr>
              <w:spacing w:line="240" w:lineRule="auto"/>
              <w:jc w:val="center"/>
              <w:rPr>
                <w:b/>
                <w:bCs/>
                <w:sz w:val="21"/>
                <w:szCs w:val="21"/>
              </w:rPr>
            </w:pPr>
            <w:r>
              <w:rPr>
                <w:b/>
                <w:bCs/>
                <w:sz w:val="21"/>
                <w:szCs w:val="21"/>
              </w:rPr>
              <w:t>备注</w:t>
            </w:r>
          </w:p>
        </w:tc>
      </w:tr>
      <w:tr w14:paraId="199B6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849" w:type="dxa"/>
            <w:vMerge w:val="restart"/>
            <w:tcBorders>
              <w:tl2br w:val="nil"/>
              <w:tr2bl w:val="nil"/>
            </w:tcBorders>
            <w:vAlign w:val="center"/>
          </w:tcPr>
          <w:p w14:paraId="42A657DA">
            <w:pPr>
              <w:spacing w:line="240" w:lineRule="auto"/>
              <w:jc w:val="center"/>
              <w:rPr>
                <w:sz w:val="21"/>
                <w:szCs w:val="21"/>
              </w:rPr>
            </w:pPr>
            <w:r>
              <w:rPr>
                <w:rFonts w:hint="eastAsia"/>
                <w:sz w:val="21"/>
                <w:szCs w:val="21"/>
              </w:rPr>
              <w:t>绥宁县关峡苗族乡兰溪水饮用水水源地保护区</w:t>
            </w:r>
          </w:p>
        </w:tc>
        <w:tc>
          <w:tcPr>
            <w:tcW w:w="2277" w:type="dxa"/>
            <w:tcBorders>
              <w:tl2br w:val="nil"/>
              <w:tr2bl w:val="nil"/>
            </w:tcBorders>
            <w:vAlign w:val="center"/>
          </w:tcPr>
          <w:p w14:paraId="592CCA3A">
            <w:pPr>
              <w:spacing w:line="240" w:lineRule="auto"/>
              <w:jc w:val="center"/>
              <w:rPr>
                <w:sz w:val="21"/>
                <w:szCs w:val="21"/>
              </w:rPr>
            </w:pPr>
            <w:r>
              <w:rPr>
                <w:sz w:val="21"/>
                <w:szCs w:val="21"/>
              </w:rPr>
              <w:t>省道2</w:t>
            </w:r>
            <w:r>
              <w:rPr>
                <w:rFonts w:hint="eastAsia"/>
                <w:sz w:val="21"/>
                <w:szCs w:val="21"/>
              </w:rPr>
              <w:t>48</w:t>
            </w:r>
          </w:p>
        </w:tc>
        <w:tc>
          <w:tcPr>
            <w:tcW w:w="2595" w:type="dxa"/>
            <w:tcBorders>
              <w:tl2br w:val="nil"/>
              <w:tr2bl w:val="nil"/>
            </w:tcBorders>
            <w:vAlign w:val="center"/>
          </w:tcPr>
          <w:p w14:paraId="7A3EB45B">
            <w:pPr>
              <w:spacing w:line="240" w:lineRule="auto"/>
              <w:jc w:val="center"/>
              <w:rPr>
                <w:sz w:val="21"/>
                <w:szCs w:val="21"/>
              </w:rPr>
            </w:pPr>
            <w:r>
              <w:rPr>
                <w:sz w:val="21"/>
                <w:szCs w:val="21"/>
              </w:rPr>
              <w:t>于</w:t>
            </w:r>
            <w:r>
              <w:rPr>
                <w:rFonts w:hint="eastAsia"/>
                <w:sz w:val="21"/>
                <w:szCs w:val="21"/>
              </w:rPr>
              <w:t>关峡水厂南</w:t>
            </w:r>
            <w:r>
              <w:rPr>
                <w:sz w:val="21"/>
                <w:szCs w:val="21"/>
              </w:rPr>
              <w:t>岸50</w:t>
            </w:r>
            <w:r>
              <w:rPr>
                <w:rFonts w:hint="eastAsia"/>
                <w:sz w:val="21"/>
                <w:szCs w:val="21"/>
              </w:rPr>
              <w:t>—</w:t>
            </w:r>
            <w:r>
              <w:rPr>
                <w:sz w:val="21"/>
                <w:szCs w:val="21"/>
              </w:rPr>
              <w:t>100m处</w:t>
            </w:r>
            <w:r>
              <w:rPr>
                <w:rFonts w:hint="eastAsia"/>
                <w:sz w:val="21"/>
                <w:szCs w:val="21"/>
              </w:rPr>
              <w:t>，沿兰溪伴行，伴行距离约为20Km，在大干村处结束伴行</w:t>
            </w:r>
          </w:p>
        </w:tc>
        <w:tc>
          <w:tcPr>
            <w:tcW w:w="1116" w:type="dxa"/>
            <w:tcBorders>
              <w:tl2br w:val="nil"/>
              <w:tr2bl w:val="nil"/>
            </w:tcBorders>
            <w:vAlign w:val="center"/>
          </w:tcPr>
          <w:p w14:paraId="4CFD68D2">
            <w:pPr>
              <w:spacing w:line="240" w:lineRule="auto"/>
              <w:jc w:val="center"/>
              <w:rPr>
                <w:sz w:val="21"/>
                <w:szCs w:val="21"/>
              </w:rPr>
            </w:pPr>
            <w:r>
              <w:rPr>
                <w:sz w:val="21"/>
                <w:szCs w:val="21"/>
              </w:rPr>
              <w:t>陆路</w:t>
            </w:r>
          </w:p>
        </w:tc>
      </w:tr>
      <w:tr w14:paraId="413B6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849" w:type="dxa"/>
            <w:vMerge w:val="continue"/>
            <w:tcBorders>
              <w:tl2br w:val="nil"/>
              <w:tr2bl w:val="nil"/>
            </w:tcBorders>
            <w:vAlign w:val="center"/>
          </w:tcPr>
          <w:p w14:paraId="44A09733">
            <w:pPr>
              <w:spacing w:line="240" w:lineRule="auto"/>
              <w:jc w:val="center"/>
              <w:rPr>
                <w:sz w:val="21"/>
                <w:szCs w:val="21"/>
              </w:rPr>
            </w:pPr>
          </w:p>
        </w:tc>
        <w:tc>
          <w:tcPr>
            <w:tcW w:w="2277" w:type="dxa"/>
            <w:tcBorders>
              <w:tl2br w:val="nil"/>
              <w:tr2bl w:val="nil"/>
            </w:tcBorders>
            <w:vAlign w:val="center"/>
          </w:tcPr>
          <w:p w14:paraId="37DB67AA">
            <w:pPr>
              <w:spacing w:line="240" w:lineRule="auto"/>
              <w:jc w:val="center"/>
              <w:rPr>
                <w:sz w:val="21"/>
                <w:szCs w:val="21"/>
              </w:rPr>
            </w:pPr>
            <w:r>
              <w:rPr>
                <w:sz w:val="21"/>
                <w:szCs w:val="21"/>
              </w:rPr>
              <w:t>大树至太安乡间便道</w:t>
            </w:r>
          </w:p>
        </w:tc>
        <w:tc>
          <w:tcPr>
            <w:tcW w:w="2595" w:type="dxa"/>
            <w:tcBorders>
              <w:tl2br w:val="nil"/>
              <w:tr2bl w:val="nil"/>
            </w:tcBorders>
            <w:vAlign w:val="center"/>
          </w:tcPr>
          <w:p w14:paraId="52FD6D55">
            <w:pPr>
              <w:spacing w:line="240" w:lineRule="auto"/>
              <w:jc w:val="center"/>
              <w:rPr>
                <w:sz w:val="21"/>
                <w:szCs w:val="21"/>
              </w:rPr>
            </w:pPr>
            <w:r>
              <w:rPr>
                <w:rFonts w:hint="eastAsia"/>
                <w:sz w:val="21"/>
                <w:szCs w:val="21"/>
              </w:rPr>
              <w:t>保护区北岸</w:t>
            </w:r>
          </w:p>
        </w:tc>
        <w:tc>
          <w:tcPr>
            <w:tcW w:w="1116" w:type="dxa"/>
            <w:tcBorders>
              <w:tl2br w:val="nil"/>
              <w:tr2bl w:val="nil"/>
            </w:tcBorders>
            <w:vAlign w:val="center"/>
          </w:tcPr>
          <w:p w14:paraId="0AE4C854">
            <w:pPr>
              <w:spacing w:line="240" w:lineRule="auto"/>
              <w:jc w:val="center"/>
              <w:rPr>
                <w:sz w:val="21"/>
                <w:szCs w:val="21"/>
              </w:rPr>
            </w:pPr>
          </w:p>
        </w:tc>
      </w:tr>
      <w:tr w14:paraId="0874A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849" w:type="dxa"/>
            <w:vMerge w:val="continue"/>
            <w:tcBorders>
              <w:tl2br w:val="nil"/>
              <w:tr2bl w:val="nil"/>
            </w:tcBorders>
            <w:vAlign w:val="center"/>
          </w:tcPr>
          <w:p w14:paraId="75C41509">
            <w:pPr>
              <w:spacing w:line="240" w:lineRule="auto"/>
              <w:jc w:val="center"/>
              <w:rPr>
                <w:sz w:val="21"/>
                <w:szCs w:val="21"/>
              </w:rPr>
            </w:pPr>
          </w:p>
        </w:tc>
        <w:tc>
          <w:tcPr>
            <w:tcW w:w="2277" w:type="dxa"/>
            <w:tcBorders>
              <w:tl2br w:val="nil"/>
              <w:tr2bl w:val="nil"/>
            </w:tcBorders>
            <w:vAlign w:val="center"/>
          </w:tcPr>
          <w:p w14:paraId="1E765462">
            <w:pPr>
              <w:spacing w:line="240" w:lineRule="auto"/>
              <w:jc w:val="center"/>
              <w:rPr>
                <w:sz w:val="21"/>
                <w:szCs w:val="21"/>
              </w:rPr>
            </w:pPr>
            <w:r>
              <w:rPr>
                <w:sz w:val="21"/>
                <w:szCs w:val="21"/>
              </w:rPr>
              <w:t>龚家坪至插柳村乡间便桥</w:t>
            </w:r>
          </w:p>
        </w:tc>
        <w:tc>
          <w:tcPr>
            <w:tcW w:w="2595" w:type="dxa"/>
            <w:tcBorders>
              <w:tl2br w:val="nil"/>
              <w:tr2bl w:val="nil"/>
            </w:tcBorders>
            <w:vAlign w:val="center"/>
          </w:tcPr>
          <w:p w14:paraId="7082687F">
            <w:pPr>
              <w:spacing w:line="240" w:lineRule="auto"/>
              <w:jc w:val="center"/>
              <w:rPr>
                <w:rFonts w:hint="eastAsia"/>
                <w:sz w:val="21"/>
                <w:szCs w:val="21"/>
              </w:rPr>
            </w:pPr>
            <w:r>
              <w:rPr>
                <w:sz w:val="21"/>
                <w:szCs w:val="21"/>
              </w:rPr>
              <w:t>取水口上游1.63 Km处</w:t>
            </w:r>
          </w:p>
        </w:tc>
        <w:tc>
          <w:tcPr>
            <w:tcW w:w="1116" w:type="dxa"/>
            <w:tcBorders>
              <w:tl2br w:val="nil"/>
              <w:tr2bl w:val="nil"/>
            </w:tcBorders>
            <w:vAlign w:val="center"/>
          </w:tcPr>
          <w:p w14:paraId="2D39153E">
            <w:pPr>
              <w:spacing w:line="240" w:lineRule="auto"/>
              <w:jc w:val="center"/>
              <w:rPr>
                <w:sz w:val="21"/>
                <w:szCs w:val="21"/>
              </w:rPr>
            </w:pPr>
            <w:r>
              <w:rPr>
                <w:sz w:val="21"/>
                <w:szCs w:val="21"/>
              </w:rPr>
              <w:t>仅可供人通行</w:t>
            </w:r>
          </w:p>
        </w:tc>
      </w:tr>
      <w:tr w14:paraId="3A872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849" w:type="dxa"/>
            <w:vMerge w:val="continue"/>
            <w:tcBorders>
              <w:tl2br w:val="nil"/>
              <w:tr2bl w:val="nil"/>
            </w:tcBorders>
            <w:vAlign w:val="center"/>
          </w:tcPr>
          <w:p w14:paraId="22A9F744">
            <w:pPr>
              <w:spacing w:line="240" w:lineRule="auto"/>
              <w:jc w:val="center"/>
              <w:rPr>
                <w:sz w:val="21"/>
                <w:szCs w:val="21"/>
              </w:rPr>
            </w:pPr>
          </w:p>
        </w:tc>
        <w:tc>
          <w:tcPr>
            <w:tcW w:w="2277" w:type="dxa"/>
            <w:tcBorders>
              <w:tl2br w:val="nil"/>
              <w:tr2bl w:val="nil"/>
            </w:tcBorders>
            <w:vAlign w:val="center"/>
          </w:tcPr>
          <w:p w14:paraId="4D85CAF0">
            <w:pPr>
              <w:spacing w:line="240" w:lineRule="auto"/>
              <w:jc w:val="center"/>
              <w:rPr>
                <w:sz w:val="21"/>
                <w:szCs w:val="21"/>
              </w:rPr>
            </w:pPr>
            <w:r>
              <w:rPr>
                <w:sz w:val="21"/>
                <w:szCs w:val="21"/>
              </w:rPr>
              <w:t>太安至文家村乡间便桥</w:t>
            </w:r>
          </w:p>
        </w:tc>
        <w:tc>
          <w:tcPr>
            <w:tcW w:w="2595" w:type="dxa"/>
            <w:tcBorders>
              <w:tl2br w:val="nil"/>
              <w:tr2bl w:val="nil"/>
            </w:tcBorders>
            <w:vAlign w:val="center"/>
          </w:tcPr>
          <w:p w14:paraId="426A597C">
            <w:pPr>
              <w:spacing w:line="240" w:lineRule="auto"/>
              <w:jc w:val="center"/>
              <w:rPr>
                <w:rFonts w:hint="eastAsia"/>
                <w:sz w:val="21"/>
                <w:szCs w:val="21"/>
              </w:rPr>
            </w:pPr>
            <w:r>
              <w:rPr>
                <w:sz w:val="21"/>
                <w:szCs w:val="21"/>
              </w:rPr>
              <w:t>取水口上游2.78 Km处</w:t>
            </w:r>
          </w:p>
        </w:tc>
        <w:tc>
          <w:tcPr>
            <w:tcW w:w="1116" w:type="dxa"/>
            <w:tcBorders>
              <w:tl2br w:val="nil"/>
              <w:tr2bl w:val="nil"/>
            </w:tcBorders>
            <w:vAlign w:val="center"/>
          </w:tcPr>
          <w:p w14:paraId="197E3214">
            <w:pPr>
              <w:spacing w:line="240" w:lineRule="auto"/>
              <w:jc w:val="center"/>
              <w:rPr>
                <w:sz w:val="21"/>
                <w:szCs w:val="21"/>
              </w:rPr>
            </w:pPr>
            <w:r>
              <w:rPr>
                <w:sz w:val="21"/>
                <w:szCs w:val="21"/>
              </w:rPr>
              <w:t>可供车辆通行</w:t>
            </w:r>
          </w:p>
        </w:tc>
      </w:tr>
      <w:tr w14:paraId="2033A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849" w:type="dxa"/>
            <w:vMerge w:val="continue"/>
            <w:tcBorders>
              <w:tl2br w:val="nil"/>
              <w:tr2bl w:val="nil"/>
            </w:tcBorders>
            <w:vAlign w:val="center"/>
          </w:tcPr>
          <w:p w14:paraId="5EC90192">
            <w:pPr>
              <w:spacing w:line="240" w:lineRule="auto"/>
              <w:jc w:val="center"/>
              <w:rPr>
                <w:sz w:val="21"/>
                <w:szCs w:val="21"/>
              </w:rPr>
            </w:pPr>
          </w:p>
        </w:tc>
        <w:tc>
          <w:tcPr>
            <w:tcW w:w="2277" w:type="dxa"/>
            <w:tcBorders>
              <w:tl2br w:val="nil"/>
              <w:tr2bl w:val="nil"/>
            </w:tcBorders>
            <w:vAlign w:val="center"/>
          </w:tcPr>
          <w:p w14:paraId="48C7DBBC">
            <w:pPr>
              <w:spacing w:line="240" w:lineRule="auto"/>
              <w:jc w:val="center"/>
              <w:rPr>
                <w:sz w:val="21"/>
                <w:szCs w:val="21"/>
              </w:rPr>
            </w:pPr>
            <w:r>
              <w:rPr>
                <w:rFonts w:hint="eastAsia"/>
                <w:sz w:val="21"/>
                <w:szCs w:val="21"/>
              </w:rPr>
              <w:t>S248跨越兰溪桥梁</w:t>
            </w:r>
          </w:p>
        </w:tc>
        <w:tc>
          <w:tcPr>
            <w:tcW w:w="2595" w:type="dxa"/>
            <w:tcBorders>
              <w:tl2br w:val="nil"/>
              <w:tr2bl w:val="nil"/>
            </w:tcBorders>
            <w:vAlign w:val="center"/>
          </w:tcPr>
          <w:p w14:paraId="7D70FE0D">
            <w:pPr>
              <w:spacing w:line="240" w:lineRule="auto"/>
              <w:jc w:val="center"/>
              <w:rPr>
                <w:sz w:val="21"/>
                <w:szCs w:val="21"/>
              </w:rPr>
            </w:pPr>
            <w:r>
              <w:rPr>
                <w:rFonts w:hint="eastAsia"/>
                <w:sz w:val="21"/>
                <w:szCs w:val="21"/>
              </w:rPr>
              <w:t>取水口上游约15.22Km处</w:t>
            </w:r>
          </w:p>
        </w:tc>
        <w:tc>
          <w:tcPr>
            <w:tcW w:w="1116" w:type="dxa"/>
            <w:tcBorders>
              <w:tl2br w:val="nil"/>
              <w:tr2bl w:val="nil"/>
            </w:tcBorders>
            <w:vAlign w:val="center"/>
          </w:tcPr>
          <w:p w14:paraId="2DDBE120">
            <w:pPr>
              <w:spacing w:line="240" w:lineRule="auto"/>
              <w:jc w:val="center"/>
              <w:rPr>
                <w:sz w:val="21"/>
                <w:szCs w:val="21"/>
              </w:rPr>
            </w:pPr>
          </w:p>
        </w:tc>
      </w:tr>
    </w:tbl>
    <w:p w14:paraId="3E99437C">
      <w:pPr>
        <w:rPr>
          <w:rFonts w:hint="eastAsia" w:hAnsi="宋体"/>
          <w:b/>
        </w:rPr>
      </w:pPr>
      <w:r>
        <w:rPr>
          <w:rFonts w:hint="eastAsia"/>
        </w:rPr>
        <w:t xml:space="preserve">    </w:t>
      </w:r>
      <w:r>
        <w:rPr>
          <w:rFonts w:hint="eastAsia" w:hAnsi="宋体"/>
          <w:b/>
        </w:rPr>
        <w:t>本预案建议流动风险源防控措施完善要求：</w:t>
      </w:r>
    </w:p>
    <w:p w14:paraId="3330577D">
      <w:pPr>
        <w:numPr>
          <w:ilvl w:val="0"/>
          <w:numId w:val="9"/>
        </w:numPr>
        <w:ind w:firstLine="480" w:firstLineChars="200"/>
        <w:rPr>
          <w:rFonts w:hint="eastAsia" w:hAnsi="宋体"/>
          <w:bCs/>
        </w:rPr>
      </w:pPr>
      <w:r>
        <w:rPr>
          <w:rFonts w:hint="eastAsia" w:hAnsi="宋体"/>
          <w:bCs/>
        </w:rPr>
        <w:t>在S248与水源地一级、二级保护区距离相近处以及S248跨越兰溪桥梁处及与兰溪伴行较近处建立交通警示牌；</w:t>
      </w:r>
    </w:p>
    <w:p w14:paraId="08A0E0CA">
      <w:pPr>
        <w:numPr>
          <w:ilvl w:val="0"/>
          <w:numId w:val="9"/>
        </w:numPr>
        <w:ind w:firstLine="480" w:firstLineChars="200"/>
        <w:rPr>
          <w:rFonts w:hint="eastAsia"/>
          <w:bCs/>
        </w:rPr>
      </w:pPr>
      <w:r>
        <w:rPr>
          <w:rFonts w:hint="eastAsia" w:hAnsi="宋体"/>
          <w:bCs/>
        </w:rPr>
        <w:t>在S248与水源地一级、二级保护区距离相近处以及S248跨越兰溪桥梁处及与兰溪伴行较近处迎水侧建设防撞栏、导流沟、应急池等防控措施；</w:t>
      </w:r>
    </w:p>
    <w:p w14:paraId="6D830426">
      <w:pPr>
        <w:numPr>
          <w:ilvl w:val="0"/>
          <w:numId w:val="9"/>
        </w:numPr>
        <w:ind w:firstLine="480" w:firstLineChars="200"/>
        <w:rPr>
          <w:rFonts w:hint="eastAsia"/>
          <w:bCs/>
        </w:rPr>
      </w:pPr>
      <w:r>
        <w:rPr>
          <w:rFonts w:hint="eastAsia" w:hAnsi="宋体"/>
          <w:bCs/>
        </w:rPr>
        <w:t>相关部门应统计危险化学品运输企业通过S248运输情况，在S248建立监控摄像头。</w:t>
      </w:r>
    </w:p>
    <w:p w14:paraId="1FA3E9E4">
      <w:pPr>
        <w:ind w:firstLine="480" w:firstLineChars="200"/>
        <w:rPr>
          <w:rFonts w:hint="eastAsia"/>
        </w:rPr>
      </w:pPr>
      <w:r>
        <w:rPr>
          <w:rFonts w:hint="eastAsia" w:hAnsi="宋体"/>
          <w:bCs/>
        </w:rPr>
        <w:t>通过以上措施可尽量避免</w:t>
      </w:r>
      <w:r>
        <w:rPr>
          <w:rFonts w:hAnsi="宋体"/>
          <w:bCs/>
        </w:rPr>
        <w:t>运输危险化学品、危险废物及其他影响饮用水安全物质的车辆等交通工具发生交通事故或泄露，可</w:t>
      </w:r>
      <w:r>
        <w:rPr>
          <w:rFonts w:hint="eastAsia" w:hAnsi="宋体"/>
          <w:bCs/>
        </w:rPr>
        <w:t>能</w:t>
      </w:r>
      <w:r>
        <w:rPr>
          <w:rFonts w:hAnsi="宋体"/>
          <w:bCs/>
        </w:rPr>
        <w:t>导致有毒有害</w:t>
      </w:r>
      <w:r>
        <w:rPr>
          <w:rFonts w:hint="eastAsia" w:hAnsi="宋体"/>
          <w:bCs/>
        </w:rPr>
        <w:t>物质</w:t>
      </w:r>
      <w:r>
        <w:rPr>
          <w:rFonts w:hAnsi="宋体"/>
          <w:bCs/>
        </w:rPr>
        <w:t>流入</w:t>
      </w:r>
      <w:r>
        <w:rPr>
          <w:rFonts w:hint="eastAsia" w:hAnsi="宋体"/>
          <w:bCs/>
        </w:rPr>
        <w:t>水源地保护区的事件发生。</w:t>
      </w:r>
    </w:p>
    <w:p w14:paraId="6AFA56B0">
      <w:pPr>
        <w:pStyle w:val="6"/>
      </w:pPr>
      <w:r>
        <w:rPr>
          <w:rFonts w:hint="eastAsia"/>
          <w:lang w:val="en-US" w:eastAsia="zh-CN"/>
        </w:rPr>
        <w:t>3</w:t>
      </w:r>
      <w:r>
        <w:t>.2.</w:t>
      </w:r>
      <w:r>
        <w:rPr>
          <w:rFonts w:hint="eastAsia"/>
        </w:rPr>
        <w:t>2.3</w:t>
      </w:r>
      <w:r>
        <w:t xml:space="preserve"> 非点源风险源突发环境事件分析</w:t>
      </w:r>
      <w:bookmarkEnd w:id="218"/>
    </w:p>
    <w:p w14:paraId="6E8B9206">
      <w:r>
        <w:rPr>
          <w:rFonts w:hint="eastAsia"/>
          <w:lang w:val="en-US" w:eastAsia="zh-CN"/>
        </w:rPr>
        <w:t>3</w:t>
      </w:r>
      <w:r>
        <w:t>.2.</w:t>
      </w:r>
      <w:r>
        <w:rPr>
          <w:rFonts w:hint="eastAsia"/>
        </w:rPr>
        <w:t>2.</w:t>
      </w:r>
      <w:r>
        <w:t>3.1水源地保护区水质超标环境事件</w:t>
      </w:r>
    </w:p>
    <w:p w14:paraId="2EA9BFD9">
      <w:pPr>
        <w:ind w:firstLine="480" w:firstLineChars="200"/>
        <w:rPr>
          <w:rFonts w:hint="default" w:eastAsia="宋体"/>
          <w:b/>
          <w:bCs/>
          <w:color w:val="000000"/>
          <w:sz w:val="21"/>
          <w:szCs w:val="21"/>
          <w:lang w:val="en-US" w:eastAsia="zh-CN"/>
        </w:rPr>
      </w:pPr>
      <w:r>
        <w:rPr>
          <w:color w:val="000000"/>
        </w:rPr>
        <w:t>非点源环境风险事件指由于生活污水、农业污水、畜禽养殖污水等污水的排放导致水源地保护区水质超过《地表水环境质量标准》（GB3838-2002）相对应指标标准限值的环境事故，非点源环境事件基本类型如表</w:t>
      </w:r>
      <w:r>
        <w:rPr>
          <w:rFonts w:hint="eastAsia"/>
          <w:color w:val="000000"/>
        </w:rPr>
        <w:t>2-12</w:t>
      </w:r>
      <w:r>
        <w:rPr>
          <w:color w:val="000000"/>
        </w:rPr>
        <w:t>所示。</w:t>
      </w:r>
      <w:r>
        <w:rPr>
          <w:rFonts w:hint="eastAsia"/>
          <w:color w:val="000000"/>
          <w:u w:val="wave"/>
          <w:lang w:val="en-US" w:eastAsia="zh-CN"/>
        </w:rPr>
        <w:t>保护区内存在农田退水口，经纬度为E110.28695339，N26.58830935。</w:t>
      </w:r>
    </w:p>
    <w:p w14:paraId="751D36C4">
      <w:pPr>
        <w:ind w:firstLine="422" w:firstLineChars="200"/>
        <w:jc w:val="center"/>
        <w:rPr>
          <w:b/>
          <w:bCs/>
          <w:color w:val="000000"/>
          <w:sz w:val="21"/>
          <w:szCs w:val="21"/>
        </w:rPr>
      </w:pPr>
      <w:r>
        <w:rPr>
          <w:b/>
          <w:bCs/>
          <w:color w:val="000000"/>
          <w:sz w:val="21"/>
          <w:szCs w:val="21"/>
        </w:rPr>
        <w:t>表</w:t>
      </w:r>
      <w:r>
        <w:rPr>
          <w:rFonts w:hint="eastAsia"/>
          <w:b/>
          <w:bCs/>
          <w:color w:val="000000"/>
          <w:sz w:val="21"/>
          <w:szCs w:val="21"/>
        </w:rPr>
        <w:t>2-12</w:t>
      </w:r>
      <w:r>
        <w:rPr>
          <w:b/>
          <w:bCs/>
          <w:color w:val="000000"/>
          <w:sz w:val="21"/>
          <w:szCs w:val="21"/>
        </w:rPr>
        <w:t xml:space="preserve"> 非点源风险源环境事件一览表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48"/>
        <w:gridCol w:w="2764"/>
        <w:gridCol w:w="2762"/>
      </w:tblGrid>
      <w:tr w14:paraId="3EDB1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548" w:type="dxa"/>
            <w:tcBorders>
              <w:tl2br w:val="nil"/>
              <w:tr2bl w:val="nil"/>
            </w:tcBorders>
            <w:vAlign w:val="center"/>
          </w:tcPr>
          <w:p w14:paraId="34A03E3B">
            <w:pPr>
              <w:spacing w:line="240" w:lineRule="auto"/>
              <w:jc w:val="center"/>
              <w:rPr>
                <w:color w:val="000000"/>
                <w:sz w:val="21"/>
                <w:szCs w:val="21"/>
              </w:rPr>
            </w:pPr>
            <w:r>
              <w:rPr>
                <w:color w:val="000000"/>
                <w:sz w:val="21"/>
                <w:szCs w:val="21"/>
              </w:rPr>
              <w:t>事件名称</w:t>
            </w:r>
          </w:p>
        </w:tc>
        <w:tc>
          <w:tcPr>
            <w:tcW w:w="2764" w:type="dxa"/>
            <w:tcBorders>
              <w:tl2br w:val="nil"/>
              <w:tr2bl w:val="nil"/>
            </w:tcBorders>
            <w:vAlign w:val="center"/>
          </w:tcPr>
          <w:p w14:paraId="301ABD4F">
            <w:pPr>
              <w:spacing w:line="240" w:lineRule="auto"/>
              <w:jc w:val="center"/>
              <w:rPr>
                <w:color w:val="000000"/>
                <w:sz w:val="21"/>
                <w:szCs w:val="21"/>
              </w:rPr>
            </w:pPr>
            <w:r>
              <w:rPr>
                <w:color w:val="000000"/>
                <w:sz w:val="21"/>
                <w:szCs w:val="21"/>
              </w:rPr>
              <w:t>事件说明</w:t>
            </w:r>
          </w:p>
        </w:tc>
        <w:tc>
          <w:tcPr>
            <w:tcW w:w="2762" w:type="dxa"/>
            <w:tcBorders>
              <w:tl2br w:val="nil"/>
              <w:tr2bl w:val="nil"/>
            </w:tcBorders>
            <w:vAlign w:val="center"/>
          </w:tcPr>
          <w:p w14:paraId="2FE5E5BD">
            <w:pPr>
              <w:spacing w:line="240" w:lineRule="auto"/>
              <w:jc w:val="center"/>
              <w:rPr>
                <w:color w:val="000000"/>
                <w:sz w:val="21"/>
                <w:szCs w:val="21"/>
              </w:rPr>
            </w:pPr>
            <w:r>
              <w:rPr>
                <w:color w:val="000000"/>
                <w:sz w:val="21"/>
                <w:szCs w:val="21"/>
              </w:rPr>
              <w:t>事件地点</w:t>
            </w:r>
          </w:p>
        </w:tc>
      </w:tr>
      <w:tr w14:paraId="0E8F92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2548" w:type="dxa"/>
            <w:tcBorders>
              <w:tl2br w:val="nil"/>
              <w:tr2bl w:val="nil"/>
            </w:tcBorders>
            <w:vAlign w:val="center"/>
          </w:tcPr>
          <w:p w14:paraId="6F79FB3F">
            <w:pPr>
              <w:spacing w:line="240" w:lineRule="auto"/>
              <w:jc w:val="center"/>
              <w:rPr>
                <w:color w:val="000000"/>
                <w:sz w:val="21"/>
                <w:szCs w:val="21"/>
              </w:rPr>
            </w:pPr>
            <w:r>
              <w:rPr>
                <w:rFonts w:hint="eastAsia"/>
                <w:color w:val="000000"/>
                <w:sz w:val="21"/>
                <w:szCs w:val="21"/>
              </w:rPr>
              <w:t>绥宁县关峡苗族乡兰溪水饮用水水源地保护区</w:t>
            </w:r>
            <w:r>
              <w:rPr>
                <w:color w:val="000000"/>
                <w:sz w:val="21"/>
                <w:szCs w:val="21"/>
              </w:rPr>
              <w:t>水质超标环境事件</w:t>
            </w:r>
          </w:p>
        </w:tc>
        <w:tc>
          <w:tcPr>
            <w:tcW w:w="2764" w:type="dxa"/>
            <w:tcBorders>
              <w:tl2br w:val="nil"/>
              <w:tr2bl w:val="nil"/>
            </w:tcBorders>
            <w:vAlign w:val="center"/>
          </w:tcPr>
          <w:p w14:paraId="13925506">
            <w:pPr>
              <w:spacing w:line="240" w:lineRule="auto"/>
              <w:jc w:val="center"/>
              <w:rPr>
                <w:color w:val="000000"/>
                <w:sz w:val="21"/>
                <w:szCs w:val="21"/>
              </w:rPr>
            </w:pPr>
            <w:r>
              <w:rPr>
                <w:color w:val="000000"/>
                <w:sz w:val="21"/>
                <w:szCs w:val="21"/>
              </w:rPr>
              <w:t>在水质监测项目中，任意1个及以上项目超标3倍及以上的现象</w:t>
            </w:r>
          </w:p>
        </w:tc>
        <w:tc>
          <w:tcPr>
            <w:tcW w:w="2762" w:type="dxa"/>
            <w:tcBorders>
              <w:tl2br w:val="nil"/>
              <w:tr2bl w:val="nil"/>
            </w:tcBorders>
            <w:vAlign w:val="center"/>
          </w:tcPr>
          <w:p w14:paraId="49136637">
            <w:pPr>
              <w:spacing w:line="240" w:lineRule="auto"/>
              <w:jc w:val="center"/>
              <w:rPr>
                <w:rFonts w:hint="eastAsia"/>
                <w:color w:val="000000"/>
                <w:sz w:val="21"/>
                <w:szCs w:val="21"/>
              </w:rPr>
            </w:pPr>
            <w:r>
              <w:rPr>
                <w:rFonts w:hint="eastAsia"/>
                <w:color w:val="000000"/>
                <w:sz w:val="21"/>
                <w:szCs w:val="21"/>
              </w:rPr>
              <w:t>绥宁县关峡苗族乡兰溪水饮用水水源地保护区</w:t>
            </w:r>
          </w:p>
        </w:tc>
      </w:tr>
    </w:tbl>
    <w:p w14:paraId="2A8CCA14">
      <w:r>
        <w:rPr>
          <w:rFonts w:hint="eastAsia"/>
          <w:lang w:val="en-US" w:eastAsia="zh-CN"/>
        </w:rPr>
        <w:t>3</w:t>
      </w:r>
      <w:r>
        <w:t>.2.</w:t>
      </w:r>
      <w:r>
        <w:rPr>
          <w:rFonts w:hint="eastAsia"/>
        </w:rPr>
        <w:t>2.</w:t>
      </w:r>
      <w:r>
        <w:t>3.2暴雨引发的次生环境事件</w:t>
      </w:r>
    </w:p>
    <w:p w14:paraId="06E0EC88">
      <w:pPr>
        <w:ind w:firstLine="480" w:firstLineChars="200"/>
      </w:pPr>
      <w:r>
        <w:t>在发生暴雨时，可能造成固定环境风险源项的环境风险物质泄漏或非点源环境风险物质流失（农田面源、畜禽养殖污染源等），再经过周边地表径流进入水源地保护区，致使水源地保护区内水质造成污染，引起水环境事件。</w:t>
      </w:r>
    </w:p>
    <w:p w14:paraId="2DCC95AE">
      <w:pPr>
        <w:pStyle w:val="4"/>
      </w:pPr>
      <w:bookmarkStart w:id="219" w:name="_Toc471199922"/>
      <w:bookmarkStart w:id="220" w:name="_Toc25362_WPSOffice_Level2"/>
      <w:bookmarkStart w:id="221" w:name="_Toc492841619"/>
      <w:bookmarkStart w:id="222" w:name="_Toc29038"/>
      <w:bookmarkStart w:id="223" w:name="_Toc360"/>
      <w:bookmarkStart w:id="224" w:name="_Toc23610"/>
      <w:r>
        <w:rPr>
          <w:rFonts w:hint="eastAsia"/>
          <w:lang w:val="en-US" w:eastAsia="zh-CN"/>
        </w:rPr>
        <w:t>3</w:t>
      </w:r>
      <w:r>
        <w:t xml:space="preserve">.3 </w:t>
      </w:r>
      <w:bookmarkEnd w:id="219"/>
      <w:r>
        <w:t>环境风险评估</w:t>
      </w:r>
      <w:bookmarkEnd w:id="220"/>
      <w:bookmarkEnd w:id="221"/>
      <w:bookmarkEnd w:id="222"/>
      <w:bookmarkEnd w:id="223"/>
      <w:bookmarkEnd w:id="224"/>
    </w:p>
    <w:p w14:paraId="341C3BD7">
      <w:pPr>
        <w:pStyle w:val="5"/>
        <w:rPr>
          <w:rStyle w:val="33"/>
          <w:b w:val="0"/>
          <w:sz w:val="24"/>
          <w:szCs w:val="28"/>
        </w:rPr>
      </w:pPr>
      <w:bookmarkStart w:id="225" w:name="_Toc390364137"/>
      <w:bookmarkStart w:id="226" w:name="_Toc26535"/>
      <w:bookmarkStart w:id="227" w:name="_Toc24406"/>
      <w:r>
        <w:rPr>
          <w:rStyle w:val="33"/>
          <w:rFonts w:hint="eastAsia"/>
          <w:b w:val="0"/>
          <w:sz w:val="24"/>
          <w:szCs w:val="28"/>
          <w:lang w:val="en-US"/>
        </w:rPr>
        <w:t>3</w:t>
      </w:r>
      <w:r>
        <w:rPr>
          <w:rStyle w:val="33"/>
          <w:b w:val="0"/>
          <w:sz w:val="24"/>
          <w:szCs w:val="28"/>
        </w:rPr>
        <w:t xml:space="preserve">.3.1 </w:t>
      </w:r>
      <w:bookmarkEnd w:id="225"/>
      <w:r>
        <w:rPr>
          <w:rStyle w:val="33"/>
          <w:b w:val="0"/>
          <w:sz w:val="24"/>
          <w:szCs w:val="28"/>
        </w:rPr>
        <w:t>水质现状评价</w:t>
      </w:r>
      <w:bookmarkEnd w:id="226"/>
      <w:bookmarkEnd w:id="227"/>
    </w:p>
    <w:p w14:paraId="7832BED0">
      <w:pPr>
        <w:pStyle w:val="17"/>
        <w:adjustRightInd w:val="0"/>
        <w:snapToGrid w:val="0"/>
        <w:spacing w:before="0" w:beforeAutospacing="0" w:after="0" w:afterAutospacing="0"/>
        <w:ind w:firstLine="480" w:firstLineChars="200"/>
        <w:jc w:val="both"/>
        <w:rPr>
          <w:rFonts w:hint="eastAsia"/>
        </w:rPr>
      </w:pPr>
      <w:bookmarkStart w:id="228" w:name="_Toc386028150"/>
      <w:bookmarkStart w:id="229" w:name="_Toc390364138"/>
      <w:r>
        <w:rPr>
          <w:shd w:val="clear" w:color="auto" w:fill="FFFFFF"/>
        </w:rPr>
        <w:t>水质现状评价根据《地表水环境质量评价办法(试行）》（2011年3月）规定</w:t>
      </w:r>
      <w:r>
        <w:rPr>
          <w:rFonts w:hint="eastAsia"/>
          <w:shd w:val="clear" w:color="auto" w:fill="FFFFFF"/>
        </w:rPr>
        <w:t>和</w:t>
      </w:r>
      <w:r>
        <w:rPr>
          <w:rFonts w:hint="eastAsia"/>
        </w:rPr>
        <w:t>邵阳市生态环境局绥宁分局2022年5月委托广电计量检测（湖南有限公司）对关峡水厂取水口断面的</w:t>
      </w:r>
      <w:r>
        <w:rPr>
          <w:shd w:val="clear" w:color="auto" w:fill="FFFFFF"/>
        </w:rPr>
        <w:t>10</w:t>
      </w:r>
      <w:r>
        <w:rPr>
          <w:rFonts w:hint="eastAsia"/>
          <w:shd w:val="clear" w:color="auto" w:fill="FFFFFF"/>
        </w:rPr>
        <w:t>9</w:t>
      </w:r>
      <w:r>
        <w:rPr>
          <w:shd w:val="clear" w:color="auto" w:fill="FFFFFF"/>
        </w:rPr>
        <w:t>项检测分析</w:t>
      </w:r>
      <w:r>
        <w:rPr>
          <w:rFonts w:hint="eastAsia"/>
        </w:rPr>
        <w:t>结果进行。监测统计结果见下表。</w:t>
      </w:r>
    </w:p>
    <w:p w14:paraId="7BD798F6">
      <w:pPr>
        <w:pStyle w:val="17"/>
        <w:adjustRightInd w:val="0"/>
        <w:snapToGrid w:val="0"/>
        <w:spacing w:before="0" w:beforeAutospacing="0" w:after="0" w:afterAutospacing="0"/>
        <w:jc w:val="center"/>
        <w:rPr>
          <w:rFonts w:hint="eastAsia"/>
        </w:rPr>
      </w:pPr>
      <w:r>
        <w:rPr>
          <w:rFonts w:hint="eastAsia"/>
          <w:b/>
          <w:bCs/>
          <w:sz w:val="21"/>
          <w:szCs w:val="21"/>
        </w:rPr>
        <w:t>表2-13水环境现状监测结果统计表（单位：mg/L）</w:t>
      </w:r>
    </w:p>
    <w:tbl>
      <w:tblPr>
        <w:tblStyle w:val="20"/>
        <w:tblW w:w="84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
        <w:gridCol w:w="2252"/>
        <w:gridCol w:w="1271"/>
        <w:gridCol w:w="73"/>
        <w:gridCol w:w="1770"/>
        <w:gridCol w:w="1122"/>
        <w:gridCol w:w="1111"/>
      </w:tblGrid>
      <w:tr w14:paraId="2BB48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6" w:type="dxa"/>
            <w:tcBorders>
              <w:top w:val="single" w:color="auto" w:sz="12" w:space="0"/>
            </w:tcBorders>
            <w:vAlign w:val="center"/>
          </w:tcPr>
          <w:p w14:paraId="5519B29D">
            <w:pPr>
              <w:spacing w:line="240" w:lineRule="auto"/>
              <w:jc w:val="center"/>
              <w:rPr>
                <w:rFonts w:hint="eastAsia"/>
                <w:b/>
                <w:bCs/>
                <w:sz w:val="21"/>
                <w:szCs w:val="21"/>
              </w:rPr>
            </w:pPr>
            <w:r>
              <w:rPr>
                <w:rFonts w:hint="eastAsia"/>
                <w:b/>
                <w:bCs/>
                <w:sz w:val="21"/>
                <w:szCs w:val="21"/>
              </w:rPr>
              <w:t>监测</w:t>
            </w:r>
          </w:p>
          <w:p w14:paraId="12A34402">
            <w:pPr>
              <w:spacing w:line="240" w:lineRule="auto"/>
              <w:jc w:val="center"/>
              <w:rPr>
                <w:rFonts w:hint="eastAsia"/>
                <w:b/>
                <w:bCs/>
                <w:sz w:val="21"/>
                <w:szCs w:val="21"/>
              </w:rPr>
            </w:pPr>
            <w:r>
              <w:rPr>
                <w:rFonts w:hint="eastAsia"/>
                <w:b/>
                <w:bCs/>
                <w:sz w:val="21"/>
                <w:szCs w:val="21"/>
              </w:rPr>
              <w:t>断面</w:t>
            </w:r>
          </w:p>
        </w:tc>
        <w:tc>
          <w:tcPr>
            <w:tcW w:w="2252" w:type="dxa"/>
            <w:tcBorders>
              <w:top w:val="single" w:color="auto" w:sz="12" w:space="0"/>
            </w:tcBorders>
            <w:vAlign w:val="center"/>
          </w:tcPr>
          <w:p w14:paraId="53695593">
            <w:pPr>
              <w:spacing w:line="240" w:lineRule="auto"/>
              <w:jc w:val="center"/>
              <w:rPr>
                <w:rFonts w:hint="eastAsia"/>
                <w:b/>
                <w:bCs/>
                <w:sz w:val="21"/>
                <w:szCs w:val="21"/>
              </w:rPr>
            </w:pPr>
            <w:r>
              <w:rPr>
                <w:rFonts w:hint="eastAsia"/>
                <w:b/>
                <w:bCs/>
                <w:sz w:val="21"/>
                <w:szCs w:val="21"/>
              </w:rPr>
              <w:t>监测</w:t>
            </w:r>
          </w:p>
          <w:p w14:paraId="11590FD3">
            <w:pPr>
              <w:spacing w:line="240" w:lineRule="auto"/>
              <w:jc w:val="center"/>
              <w:rPr>
                <w:rFonts w:hint="eastAsia"/>
                <w:b/>
                <w:bCs/>
                <w:sz w:val="21"/>
                <w:szCs w:val="21"/>
              </w:rPr>
            </w:pPr>
            <w:r>
              <w:rPr>
                <w:rFonts w:hint="eastAsia"/>
                <w:b/>
                <w:bCs/>
                <w:sz w:val="21"/>
                <w:szCs w:val="21"/>
              </w:rPr>
              <w:t>因子</w:t>
            </w:r>
          </w:p>
        </w:tc>
        <w:tc>
          <w:tcPr>
            <w:tcW w:w="1344" w:type="dxa"/>
            <w:gridSpan w:val="2"/>
            <w:tcBorders>
              <w:top w:val="single" w:color="auto" w:sz="12" w:space="0"/>
            </w:tcBorders>
            <w:vAlign w:val="center"/>
          </w:tcPr>
          <w:p w14:paraId="1AA2E841">
            <w:pPr>
              <w:spacing w:line="240" w:lineRule="auto"/>
              <w:jc w:val="center"/>
              <w:rPr>
                <w:rFonts w:hint="eastAsia"/>
                <w:b/>
                <w:bCs/>
                <w:sz w:val="21"/>
                <w:szCs w:val="21"/>
              </w:rPr>
            </w:pPr>
            <w:r>
              <w:rPr>
                <w:rFonts w:hint="eastAsia"/>
                <w:b/>
                <w:bCs/>
                <w:sz w:val="21"/>
                <w:szCs w:val="21"/>
              </w:rPr>
              <w:t>监测值</w:t>
            </w:r>
          </w:p>
        </w:tc>
        <w:tc>
          <w:tcPr>
            <w:tcW w:w="1770" w:type="dxa"/>
            <w:tcBorders>
              <w:top w:val="single" w:color="auto" w:sz="12" w:space="0"/>
            </w:tcBorders>
            <w:vAlign w:val="center"/>
          </w:tcPr>
          <w:p w14:paraId="7E798E67">
            <w:pPr>
              <w:spacing w:line="240" w:lineRule="auto"/>
              <w:jc w:val="center"/>
              <w:rPr>
                <w:rFonts w:hint="eastAsia"/>
                <w:b/>
                <w:bCs/>
                <w:sz w:val="21"/>
                <w:szCs w:val="21"/>
              </w:rPr>
            </w:pPr>
            <w:r>
              <w:rPr>
                <w:rFonts w:hint="eastAsia"/>
                <w:b/>
                <w:bCs/>
                <w:sz w:val="21"/>
                <w:szCs w:val="21"/>
              </w:rPr>
              <w:t>П类水质标准</w:t>
            </w:r>
          </w:p>
        </w:tc>
        <w:tc>
          <w:tcPr>
            <w:tcW w:w="1122" w:type="dxa"/>
            <w:tcBorders>
              <w:top w:val="single" w:color="auto" w:sz="12" w:space="0"/>
            </w:tcBorders>
            <w:vAlign w:val="center"/>
          </w:tcPr>
          <w:p w14:paraId="3218EBD7">
            <w:pPr>
              <w:spacing w:line="240" w:lineRule="auto"/>
              <w:jc w:val="center"/>
              <w:rPr>
                <w:rFonts w:hint="eastAsia"/>
                <w:b/>
                <w:bCs/>
                <w:sz w:val="21"/>
                <w:szCs w:val="21"/>
              </w:rPr>
            </w:pPr>
            <w:r>
              <w:rPr>
                <w:rFonts w:hint="eastAsia"/>
                <w:b/>
                <w:bCs/>
                <w:sz w:val="21"/>
                <w:szCs w:val="21"/>
              </w:rPr>
              <w:t>超标倍数</w:t>
            </w:r>
          </w:p>
        </w:tc>
        <w:tc>
          <w:tcPr>
            <w:tcW w:w="1111" w:type="dxa"/>
            <w:tcBorders>
              <w:top w:val="single" w:color="auto" w:sz="12" w:space="0"/>
            </w:tcBorders>
            <w:vAlign w:val="center"/>
          </w:tcPr>
          <w:p w14:paraId="1457E407">
            <w:pPr>
              <w:spacing w:line="240" w:lineRule="auto"/>
              <w:jc w:val="center"/>
              <w:rPr>
                <w:rFonts w:hint="eastAsia"/>
                <w:b/>
                <w:bCs/>
                <w:sz w:val="21"/>
                <w:szCs w:val="21"/>
              </w:rPr>
            </w:pPr>
            <w:r>
              <w:rPr>
                <w:rFonts w:hint="eastAsia"/>
                <w:b/>
                <w:bCs/>
                <w:sz w:val="21"/>
                <w:szCs w:val="21"/>
              </w:rPr>
              <w:t>是否超标</w:t>
            </w:r>
          </w:p>
        </w:tc>
      </w:tr>
      <w:tr w14:paraId="69F07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restart"/>
            <w:shd w:val="clear" w:color="auto" w:fill="auto"/>
            <w:vAlign w:val="center"/>
          </w:tcPr>
          <w:p w14:paraId="63C00105">
            <w:pPr>
              <w:spacing w:line="240" w:lineRule="auto"/>
              <w:jc w:val="center"/>
              <w:rPr>
                <w:rFonts w:hint="eastAsia"/>
                <w:sz w:val="21"/>
                <w:szCs w:val="21"/>
              </w:rPr>
            </w:pPr>
          </w:p>
          <w:p w14:paraId="6E0F8D98">
            <w:pPr>
              <w:spacing w:line="240" w:lineRule="auto"/>
              <w:jc w:val="center"/>
              <w:rPr>
                <w:rFonts w:hint="eastAsia"/>
                <w:sz w:val="21"/>
                <w:szCs w:val="21"/>
              </w:rPr>
            </w:pPr>
          </w:p>
          <w:p w14:paraId="7A89E029">
            <w:pPr>
              <w:spacing w:line="240" w:lineRule="auto"/>
              <w:jc w:val="center"/>
              <w:rPr>
                <w:rFonts w:hint="eastAsia"/>
                <w:sz w:val="21"/>
                <w:szCs w:val="21"/>
              </w:rPr>
            </w:pPr>
          </w:p>
          <w:p w14:paraId="61646F94">
            <w:pPr>
              <w:spacing w:line="240" w:lineRule="auto"/>
              <w:jc w:val="center"/>
              <w:rPr>
                <w:rFonts w:hint="eastAsia"/>
                <w:sz w:val="21"/>
                <w:szCs w:val="21"/>
              </w:rPr>
            </w:pPr>
          </w:p>
          <w:p w14:paraId="1131F37E">
            <w:pPr>
              <w:spacing w:line="240" w:lineRule="auto"/>
              <w:jc w:val="center"/>
              <w:rPr>
                <w:rFonts w:hint="eastAsia"/>
                <w:sz w:val="21"/>
                <w:szCs w:val="21"/>
              </w:rPr>
            </w:pPr>
            <w:r>
              <w:rPr>
                <w:rFonts w:hint="eastAsia"/>
                <w:sz w:val="21"/>
                <w:szCs w:val="21"/>
              </w:rPr>
              <w:t>绥宁县关峡水厂取水口</w:t>
            </w:r>
          </w:p>
          <w:p w14:paraId="03EFF5CD">
            <w:pPr>
              <w:spacing w:line="240" w:lineRule="auto"/>
              <w:jc w:val="center"/>
              <w:rPr>
                <w:rFonts w:hint="eastAsia"/>
                <w:sz w:val="21"/>
                <w:szCs w:val="21"/>
              </w:rPr>
            </w:pPr>
          </w:p>
          <w:p w14:paraId="6F2E4104">
            <w:pPr>
              <w:spacing w:line="240" w:lineRule="auto"/>
              <w:jc w:val="center"/>
              <w:rPr>
                <w:rFonts w:hint="eastAsia"/>
                <w:sz w:val="21"/>
                <w:szCs w:val="21"/>
              </w:rPr>
            </w:pPr>
          </w:p>
          <w:p w14:paraId="54269898">
            <w:pPr>
              <w:spacing w:line="240" w:lineRule="auto"/>
              <w:jc w:val="center"/>
              <w:rPr>
                <w:rFonts w:hint="eastAsia"/>
                <w:sz w:val="21"/>
                <w:szCs w:val="21"/>
              </w:rPr>
            </w:pPr>
          </w:p>
          <w:p w14:paraId="7194387C">
            <w:pPr>
              <w:spacing w:line="240" w:lineRule="auto"/>
              <w:jc w:val="center"/>
              <w:rPr>
                <w:rFonts w:hint="eastAsia"/>
                <w:sz w:val="21"/>
                <w:szCs w:val="21"/>
              </w:rPr>
            </w:pPr>
          </w:p>
          <w:p w14:paraId="1244D5AC">
            <w:pPr>
              <w:spacing w:line="240" w:lineRule="auto"/>
              <w:jc w:val="center"/>
              <w:rPr>
                <w:rFonts w:hint="eastAsia"/>
                <w:sz w:val="21"/>
                <w:szCs w:val="21"/>
              </w:rPr>
            </w:pPr>
          </w:p>
          <w:p w14:paraId="4DBC4E0B">
            <w:pPr>
              <w:spacing w:line="240" w:lineRule="auto"/>
              <w:jc w:val="center"/>
              <w:rPr>
                <w:rFonts w:hint="eastAsia"/>
                <w:sz w:val="21"/>
                <w:szCs w:val="21"/>
              </w:rPr>
            </w:pPr>
          </w:p>
          <w:p w14:paraId="4540F6ED">
            <w:pPr>
              <w:spacing w:line="240" w:lineRule="auto"/>
              <w:jc w:val="center"/>
              <w:rPr>
                <w:rFonts w:hint="eastAsia"/>
                <w:sz w:val="21"/>
                <w:szCs w:val="21"/>
              </w:rPr>
            </w:pPr>
          </w:p>
          <w:p w14:paraId="6B8EF1E5">
            <w:pPr>
              <w:spacing w:line="240" w:lineRule="auto"/>
              <w:jc w:val="center"/>
              <w:rPr>
                <w:rFonts w:hint="eastAsia"/>
                <w:sz w:val="21"/>
                <w:szCs w:val="21"/>
              </w:rPr>
            </w:pPr>
          </w:p>
          <w:p w14:paraId="026487A1">
            <w:pPr>
              <w:spacing w:line="240" w:lineRule="auto"/>
              <w:jc w:val="center"/>
              <w:rPr>
                <w:rFonts w:hint="eastAsia"/>
                <w:sz w:val="21"/>
                <w:szCs w:val="21"/>
              </w:rPr>
            </w:pPr>
          </w:p>
          <w:p w14:paraId="7BD25BAD">
            <w:pPr>
              <w:spacing w:line="240" w:lineRule="auto"/>
              <w:jc w:val="center"/>
              <w:rPr>
                <w:rFonts w:hint="eastAsia"/>
                <w:sz w:val="21"/>
                <w:szCs w:val="21"/>
              </w:rPr>
            </w:pPr>
          </w:p>
          <w:p w14:paraId="0338DA01">
            <w:pPr>
              <w:spacing w:line="240" w:lineRule="auto"/>
              <w:jc w:val="center"/>
              <w:rPr>
                <w:rFonts w:hint="eastAsia"/>
                <w:sz w:val="21"/>
                <w:szCs w:val="21"/>
              </w:rPr>
            </w:pPr>
          </w:p>
          <w:p w14:paraId="5CB99E69">
            <w:pPr>
              <w:spacing w:line="240" w:lineRule="auto"/>
              <w:jc w:val="center"/>
              <w:rPr>
                <w:rFonts w:hint="eastAsia"/>
                <w:sz w:val="21"/>
                <w:szCs w:val="21"/>
              </w:rPr>
            </w:pPr>
          </w:p>
          <w:p w14:paraId="7FEF3904">
            <w:pPr>
              <w:spacing w:line="240" w:lineRule="auto"/>
              <w:jc w:val="center"/>
              <w:rPr>
                <w:rFonts w:hint="eastAsia"/>
                <w:sz w:val="21"/>
                <w:szCs w:val="21"/>
              </w:rPr>
            </w:pPr>
          </w:p>
          <w:p w14:paraId="4DD4DD20">
            <w:pPr>
              <w:spacing w:line="240" w:lineRule="auto"/>
              <w:jc w:val="center"/>
              <w:rPr>
                <w:rFonts w:hint="eastAsia"/>
                <w:sz w:val="21"/>
                <w:szCs w:val="21"/>
              </w:rPr>
            </w:pPr>
          </w:p>
          <w:p w14:paraId="4B3C2B96">
            <w:pPr>
              <w:spacing w:line="240" w:lineRule="auto"/>
              <w:jc w:val="center"/>
              <w:rPr>
                <w:rFonts w:hint="eastAsia"/>
                <w:sz w:val="21"/>
                <w:szCs w:val="21"/>
              </w:rPr>
            </w:pPr>
          </w:p>
          <w:p w14:paraId="6976848F">
            <w:pPr>
              <w:spacing w:line="240" w:lineRule="auto"/>
              <w:jc w:val="center"/>
              <w:rPr>
                <w:rFonts w:hint="eastAsia"/>
                <w:sz w:val="21"/>
                <w:szCs w:val="21"/>
              </w:rPr>
            </w:pPr>
          </w:p>
          <w:p w14:paraId="63A7FEE9">
            <w:pPr>
              <w:spacing w:line="240" w:lineRule="auto"/>
              <w:jc w:val="center"/>
              <w:rPr>
                <w:rFonts w:hint="eastAsia"/>
                <w:sz w:val="21"/>
                <w:szCs w:val="21"/>
              </w:rPr>
            </w:pPr>
          </w:p>
          <w:p w14:paraId="6289B6E3">
            <w:pPr>
              <w:spacing w:line="240" w:lineRule="auto"/>
              <w:jc w:val="center"/>
              <w:rPr>
                <w:rFonts w:hint="eastAsia"/>
                <w:sz w:val="21"/>
                <w:szCs w:val="21"/>
              </w:rPr>
            </w:pPr>
          </w:p>
          <w:p w14:paraId="7C687E0C">
            <w:pPr>
              <w:spacing w:line="240" w:lineRule="auto"/>
              <w:jc w:val="center"/>
              <w:rPr>
                <w:rFonts w:hint="eastAsia"/>
                <w:sz w:val="21"/>
                <w:szCs w:val="21"/>
              </w:rPr>
            </w:pPr>
            <w:r>
              <w:rPr>
                <w:rFonts w:hint="eastAsia"/>
                <w:sz w:val="21"/>
                <w:szCs w:val="21"/>
              </w:rPr>
              <w:t>绥宁县关峡水厂取水口</w:t>
            </w:r>
          </w:p>
          <w:p w14:paraId="4D7C9901">
            <w:pPr>
              <w:spacing w:line="240" w:lineRule="auto"/>
              <w:jc w:val="center"/>
              <w:rPr>
                <w:rFonts w:hint="eastAsia"/>
                <w:sz w:val="21"/>
                <w:szCs w:val="21"/>
              </w:rPr>
            </w:pPr>
          </w:p>
          <w:p w14:paraId="78F0D727">
            <w:pPr>
              <w:spacing w:line="240" w:lineRule="auto"/>
              <w:jc w:val="center"/>
              <w:rPr>
                <w:rFonts w:hint="eastAsia"/>
                <w:sz w:val="21"/>
                <w:szCs w:val="21"/>
              </w:rPr>
            </w:pPr>
          </w:p>
          <w:p w14:paraId="6178240B">
            <w:pPr>
              <w:spacing w:line="240" w:lineRule="auto"/>
              <w:jc w:val="center"/>
              <w:rPr>
                <w:rFonts w:hint="eastAsia"/>
                <w:sz w:val="21"/>
                <w:szCs w:val="21"/>
              </w:rPr>
            </w:pPr>
          </w:p>
          <w:p w14:paraId="73FF8267">
            <w:pPr>
              <w:spacing w:line="240" w:lineRule="auto"/>
              <w:jc w:val="center"/>
              <w:rPr>
                <w:rFonts w:hint="eastAsia"/>
                <w:sz w:val="21"/>
                <w:szCs w:val="21"/>
              </w:rPr>
            </w:pPr>
          </w:p>
          <w:p w14:paraId="59AC89B8">
            <w:pPr>
              <w:spacing w:line="240" w:lineRule="auto"/>
              <w:jc w:val="center"/>
              <w:rPr>
                <w:rFonts w:hint="eastAsia"/>
                <w:sz w:val="21"/>
                <w:szCs w:val="21"/>
              </w:rPr>
            </w:pPr>
          </w:p>
          <w:p w14:paraId="0349D32D">
            <w:pPr>
              <w:spacing w:line="240" w:lineRule="auto"/>
              <w:jc w:val="center"/>
              <w:rPr>
                <w:rFonts w:hint="eastAsia"/>
                <w:sz w:val="21"/>
                <w:szCs w:val="21"/>
              </w:rPr>
            </w:pPr>
          </w:p>
          <w:p w14:paraId="04010CAE">
            <w:pPr>
              <w:spacing w:line="240" w:lineRule="auto"/>
              <w:jc w:val="center"/>
              <w:rPr>
                <w:rFonts w:hint="eastAsia"/>
                <w:sz w:val="21"/>
                <w:szCs w:val="21"/>
              </w:rPr>
            </w:pPr>
          </w:p>
          <w:p w14:paraId="2BB85ACB">
            <w:pPr>
              <w:spacing w:line="240" w:lineRule="auto"/>
              <w:jc w:val="center"/>
              <w:rPr>
                <w:rFonts w:hint="eastAsia"/>
                <w:sz w:val="21"/>
                <w:szCs w:val="21"/>
              </w:rPr>
            </w:pPr>
          </w:p>
          <w:p w14:paraId="5CF7C6DE">
            <w:pPr>
              <w:spacing w:line="240" w:lineRule="auto"/>
              <w:jc w:val="center"/>
              <w:rPr>
                <w:rFonts w:hint="eastAsia"/>
                <w:sz w:val="21"/>
                <w:szCs w:val="21"/>
              </w:rPr>
            </w:pPr>
          </w:p>
          <w:p w14:paraId="36875262">
            <w:pPr>
              <w:spacing w:line="240" w:lineRule="auto"/>
              <w:jc w:val="center"/>
              <w:rPr>
                <w:rFonts w:hint="eastAsia"/>
                <w:sz w:val="21"/>
                <w:szCs w:val="21"/>
              </w:rPr>
            </w:pPr>
          </w:p>
          <w:p w14:paraId="0D22162F">
            <w:pPr>
              <w:spacing w:line="240" w:lineRule="auto"/>
              <w:jc w:val="center"/>
              <w:rPr>
                <w:rFonts w:hint="eastAsia"/>
                <w:sz w:val="21"/>
                <w:szCs w:val="21"/>
              </w:rPr>
            </w:pPr>
          </w:p>
          <w:p w14:paraId="1B1EE9D8">
            <w:pPr>
              <w:spacing w:line="240" w:lineRule="auto"/>
              <w:jc w:val="center"/>
              <w:rPr>
                <w:rFonts w:hint="eastAsia"/>
                <w:sz w:val="21"/>
                <w:szCs w:val="21"/>
              </w:rPr>
            </w:pPr>
          </w:p>
          <w:p w14:paraId="70165C15">
            <w:pPr>
              <w:spacing w:line="240" w:lineRule="auto"/>
              <w:jc w:val="center"/>
              <w:rPr>
                <w:rFonts w:hint="eastAsia"/>
                <w:sz w:val="21"/>
                <w:szCs w:val="21"/>
              </w:rPr>
            </w:pPr>
          </w:p>
          <w:p w14:paraId="4EEFEE48">
            <w:pPr>
              <w:spacing w:line="240" w:lineRule="auto"/>
              <w:jc w:val="center"/>
              <w:rPr>
                <w:rFonts w:hint="eastAsia"/>
                <w:sz w:val="21"/>
                <w:szCs w:val="21"/>
              </w:rPr>
            </w:pPr>
          </w:p>
          <w:p w14:paraId="6DF77703">
            <w:pPr>
              <w:spacing w:line="240" w:lineRule="auto"/>
              <w:jc w:val="center"/>
              <w:rPr>
                <w:rFonts w:hint="eastAsia"/>
                <w:sz w:val="21"/>
                <w:szCs w:val="21"/>
              </w:rPr>
            </w:pPr>
          </w:p>
          <w:p w14:paraId="7944115F">
            <w:pPr>
              <w:spacing w:line="240" w:lineRule="auto"/>
              <w:jc w:val="center"/>
              <w:rPr>
                <w:rFonts w:hint="eastAsia"/>
                <w:sz w:val="21"/>
                <w:szCs w:val="21"/>
              </w:rPr>
            </w:pPr>
          </w:p>
          <w:p w14:paraId="782CEE81">
            <w:pPr>
              <w:spacing w:line="240" w:lineRule="auto"/>
              <w:jc w:val="center"/>
              <w:rPr>
                <w:rFonts w:hint="eastAsia"/>
                <w:sz w:val="21"/>
                <w:szCs w:val="21"/>
              </w:rPr>
            </w:pPr>
          </w:p>
          <w:p w14:paraId="78228169">
            <w:pPr>
              <w:spacing w:line="240" w:lineRule="auto"/>
              <w:jc w:val="center"/>
              <w:rPr>
                <w:rFonts w:hint="eastAsia"/>
                <w:sz w:val="21"/>
                <w:szCs w:val="21"/>
              </w:rPr>
            </w:pPr>
          </w:p>
          <w:p w14:paraId="321C8F1D">
            <w:pPr>
              <w:spacing w:line="240" w:lineRule="auto"/>
              <w:jc w:val="center"/>
              <w:rPr>
                <w:rFonts w:hint="eastAsia"/>
                <w:sz w:val="21"/>
                <w:szCs w:val="21"/>
              </w:rPr>
            </w:pPr>
          </w:p>
          <w:p w14:paraId="206A05AF">
            <w:pPr>
              <w:spacing w:line="240" w:lineRule="auto"/>
              <w:jc w:val="center"/>
              <w:rPr>
                <w:rFonts w:hint="eastAsia"/>
                <w:sz w:val="21"/>
                <w:szCs w:val="21"/>
              </w:rPr>
            </w:pPr>
          </w:p>
          <w:p w14:paraId="7ED5B88B">
            <w:pPr>
              <w:spacing w:line="240" w:lineRule="auto"/>
              <w:jc w:val="center"/>
              <w:rPr>
                <w:rFonts w:hint="eastAsia"/>
                <w:sz w:val="21"/>
                <w:szCs w:val="21"/>
              </w:rPr>
            </w:pPr>
          </w:p>
          <w:p w14:paraId="03AC318C">
            <w:pPr>
              <w:spacing w:line="240" w:lineRule="auto"/>
              <w:jc w:val="center"/>
              <w:rPr>
                <w:rFonts w:hint="eastAsia"/>
                <w:sz w:val="21"/>
                <w:szCs w:val="21"/>
              </w:rPr>
            </w:pPr>
          </w:p>
          <w:p w14:paraId="49042DA2">
            <w:pPr>
              <w:spacing w:line="240" w:lineRule="auto"/>
              <w:jc w:val="center"/>
              <w:rPr>
                <w:rFonts w:hint="eastAsia"/>
                <w:sz w:val="21"/>
                <w:szCs w:val="21"/>
              </w:rPr>
            </w:pPr>
          </w:p>
          <w:p w14:paraId="3DE2236C">
            <w:pPr>
              <w:spacing w:line="240" w:lineRule="auto"/>
              <w:jc w:val="center"/>
              <w:rPr>
                <w:rFonts w:hint="eastAsia"/>
                <w:sz w:val="21"/>
                <w:szCs w:val="21"/>
              </w:rPr>
            </w:pPr>
          </w:p>
          <w:p w14:paraId="4E20DE5D">
            <w:pPr>
              <w:spacing w:line="240" w:lineRule="auto"/>
              <w:jc w:val="center"/>
              <w:rPr>
                <w:rFonts w:hint="eastAsia"/>
                <w:sz w:val="21"/>
                <w:szCs w:val="21"/>
              </w:rPr>
            </w:pPr>
          </w:p>
          <w:p w14:paraId="4453D7D3">
            <w:pPr>
              <w:spacing w:line="240" w:lineRule="auto"/>
              <w:jc w:val="center"/>
              <w:rPr>
                <w:rFonts w:hint="eastAsia"/>
                <w:sz w:val="21"/>
                <w:szCs w:val="21"/>
              </w:rPr>
            </w:pPr>
          </w:p>
          <w:p w14:paraId="4E72B721">
            <w:pPr>
              <w:spacing w:line="240" w:lineRule="auto"/>
              <w:jc w:val="center"/>
              <w:rPr>
                <w:rFonts w:hint="eastAsia"/>
                <w:sz w:val="21"/>
                <w:szCs w:val="21"/>
              </w:rPr>
            </w:pPr>
          </w:p>
          <w:p w14:paraId="6559D2DC">
            <w:pPr>
              <w:spacing w:line="240" w:lineRule="auto"/>
              <w:jc w:val="center"/>
              <w:rPr>
                <w:rFonts w:hint="eastAsia"/>
                <w:sz w:val="21"/>
                <w:szCs w:val="21"/>
              </w:rPr>
            </w:pPr>
          </w:p>
          <w:p w14:paraId="39E23E1C">
            <w:pPr>
              <w:spacing w:line="240" w:lineRule="auto"/>
              <w:jc w:val="center"/>
              <w:rPr>
                <w:rFonts w:hint="eastAsia"/>
                <w:sz w:val="21"/>
                <w:szCs w:val="21"/>
              </w:rPr>
            </w:pPr>
          </w:p>
          <w:p w14:paraId="09CDFC0B">
            <w:pPr>
              <w:spacing w:line="240" w:lineRule="auto"/>
              <w:jc w:val="center"/>
              <w:rPr>
                <w:rFonts w:hint="eastAsia"/>
                <w:sz w:val="21"/>
                <w:szCs w:val="21"/>
              </w:rPr>
            </w:pPr>
          </w:p>
          <w:p w14:paraId="4F697C24">
            <w:pPr>
              <w:spacing w:line="240" w:lineRule="auto"/>
              <w:jc w:val="center"/>
              <w:rPr>
                <w:rFonts w:hint="eastAsia"/>
                <w:sz w:val="21"/>
                <w:szCs w:val="21"/>
              </w:rPr>
            </w:pPr>
          </w:p>
          <w:p w14:paraId="696A43B5">
            <w:pPr>
              <w:spacing w:line="240" w:lineRule="auto"/>
              <w:jc w:val="center"/>
              <w:rPr>
                <w:rFonts w:hint="eastAsia"/>
                <w:sz w:val="21"/>
                <w:szCs w:val="21"/>
              </w:rPr>
            </w:pPr>
          </w:p>
          <w:p w14:paraId="22BAA22D">
            <w:pPr>
              <w:spacing w:line="240" w:lineRule="auto"/>
              <w:jc w:val="center"/>
              <w:rPr>
                <w:rFonts w:hint="eastAsia"/>
                <w:sz w:val="21"/>
                <w:szCs w:val="21"/>
              </w:rPr>
            </w:pPr>
          </w:p>
          <w:p w14:paraId="49AF8AF0">
            <w:pPr>
              <w:spacing w:line="240" w:lineRule="auto"/>
              <w:jc w:val="center"/>
              <w:rPr>
                <w:rFonts w:hint="eastAsia"/>
                <w:sz w:val="21"/>
                <w:szCs w:val="21"/>
              </w:rPr>
            </w:pPr>
          </w:p>
          <w:p w14:paraId="1CDD85B6">
            <w:pPr>
              <w:spacing w:line="240" w:lineRule="auto"/>
              <w:jc w:val="center"/>
              <w:rPr>
                <w:rFonts w:hint="eastAsia"/>
                <w:sz w:val="21"/>
                <w:szCs w:val="21"/>
              </w:rPr>
            </w:pPr>
          </w:p>
          <w:p w14:paraId="2E3133CA">
            <w:pPr>
              <w:spacing w:line="240" w:lineRule="auto"/>
              <w:jc w:val="center"/>
              <w:rPr>
                <w:rFonts w:hint="eastAsia"/>
                <w:sz w:val="21"/>
                <w:szCs w:val="21"/>
              </w:rPr>
            </w:pPr>
          </w:p>
          <w:p w14:paraId="34E5B6CC">
            <w:pPr>
              <w:spacing w:line="240" w:lineRule="auto"/>
              <w:jc w:val="center"/>
              <w:rPr>
                <w:rFonts w:hint="eastAsia"/>
                <w:sz w:val="21"/>
                <w:szCs w:val="21"/>
              </w:rPr>
            </w:pPr>
          </w:p>
          <w:p w14:paraId="6E8CC244">
            <w:pPr>
              <w:spacing w:line="240" w:lineRule="auto"/>
              <w:jc w:val="center"/>
              <w:rPr>
                <w:rFonts w:hint="eastAsia"/>
                <w:sz w:val="21"/>
                <w:szCs w:val="21"/>
              </w:rPr>
            </w:pPr>
          </w:p>
          <w:p w14:paraId="6D1C8EE6">
            <w:pPr>
              <w:spacing w:line="240" w:lineRule="auto"/>
              <w:jc w:val="center"/>
              <w:rPr>
                <w:rFonts w:hint="eastAsia"/>
                <w:sz w:val="21"/>
                <w:szCs w:val="21"/>
              </w:rPr>
            </w:pPr>
          </w:p>
          <w:p w14:paraId="41215F70">
            <w:pPr>
              <w:spacing w:line="240" w:lineRule="auto"/>
              <w:jc w:val="center"/>
              <w:rPr>
                <w:rFonts w:hint="eastAsia"/>
                <w:sz w:val="21"/>
                <w:szCs w:val="21"/>
              </w:rPr>
            </w:pPr>
          </w:p>
          <w:p w14:paraId="30829F4A">
            <w:pPr>
              <w:spacing w:line="240" w:lineRule="auto"/>
              <w:jc w:val="center"/>
              <w:rPr>
                <w:rFonts w:hint="eastAsia"/>
                <w:sz w:val="21"/>
                <w:szCs w:val="21"/>
              </w:rPr>
            </w:pPr>
          </w:p>
          <w:p w14:paraId="6A647F80">
            <w:pPr>
              <w:spacing w:line="240" w:lineRule="auto"/>
              <w:jc w:val="center"/>
              <w:rPr>
                <w:rFonts w:hint="eastAsia"/>
                <w:sz w:val="21"/>
                <w:szCs w:val="21"/>
              </w:rPr>
            </w:pPr>
          </w:p>
          <w:p w14:paraId="1C094F5D">
            <w:pPr>
              <w:spacing w:line="240" w:lineRule="auto"/>
              <w:jc w:val="center"/>
              <w:rPr>
                <w:rFonts w:hint="eastAsia"/>
                <w:sz w:val="21"/>
                <w:szCs w:val="21"/>
              </w:rPr>
            </w:pPr>
          </w:p>
          <w:p w14:paraId="31FA1FFF">
            <w:pPr>
              <w:spacing w:line="240" w:lineRule="auto"/>
              <w:jc w:val="center"/>
              <w:rPr>
                <w:rFonts w:hint="eastAsia"/>
                <w:sz w:val="21"/>
                <w:szCs w:val="21"/>
              </w:rPr>
            </w:pPr>
          </w:p>
          <w:p w14:paraId="23360FF1">
            <w:pPr>
              <w:spacing w:line="240" w:lineRule="auto"/>
              <w:jc w:val="center"/>
              <w:rPr>
                <w:rFonts w:hint="eastAsia"/>
                <w:sz w:val="21"/>
                <w:szCs w:val="21"/>
              </w:rPr>
            </w:pPr>
          </w:p>
          <w:p w14:paraId="1F817E11">
            <w:pPr>
              <w:spacing w:line="240" w:lineRule="auto"/>
              <w:jc w:val="center"/>
              <w:rPr>
                <w:rFonts w:hint="eastAsia"/>
                <w:sz w:val="21"/>
                <w:szCs w:val="21"/>
              </w:rPr>
            </w:pPr>
          </w:p>
          <w:p w14:paraId="2DD63726">
            <w:pPr>
              <w:spacing w:line="240" w:lineRule="auto"/>
              <w:jc w:val="center"/>
              <w:rPr>
                <w:rFonts w:hint="eastAsia"/>
                <w:sz w:val="21"/>
                <w:szCs w:val="21"/>
              </w:rPr>
            </w:pPr>
          </w:p>
          <w:p w14:paraId="49452B0B">
            <w:pPr>
              <w:spacing w:line="240" w:lineRule="auto"/>
              <w:jc w:val="center"/>
              <w:rPr>
                <w:rFonts w:hint="eastAsia"/>
                <w:sz w:val="21"/>
                <w:szCs w:val="21"/>
              </w:rPr>
            </w:pPr>
          </w:p>
          <w:p w14:paraId="4EA04C7E">
            <w:pPr>
              <w:spacing w:line="240" w:lineRule="auto"/>
              <w:jc w:val="center"/>
              <w:rPr>
                <w:rFonts w:hint="eastAsia"/>
                <w:sz w:val="21"/>
                <w:szCs w:val="21"/>
              </w:rPr>
            </w:pPr>
          </w:p>
          <w:p w14:paraId="41E0FAF7">
            <w:pPr>
              <w:spacing w:line="240" w:lineRule="auto"/>
              <w:jc w:val="center"/>
              <w:rPr>
                <w:rFonts w:hint="eastAsia"/>
                <w:sz w:val="21"/>
                <w:szCs w:val="21"/>
              </w:rPr>
            </w:pPr>
            <w:r>
              <w:rPr>
                <w:rFonts w:hint="eastAsia"/>
                <w:sz w:val="21"/>
                <w:szCs w:val="21"/>
              </w:rPr>
              <w:t>绥宁县关峡水厂取水口</w:t>
            </w:r>
          </w:p>
          <w:p w14:paraId="2CCD5FBC">
            <w:pPr>
              <w:spacing w:line="240" w:lineRule="auto"/>
              <w:jc w:val="center"/>
              <w:rPr>
                <w:rFonts w:hint="eastAsia"/>
                <w:sz w:val="21"/>
                <w:szCs w:val="21"/>
              </w:rPr>
            </w:pPr>
          </w:p>
          <w:p w14:paraId="2AE4722C">
            <w:pPr>
              <w:spacing w:line="240" w:lineRule="auto"/>
              <w:jc w:val="center"/>
              <w:rPr>
                <w:rFonts w:hint="eastAsia"/>
                <w:sz w:val="21"/>
                <w:szCs w:val="21"/>
              </w:rPr>
            </w:pPr>
          </w:p>
          <w:p w14:paraId="3D69F597">
            <w:pPr>
              <w:spacing w:line="240" w:lineRule="auto"/>
              <w:jc w:val="center"/>
              <w:rPr>
                <w:rFonts w:hint="eastAsia"/>
                <w:sz w:val="21"/>
                <w:szCs w:val="21"/>
              </w:rPr>
            </w:pPr>
          </w:p>
          <w:p w14:paraId="5BB21E46">
            <w:pPr>
              <w:spacing w:line="240" w:lineRule="auto"/>
              <w:jc w:val="center"/>
              <w:rPr>
                <w:rFonts w:hint="eastAsia"/>
                <w:sz w:val="21"/>
                <w:szCs w:val="21"/>
              </w:rPr>
            </w:pPr>
          </w:p>
          <w:p w14:paraId="623F9814">
            <w:pPr>
              <w:spacing w:line="240" w:lineRule="auto"/>
              <w:jc w:val="center"/>
              <w:rPr>
                <w:rFonts w:hint="eastAsia"/>
                <w:sz w:val="21"/>
                <w:szCs w:val="21"/>
              </w:rPr>
            </w:pPr>
          </w:p>
          <w:p w14:paraId="442C2028">
            <w:pPr>
              <w:spacing w:line="240" w:lineRule="auto"/>
              <w:jc w:val="center"/>
              <w:rPr>
                <w:rFonts w:hint="eastAsia"/>
                <w:sz w:val="21"/>
                <w:szCs w:val="21"/>
              </w:rPr>
            </w:pPr>
          </w:p>
          <w:p w14:paraId="2E1E9169">
            <w:pPr>
              <w:spacing w:line="240" w:lineRule="auto"/>
              <w:jc w:val="center"/>
              <w:rPr>
                <w:rFonts w:hint="eastAsia"/>
                <w:sz w:val="21"/>
                <w:szCs w:val="21"/>
              </w:rPr>
            </w:pPr>
          </w:p>
          <w:p w14:paraId="3E4FDF04">
            <w:pPr>
              <w:spacing w:line="240" w:lineRule="auto"/>
              <w:jc w:val="center"/>
              <w:rPr>
                <w:rFonts w:hint="eastAsia"/>
                <w:sz w:val="21"/>
                <w:szCs w:val="21"/>
              </w:rPr>
            </w:pPr>
          </w:p>
          <w:p w14:paraId="01FB69B1">
            <w:pPr>
              <w:spacing w:line="240" w:lineRule="auto"/>
              <w:jc w:val="center"/>
              <w:rPr>
                <w:rFonts w:hint="eastAsia"/>
                <w:sz w:val="21"/>
                <w:szCs w:val="21"/>
              </w:rPr>
            </w:pPr>
          </w:p>
          <w:p w14:paraId="486C25E5">
            <w:pPr>
              <w:spacing w:line="240" w:lineRule="auto"/>
              <w:jc w:val="center"/>
              <w:rPr>
                <w:rFonts w:hint="eastAsia"/>
                <w:sz w:val="21"/>
                <w:szCs w:val="21"/>
              </w:rPr>
            </w:pPr>
          </w:p>
          <w:p w14:paraId="278592DD">
            <w:pPr>
              <w:spacing w:line="240" w:lineRule="auto"/>
              <w:jc w:val="center"/>
              <w:rPr>
                <w:rFonts w:hint="eastAsia"/>
                <w:sz w:val="21"/>
                <w:szCs w:val="21"/>
              </w:rPr>
            </w:pPr>
          </w:p>
          <w:p w14:paraId="466D42C6">
            <w:pPr>
              <w:spacing w:line="240" w:lineRule="auto"/>
              <w:jc w:val="center"/>
              <w:rPr>
                <w:rFonts w:hint="eastAsia"/>
                <w:sz w:val="21"/>
                <w:szCs w:val="21"/>
              </w:rPr>
            </w:pPr>
          </w:p>
          <w:p w14:paraId="358AAAB5">
            <w:pPr>
              <w:spacing w:line="240" w:lineRule="auto"/>
              <w:jc w:val="center"/>
              <w:rPr>
                <w:rFonts w:hint="eastAsia"/>
                <w:sz w:val="21"/>
                <w:szCs w:val="21"/>
              </w:rPr>
            </w:pPr>
          </w:p>
          <w:p w14:paraId="72F552AE">
            <w:pPr>
              <w:spacing w:line="240" w:lineRule="auto"/>
              <w:jc w:val="center"/>
              <w:rPr>
                <w:rFonts w:hint="eastAsia"/>
                <w:sz w:val="21"/>
                <w:szCs w:val="21"/>
              </w:rPr>
            </w:pPr>
          </w:p>
          <w:p w14:paraId="0E0176E2">
            <w:pPr>
              <w:spacing w:line="240" w:lineRule="auto"/>
              <w:jc w:val="center"/>
              <w:rPr>
                <w:rFonts w:hint="eastAsia"/>
                <w:sz w:val="21"/>
                <w:szCs w:val="21"/>
              </w:rPr>
            </w:pPr>
          </w:p>
          <w:p w14:paraId="1F594FB8">
            <w:pPr>
              <w:spacing w:line="240" w:lineRule="auto"/>
              <w:jc w:val="center"/>
              <w:rPr>
                <w:rFonts w:hint="eastAsia"/>
                <w:sz w:val="21"/>
                <w:szCs w:val="21"/>
              </w:rPr>
            </w:pPr>
          </w:p>
          <w:p w14:paraId="3398064A">
            <w:pPr>
              <w:spacing w:line="240" w:lineRule="auto"/>
              <w:jc w:val="center"/>
              <w:rPr>
                <w:rFonts w:hint="eastAsia"/>
                <w:sz w:val="21"/>
                <w:szCs w:val="21"/>
              </w:rPr>
            </w:pPr>
          </w:p>
          <w:p w14:paraId="370086F3">
            <w:pPr>
              <w:spacing w:line="240" w:lineRule="auto"/>
              <w:jc w:val="center"/>
              <w:rPr>
                <w:rFonts w:hint="eastAsia"/>
                <w:sz w:val="21"/>
                <w:szCs w:val="21"/>
              </w:rPr>
            </w:pPr>
          </w:p>
          <w:p w14:paraId="0167F51F">
            <w:pPr>
              <w:spacing w:line="240" w:lineRule="auto"/>
              <w:jc w:val="center"/>
              <w:rPr>
                <w:rFonts w:hint="eastAsia"/>
                <w:sz w:val="21"/>
                <w:szCs w:val="21"/>
              </w:rPr>
            </w:pPr>
          </w:p>
          <w:p w14:paraId="37853D82">
            <w:pPr>
              <w:spacing w:line="240" w:lineRule="auto"/>
              <w:jc w:val="center"/>
              <w:rPr>
                <w:rFonts w:hint="eastAsia"/>
                <w:sz w:val="21"/>
                <w:szCs w:val="21"/>
              </w:rPr>
            </w:pPr>
          </w:p>
          <w:p w14:paraId="4D26A7E7">
            <w:pPr>
              <w:spacing w:line="240" w:lineRule="auto"/>
              <w:jc w:val="center"/>
              <w:rPr>
                <w:rFonts w:hint="eastAsia"/>
                <w:sz w:val="21"/>
                <w:szCs w:val="21"/>
              </w:rPr>
            </w:pPr>
          </w:p>
          <w:p w14:paraId="1425F936">
            <w:pPr>
              <w:spacing w:line="240" w:lineRule="auto"/>
              <w:jc w:val="center"/>
              <w:rPr>
                <w:rFonts w:hint="eastAsia"/>
                <w:sz w:val="21"/>
                <w:szCs w:val="21"/>
              </w:rPr>
            </w:pPr>
          </w:p>
          <w:p w14:paraId="73FA9C70">
            <w:pPr>
              <w:spacing w:line="240" w:lineRule="auto"/>
              <w:jc w:val="center"/>
              <w:rPr>
                <w:rFonts w:hint="eastAsia"/>
                <w:sz w:val="21"/>
                <w:szCs w:val="21"/>
              </w:rPr>
            </w:pPr>
          </w:p>
          <w:p w14:paraId="0BF79727">
            <w:pPr>
              <w:spacing w:line="240" w:lineRule="auto"/>
              <w:jc w:val="center"/>
              <w:rPr>
                <w:rFonts w:hint="eastAsia"/>
                <w:sz w:val="21"/>
                <w:szCs w:val="21"/>
              </w:rPr>
            </w:pPr>
          </w:p>
          <w:p w14:paraId="3542723D">
            <w:pPr>
              <w:spacing w:line="240" w:lineRule="auto"/>
              <w:jc w:val="center"/>
              <w:rPr>
                <w:rFonts w:hint="eastAsia"/>
                <w:sz w:val="21"/>
                <w:szCs w:val="21"/>
              </w:rPr>
            </w:pPr>
          </w:p>
          <w:p w14:paraId="2535E04F">
            <w:pPr>
              <w:spacing w:line="240" w:lineRule="auto"/>
              <w:jc w:val="center"/>
              <w:rPr>
                <w:rFonts w:hint="eastAsia"/>
                <w:sz w:val="21"/>
                <w:szCs w:val="21"/>
              </w:rPr>
            </w:pPr>
          </w:p>
          <w:p w14:paraId="1794732B">
            <w:pPr>
              <w:spacing w:line="240" w:lineRule="auto"/>
              <w:jc w:val="center"/>
              <w:rPr>
                <w:rFonts w:hint="eastAsia"/>
                <w:sz w:val="21"/>
                <w:szCs w:val="21"/>
              </w:rPr>
            </w:pPr>
          </w:p>
          <w:p w14:paraId="21853765">
            <w:pPr>
              <w:spacing w:line="240" w:lineRule="auto"/>
              <w:jc w:val="center"/>
              <w:rPr>
                <w:rFonts w:hint="eastAsia"/>
                <w:sz w:val="21"/>
                <w:szCs w:val="21"/>
              </w:rPr>
            </w:pPr>
          </w:p>
          <w:p w14:paraId="49161D4D">
            <w:pPr>
              <w:spacing w:line="240" w:lineRule="auto"/>
              <w:jc w:val="center"/>
              <w:rPr>
                <w:rFonts w:hint="eastAsia"/>
                <w:sz w:val="21"/>
                <w:szCs w:val="21"/>
              </w:rPr>
            </w:pPr>
          </w:p>
          <w:p w14:paraId="496E6195">
            <w:pPr>
              <w:spacing w:line="240" w:lineRule="auto"/>
              <w:jc w:val="center"/>
              <w:rPr>
                <w:rFonts w:hint="eastAsia"/>
                <w:sz w:val="21"/>
                <w:szCs w:val="21"/>
              </w:rPr>
            </w:pPr>
          </w:p>
          <w:p w14:paraId="13F53532">
            <w:pPr>
              <w:spacing w:line="240" w:lineRule="auto"/>
              <w:jc w:val="center"/>
              <w:rPr>
                <w:rFonts w:hint="eastAsia"/>
                <w:sz w:val="21"/>
                <w:szCs w:val="21"/>
              </w:rPr>
            </w:pPr>
          </w:p>
          <w:p w14:paraId="5BBD6FC4">
            <w:pPr>
              <w:spacing w:line="240" w:lineRule="auto"/>
              <w:jc w:val="center"/>
              <w:rPr>
                <w:rFonts w:hint="eastAsia"/>
                <w:sz w:val="21"/>
                <w:szCs w:val="21"/>
              </w:rPr>
            </w:pPr>
          </w:p>
          <w:p w14:paraId="52F8C53C">
            <w:pPr>
              <w:spacing w:line="240" w:lineRule="auto"/>
              <w:jc w:val="center"/>
              <w:rPr>
                <w:rFonts w:hint="eastAsia"/>
                <w:sz w:val="21"/>
                <w:szCs w:val="21"/>
              </w:rPr>
            </w:pPr>
          </w:p>
          <w:p w14:paraId="4CB6643A">
            <w:pPr>
              <w:spacing w:line="240" w:lineRule="auto"/>
              <w:jc w:val="center"/>
              <w:rPr>
                <w:rFonts w:hint="eastAsia"/>
                <w:sz w:val="21"/>
                <w:szCs w:val="21"/>
              </w:rPr>
            </w:pPr>
          </w:p>
          <w:p w14:paraId="7F7E4535">
            <w:pPr>
              <w:spacing w:line="240" w:lineRule="auto"/>
              <w:jc w:val="center"/>
              <w:rPr>
                <w:rFonts w:hint="eastAsia"/>
                <w:sz w:val="21"/>
                <w:szCs w:val="21"/>
              </w:rPr>
            </w:pPr>
          </w:p>
          <w:p w14:paraId="562EB011">
            <w:pPr>
              <w:spacing w:line="240" w:lineRule="auto"/>
              <w:jc w:val="center"/>
              <w:rPr>
                <w:rFonts w:hint="eastAsia"/>
                <w:sz w:val="21"/>
                <w:szCs w:val="21"/>
              </w:rPr>
            </w:pPr>
          </w:p>
          <w:p w14:paraId="6C0B13B4">
            <w:pPr>
              <w:spacing w:line="240" w:lineRule="auto"/>
              <w:jc w:val="center"/>
              <w:rPr>
                <w:rFonts w:hint="eastAsia"/>
                <w:sz w:val="21"/>
                <w:szCs w:val="21"/>
              </w:rPr>
            </w:pPr>
          </w:p>
          <w:p w14:paraId="7EA529E7">
            <w:pPr>
              <w:spacing w:line="240" w:lineRule="auto"/>
              <w:jc w:val="center"/>
              <w:rPr>
                <w:rFonts w:hint="eastAsia"/>
                <w:sz w:val="21"/>
                <w:szCs w:val="21"/>
              </w:rPr>
            </w:pPr>
          </w:p>
          <w:p w14:paraId="41454D32">
            <w:pPr>
              <w:pStyle w:val="10"/>
              <w:rPr>
                <w:rFonts w:hint="eastAsia"/>
                <w:sz w:val="21"/>
                <w:szCs w:val="21"/>
              </w:rPr>
            </w:pPr>
          </w:p>
          <w:p w14:paraId="035F4691">
            <w:pPr>
              <w:pStyle w:val="10"/>
              <w:rPr>
                <w:rFonts w:hint="eastAsia"/>
                <w:sz w:val="21"/>
                <w:szCs w:val="21"/>
              </w:rPr>
            </w:pPr>
          </w:p>
          <w:p w14:paraId="6E308DCE">
            <w:pPr>
              <w:pStyle w:val="10"/>
              <w:rPr>
                <w:rFonts w:hint="eastAsia"/>
                <w:sz w:val="21"/>
                <w:szCs w:val="21"/>
              </w:rPr>
            </w:pPr>
          </w:p>
          <w:p w14:paraId="0510B3E5">
            <w:pPr>
              <w:pStyle w:val="10"/>
              <w:rPr>
                <w:rFonts w:hint="eastAsia"/>
                <w:sz w:val="21"/>
                <w:szCs w:val="21"/>
              </w:rPr>
            </w:pPr>
          </w:p>
          <w:p w14:paraId="420E53D8">
            <w:pPr>
              <w:pStyle w:val="10"/>
              <w:rPr>
                <w:rFonts w:hint="eastAsia"/>
                <w:sz w:val="21"/>
                <w:szCs w:val="21"/>
              </w:rPr>
            </w:pPr>
          </w:p>
          <w:p w14:paraId="5AEBA48C">
            <w:pPr>
              <w:pStyle w:val="10"/>
              <w:rPr>
                <w:rFonts w:hint="eastAsia"/>
                <w:sz w:val="21"/>
                <w:szCs w:val="21"/>
              </w:rPr>
            </w:pPr>
          </w:p>
          <w:p w14:paraId="44EC9030">
            <w:pPr>
              <w:pStyle w:val="10"/>
              <w:rPr>
                <w:rFonts w:hint="eastAsia"/>
                <w:sz w:val="21"/>
                <w:szCs w:val="21"/>
              </w:rPr>
            </w:pPr>
          </w:p>
          <w:p w14:paraId="31A1D4B8">
            <w:pPr>
              <w:pStyle w:val="10"/>
              <w:rPr>
                <w:rFonts w:hint="eastAsia"/>
                <w:sz w:val="21"/>
                <w:szCs w:val="21"/>
              </w:rPr>
            </w:pPr>
          </w:p>
          <w:p w14:paraId="4A813055">
            <w:pPr>
              <w:spacing w:line="240" w:lineRule="auto"/>
              <w:jc w:val="center"/>
              <w:rPr>
                <w:rFonts w:hint="eastAsia"/>
                <w:sz w:val="21"/>
                <w:szCs w:val="21"/>
              </w:rPr>
            </w:pPr>
            <w:r>
              <w:rPr>
                <w:rFonts w:hint="eastAsia"/>
                <w:sz w:val="21"/>
                <w:szCs w:val="21"/>
              </w:rPr>
              <w:t>绥宁县关峡水厂取水口</w:t>
            </w:r>
          </w:p>
        </w:tc>
        <w:tc>
          <w:tcPr>
            <w:tcW w:w="2252" w:type="dxa"/>
            <w:shd w:val="clear" w:color="auto" w:fill="auto"/>
            <w:vAlign w:val="center"/>
          </w:tcPr>
          <w:p w14:paraId="36AACD31">
            <w:pPr>
              <w:spacing w:line="240" w:lineRule="auto"/>
              <w:jc w:val="center"/>
              <w:rPr>
                <w:rFonts w:hint="eastAsia"/>
                <w:sz w:val="21"/>
                <w:szCs w:val="21"/>
              </w:rPr>
            </w:pPr>
            <w:r>
              <w:rPr>
                <w:rFonts w:hint="eastAsia"/>
                <w:sz w:val="21"/>
                <w:szCs w:val="21"/>
              </w:rPr>
              <w:t>水温（℃）</w:t>
            </w:r>
          </w:p>
        </w:tc>
        <w:tc>
          <w:tcPr>
            <w:tcW w:w="1344" w:type="dxa"/>
            <w:gridSpan w:val="2"/>
            <w:shd w:val="clear" w:color="auto" w:fill="FFFFFF"/>
            <w:vAlign w:val="center"/>
          </w:tcPr>
          <w:p w14:paraId="4D8CFEBC">
            <w:pPr>
              <w:spacing w:line="240" w:lineRule="auto"/>
              <w:jc w:val="center"/>
              <w:rPr>
                <w:sz w:val="21"/>
                <w:szCs w:val="21"/>
              </w:rPr>
            </w:pPr>
            <w:r>
              <w:rPr>
                <w:rFonts w:hint="eastAsia"/>
                <w:sz w:val="21"/>
                <w:szCs w:val="21"/>
              </w:rPr>
              <w:t>21.4</w:t>
            </w:r>
          </w:p>
        </w:tc>
        <w:tc>
          <w:tcPr>
            <w:tcW w:w="1770" w:type="dxa"/>
            <w:vAlign w:val="center"/>
          </w:tcPr>
          <w:p w14:paraId="06B86E60">
            <w:pPr>
              <w:spacing w:line="240" w:lineRule="auto"/>
              <w:jc w:val="center"/>
              <w:rPr>
                <w:rFonts w:hint="eastAsia"/>
                <w:sz w:val="21"/>
                <w:szCs w:val="21"/>
              </w:rPr>
            </w:pPr>
            <w:r>
              <w:rPr>
                <w:rFonts w:hint="eastAsia"/>
                <w:sz w:val="21"/>
                <w:szCs w:val="21"/>
              </w:rPr>
              <w:t>周温升≤1，温降≤2</w:t>
            </w:r>
          </w:p>
        </w:tc>
        <w:tc>
          <w:tcPr>
            <w:tcW w:w="1122" w:type="dxa"/>
            <w:vAlign w:val="center"/>
          </w:tcPr>
          <w:p w14:paraId="35B32E02">
            <w:pPr>
              <w:spacing w:line="240" w:lineRule="auto"/>
              <w:jc w:val="center"/>
              <w:rPr>
                <w:sz w:val="21"/>
                <w:szCs w:val="21"/>
              </w:rPr>
            </w:pPr>
            <w:r>
              <w:rPr>
                <w:rFonts w:hint="eastAsia"/>
                <w:sz w:val="21"/>
                <w:szCs w:val="21"/>
              </w:rPr>
              <w:t>/</w:t>
            </w:r>
          </w:p>
        </w:tc>
        <w:tc>
          <w:tcPr>
            <w:tcW w:w="1111" w:type="dxa"/>
            <w:vAlign w:val="center"/>
          </w:tcPr>
          <w:p w14:paraId="0C10EBC6">
            <w:pPr>
              <w:spacing w:line="240" w:lineRule="auto"/>
              <w:jc w:val="center"/>
              <w:rPr>
                <w:sz w:val="21"/>
                <w:szCs w:val="21"/>
              </w:rPr>
            </w:pPr>
            <w:r>
              <w:rPr>
                <w:rFonts w:hint="eastAsia"/>
                <w:sz w:val="21"/>
                <w:szCs w:val="21"/>
              </w:rPr>
              <w:t>/</w:t>
            </w:r>
          </w:p>
        </w:tc>
      </w:tr>
      <w:tr w14:paraId="3B121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C6EBF3C">
            <w:pPr>
              <w:spacing w:line="240" w:lineRule="auto"/>
              <w:jc w:val="center"/>
              <w:rPr>
                <w:rFonts w:hint="eastAsia"/>
                <w:sz w:val="21"/>
                <w:szCs w:val="21"/>
              </w:rPr>
            </w:pPr>
          </w:p>
        </w:tc>
        <w:tc>
          <w:tcPr>
            <w:tcW w:w="2252" w:type="dxa"/>
            <w:shd w:val="clear" w:color="auto" w:fill="auto"/>
            <w:vAlign w:val="center"/>
          </w:tcPr>
          <w:p w14:paraId="10CE7CC3">
            <w:pPr>
              <w:spacing w:line="240" w:lineRule="auto"/>
              <w:jc w:val="center"/>
              <w:rPr>
                <w:rFonts w:hint="eastAsia"/>
                <w:sz w:val="21"/>
                <w:szCs w:val="21"/>
              </w:rPr>
            </w:pPr>
            <w:r>
              <w:rPr>
                <w:rFonts w:hint="eastAsia"/>
                <w:sz w:val="21"/>
                <w:szCs w:val="21"/>
              </w:rPr>
              <w:t>pH（无量纲）</w:t>
            </w:r>
          </w:p>
        </w:tc>
        <w:tc>
          <w:tcPr>
            <w:tcW w:w="1344" w:type="dxa"/>
            <w:gridSpan w:val="2"/>
            <w:shd w:val="clear" w:color="auto" w:fill="FFFFFF"/>
            <w:vAlign w:val="center"/>
          </w:tcPr>
          <w:p w14:paraId="345896AF">
            <w:pPr>
              <w:spacing w:line="240" w:lineRule="auto"/>
              <w:jc w:val="center"/>
              <w:rPr>
                <w:sz w:val="21"/>
                <w:szCs w:val="21"/>
              </w:rPr>
            </w:pPr>
            <w:r>
              <w:rPr>
                <w:rFonts w:hint="eastAsia"/>
                <w:sz w:val="21"/>
                <w:szCs w:val="21"/>
              </w:rPr>
              <w:t>7.3</w:t>
            </w:r>
          </w:p>
        </w:tc>
        <w:tc>
          <w:tcPr>
            <w:tcW w:w="1770" w:type="dxa"/>
            <w:vAlign w:val="center"/>
          </w:tcPr>
          <w:p w14:paraId="6B958FD8">
            <w:pPr>
              <w:spacing w:line="240" w:lineRule="auto"/>
              <w:jc w:val="center"/>
              <w:rPr>
                <w:rFonts w:hint="eastAsia"/>
                <w:sz w:val="21"/>
                <w:szCs w:val="21"/>
              </w:rPr>
            </w:pPr>
            <w:r>
              <w:rPr>
                <w:rFonts w:hint="eastAsia"/>
                <w:sz w:val="21"/>
                <w:szCs w:val="21"/>
              </w:rPr>
              <w:t>6～9</w:t>
            </w:r>
          </w:p>
        </w:tc>
        <w:tc>
          <w:tcPr>
            <w:tcW w:w="1122" w:type="dxa"/>
            <w:vAlign w:val="center"/>
          </w:tcPr>
          <w:p w14:paraId="1CCC98EF">
            <w:pPr>
              <w:spacing w:line="240" w:lineRule="auto"/>
              <w:jc w:val="center"/>
              <w:rPr>
                <w:rFonts w:hint="eastAsia"/>
                <w:sz w:val="21"/>
                <w:szCs w:val="21"/>
              </w:rPr>
            </w:pPr>
            <w:r>
              <w:rPr>
                <w:rFonts w:hint="eastAsia"/>
                <w:sz w:val="21"/>
                <w:szCs w:val="21"/>
              </w:rPr>
              <w:t>0</w:t>
            </w:r>
          </w:p>
        </w:tc>
        <w:tc>
          <w:tcPr>
            <w:tcW w:w="1111" w:type="dxa"/>
            <w:vAlign w:val="center"/>
          </w:tcPr>
          <w:p w14:paraId="7A567A6C">
            <w:pPr>
              <w:spacing w:line="240" w:lineRule="auto"/>
              <w:jc w:val="center"/>
              <w:rPr>
                <w:rFonts w:hint="eastAsia"/>
                <w:sz w:val="21"/>
                <w:szCs w:val="21"/>
              </w:rPr>
            </w:pPr>
            <w:r>
              <w:rPr>
                <w:rFonts w:hint="eastAsia"/>
                <w:sz w:val="21"/>
                <w:szCs w:val="21"/>
              </w:rPr>
              <w:t>达标</w:t>
            </w:r>
          </w:p>
        </w:tc>
      </w:tr>
      <w:tr w14:paraId="2C605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3791217">
            <w:pPr>
              <w:spacing w:line="240" w:lineRule="auto"/>
              <w:jc w:val="center"/>
              <w:rPr>
                <w:rFonts w:hint="eastAsia"/>
                <w:sz w:val="21"/>
                <w:szCs w:val="21"/>
              </w:rPr>
            </w:pPr>
          </w:p>
        </w:tc>
        <w:tc>
          <w:tcPr>
            <w:tcW w:w="2252" w:type="dxa"/>
            <w:shd w:val="clear" w:color="auto" w:fill="auto"/>
            <w:vAlign w:val="center"/>
          </w:tcPr>
          <w:p w14:paraId="5AC594B0">
            <w:pPr>
              <w:spacing w:line="240" w:lineRule="auto"/>
              <w:jc w:val="center"/>
              <w:rPr>
                <w:rFonts w:hint="eastAsia"/>
                <w:sz w:val="21"/>
                <w:szCs w:val="21"/>
              </w:rPr>
            </w:pPr>
            <w:r>
              <w:rPr>
                <w:rFonts w:hint="eastAsia"/>
                <w:sz w:val="21"/>
                <w:szCs w:val="21"/>
              </w:rPr>
              <w:t>溶解氧</w:t>
            </w:r>
          </w:p>
        </w:tc>
        <w:tc>
          <w:tcPr>
            <w:tcW w:w="1344" w:type="dxa"/>
            <w:gridSpan w:val="2"/>
            <w:shd w:val="clear" w:color="auto" w:fill="FFFFFF"/>
            <w:vAlign w:val="center"/>
          </w:tcPr>
          <w:p w14:paraId="2D35595D">
            <w:pPr>
              <w:spacing w:line="240" w:lineRule="auto"/>
              <w:jc w:val="center"/>
              <w:rPr>
                <w:sz w:val="21"/>
                <w:szCs w:val="21"/>
              </w:rPr>
            </w:pPr>
            <w:r>
              <w:rPr>
                <w:rFonts w:hint="eastAsia"/>
                <w:sz w:val="21"/>
                <w:szCs w:val="21"/>
              </w:rPr>
              <w:t>7.64</w:t>
            </w:r>
          </w:p>
        </w:tc>
        <w:tc>
          <w:tcPr>
            <w:tcW w:w="1770" w:type="dxa"/>
            <w:shd w:val="solid" w:color="FFFFFF" w:fill="auto"/>
            <w:vAlign w:val="center"/>
          </w:tcPr>
          <w:p w14:paraId="17DE8B94">
            <w:pPr>
              <w:spacing w:line="240" w:lineRule="auto"/>
              <w:jc w:val="center"/>
              <w:rPr>
                <w:rFonts w:hint="eastAsia"/>
                <w:sz w:val="21"/>
                <w:szCs w:val="21"/>
              </w:rPr>
            </w:pPr>
            <w:r>
              <w:rPr>
                <w:rFonts w:hint="eastAsia"/>
                <w:sz w:val="21"/>
                <w:szCs w:val="21"/>
              </w:rPr>
              <w:t>≥6</w:t>
            </w:r>
          </w:p>
        </w:tc>
        <w:tc>
          <w:tcPr>
            <w:tcW w:w="1122" w:type="dxa"/>
            <w:vAlign w:val="center"/>
          </w:tcPr>
          <w:p w14:paraId="4CF303BB">
            <w:pPr>
              <w:spacing w:line="240" w:lineRule="auto"/>
              <w:jc w:val="center"/>
              <w:rPr>
                <w:rFonts w:hint="eastAsia"/>
                <w:sz w:val="21"/>
                <w:szCs w:val="21"/>
              </w:rPr>
            </w:pPr>
            <w:r>
              <w:rPr>
                <w:rFonts w:hint="eastAsia"/>
                <w:sz w:val="21"/>
                <w:szCs w:val="21"/>
              </w:rPr>
              <w:t>0</w:t>
            </w:r>
          </w:p>
        </w:tc>
        <w:tc>
          <w:tcPr>
            <w:tcW w:w="1111" w:type="dxa"/>
            <w:vAlign w:val="center"/>
          </w:tcPr>
          <w:p w14:paraId="2F3C12FD">
            <w:pPr>
              <w:spacing w:line="240" w:lineRule="auto"/>
              <w:jc w:val="center"/>
              <w:rPr>
                <w:rFonts w:hint="eastAsia"/>
                <w:sz w:val="21"/>
                <w:szCs w:val="21"/>
              </w:rPr>
            </w:pPr>
            <w:r>
              <w:rPr>
                <w:rFonts w:hint="eastAsia"/>
                <w:sz w:val="21"/>
                <w:szCs w:val="21"/>
              </w:rPr>
              <w:t>达标</w:t>
            </w:r>
          </w:p>
        </w:tc>
      </w:tr>
      <w:tr w14:paraId="5A870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8DA1611">
            <w:pPr>
              <w:spacing w:line="240" w:lineRule="auto"/>
              <w:jc w:val="center"/>
              <w:rPr>
                <w:rFonts w:hint="eastAsia"/>
                <w:sz w:val="21"/>
                <w:szCs w:val="21"/>
              </w:rPr>
            </w:pPr>
          </w:p>
        </w:tc>
        <w:tc>
          <w:tcPr>
            <w:tcW w:w="2252" w:type="dxa"/>
            <w:shd w:val="clear" w:color="auto" w:fill="auto"/>
            <w:vAlign w:val="center"/>
          </w:tcPr>
          <w:p w14:paraId="58F2A0E4">
            <w:pPr>
              <w:spacing w:line="240" w:lineRule="auto"/>
              <w:jc w:val="center"/>
              <w:rPr>
                <w:rFonts w:hint="eastAsia"/>
                <w:sz w:val="21"/>
                <w:szCs w:val="21"/>
              </w:rPr>
            </w:pPr>
            <w:r>
              <w:rPr>
                <w:rFonts w:hint="eastAsia"/>
                <w:sz w:val="21"/>
                <w:szCs w:val="21"/>
              </w:rPr>
              <w:t>高锰酸盐指数</w:t>
            </w:r>
          </w:p>
        </w:tc>
        <w:tc>
          <w:tcPr>
            <w:tcW w:w="1344" w:type="dxa"/>
            <w:gridSpan w:val="2"/>
            <w:shd w:val="clear" w:color="auto" w:fill="FFFFFF"/>
            <w:vAlign w:val="center"/>
          </w:tcPr>
          <w:p w14:paraId="1C7A56E7">
            <w:pPr>
              <w:spacing w:line="240" w:lineRule="auto"/>
              <w:jc w:val="center"/>
              <w:rPr>
                <w:sz w:val="21"/>
                <w:szCs w:val="21"/>
              </w:rPr>
            </w:pPr>
            <w:r>
              <w:rPr>
                <w:rFonts w:hint="eastAsia"/>
                <w:sz w:val="21"/>
                <w:szCs w:val="21"/>
              </w:rPr>
              <w:t>1.6</w:t>
            </w:r>
          </w:p>
        </w:tc>
        <w:tc>
          <w:tcPr>
            <w:tcW w:w="1770" w:type="dxa"/>
            <w:shd w:val="solid" w:color="FFFFFF" w:fill="auto"/>
            <w:vAlign w:val="center"/>
          </w:tcPr>
          <w:p w14:paraId="3A23B293">
            <w:pPr>
              <w:spacing w:line="240" w:lineRule="auto"/>
              <w:jc w:val="center"/>
              <w:rPr>
                <w:rFonts w:hint="eastAsia"/>
                <w:sz w:val="21"/>
                <w:szCs w:val="21"/>
              </w:rPr>
            </w:pPr>
            <w:r>
              <w:rPr>
                <w:rFonts w:hint="eastAsia"/>
                <w:sz w:val="21"/>
                <w:szCs w:val="21"/>
              </w:rPr>
              <w:t>4</w:t>
            </w:r>
          </w:p>
        </w:tc>
        <w:tc>
          <w:tcPr>
            <w:tcW w:w="1122" w:type="dxa"/>
            <w:vAlign w:val="center"/>
          </w:tcPr>
          <w:p w14:paraId="7E6E52C4">
            <w:pPr>
              <w:spacing w:line="240" w:lineRule="auto"/>
              <w:jc w:val="center"/>
              <w:rPr>
                <w:rFonts w:hint="eastAsia"/>
                <w:sz w:val="21"/>
                <w:szCs w:val="21"/>
              </w:rPr>
            </w:pPr>
            <w:r>
              <w:rPr>
                <w:rFonts w:hint="eastAsia"/>
                <w:sz w:val="21"/>
                <w:szCs w:val="21"/>
              </w:rPr>
              <w:t>0</w:t>
            </w:r>
          </w:p>
        </w:tc>
        <w:tc>
          <w:tcPr>
            <w:tcW w:w="1111" w:type="dxa"/>
            <w:vAlign w:val="center"/>
          </w:tcPr>
          <w:p w14:paraId="192BDB2B">
            <w:pPr>
              <w:spacing w:line="240" w:lineRule="auto"/>
              <w:jc w:val="center"/>
              <w:rPr>
                <w:rFonts w:hint="eastAsia"/>
                <w:sz w:val="21"/>
                <w:szCs w:val="21"/>
              </w:rPr>
            </w:pPr>
            <w:r>
              <w:rPr>
                <w:rFonts w:hint="eastAsia"/>
                <w:sz w:val="21"/>
                <w:szCs w:val="21"/>
              </w:rPr>
              <w:t>达标</w:t>
            </w:r>
          </w:p>
        </w:tc>
      </w:tr>
      <w:tr w14:paraId="38D71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B0F96B3">
            <w:pPr>
              <w:spacing w:line="240" w:lineRule="auto"/>
              <w:jc w:val="center"/>
              <w:rPr>
                <w:rFonts w:hint="eastAsia"/>
                <w:sz w:val="21"/>
                <w:szCs w:val="21"/>
              </w:rPr>
            </w:pPr>
          </w:p>
        </w:tc>
        <w:tc>
          <w:tcPr>
            <w:tcW w:w="2252" w:type="dxa"/>
            <w:shd w:val="clear" w:color="auto" w:fill="auto"/>
            <w:vAlign w:val="center"/>
          </w:tcPr>
          <w:p w14:paraId="7651BBB6">
            <w:pPr>
              <w:spacing w:line="240" w:lineRule="auto"/>
              <w:jc w:val="center"/>
              <w:rPr>
                <w:sz w:val="21"/>
                <w:szCs w:val="21"/>
              </w:rPr>
            </w:pPr>
            <w:r>
              <w:rPr>
                <w:rFonts w:hint="eastAsia"/>
                <w:sz w:val="21"/>
                <w:szCs w:val="21"/>
              </w:rPr>
              <w:t>化学需氧量</w:t>
            </w:r>
          </w:p>
        </w:tc>
        <w:tc>
          <w:tcPr>
            <w:tcW w:w="1344" w:type="dxa"/>
            <w:gridSpan w:val="2"/>
            <w:shd w:val="clear" w:color="auto" w:fill="FFFFFF"/>
            <w:vAlign w:val="center"/>
          </w:tcPr>
          <w:p w14:paraId="5D30E53D">
            <w:pPr>
              <w:spacing w:line="240" w:lineRule="auto"/>
              <w:jc w:val="center"/>
              <w:rPr>
                <w:sz w:val="21"/>
                <w:szCs w:val="21"/>
              </w:rPr>
            </w:pPr>
            <w:r>
              <w:rPr>
                <w:rFonts w:hint="eastAsia"/>
                <w:sz w:val="21"/>
                <w:szCs w:val="21"/>
              </w:rPr>
              <w:t>7</w:t>
            </w:r>
          </w:p>
        </w:tc>
        <w:tc>
          <w:tcPr>
            <w:tcW w:w="1770" w:type="dxa"/>
            <w:shd w:val="solid" w:color="FFFFFF" w:fill="auto"/>
            <w:vAlign w:val="center"/>
          </w:tcPr>
          <w:p w14:paraId="650F26C2">
            <w:pPr>
              <w:spacing w:line="240" w:lineRule="auto"/>
              <w:jc w:val="center"/>
              <w:rPr>
                <w:sz w:val="21"/>
                <w:szCs w:val="21"/>
              </w:rPr>
            </w:pPr>
            <w:r>
              <w:rPr>
                <w:rFonts w:hint="eastAsia"/>
                <w:sz w:val="21"/>
                <w:szCs w:val="21"/>
              </w:rPr>
              <w:t>15</w:t>
            </w:r>
          </w:p>
        </w:tc>
        <w:tc>
          <w:tcPr>
            <w:tcW w:w="1122" w:type="dxa"/>
            <w:vAlign w:val="center"/>
          </w:tcPr>
          <w:p w14:paraId="233490CF">
            <w:pPr>
              <w:spacing w:line="240" w:lineRule="auto"/>
              <w:jc w:val="center"/>
              <w:rPr>
                <w:rFonts w:hint="eastAsia"/>
                <w:sz w:val="21"/>
                <w:szCs w:val="21"/>
              </w:rPr>
            </w:pPr>
            <w:r>
              <w:rPr>
                <w:rFonts w:hint="eastAsia"/>
                <w:sz w:val="21"/>
                <w:szCs w:val="21"/>
              </w:rPr>
              <w:t>0</w:t>
            </w:r>
          </w:p>
        </w:tc>
        <w:tc>
          <w:tcPr>
            <w:tcW w:w="1111" w:type="dxa"/>
            <w:vAlign w:val="center"/>
          </w:tcPr>
          <w:p w14:paraId="60F88B42">
            <w:pPr>
              <w:spacing w:line="240" w:lineRule="auto"/>
              <w:jc w:val="center"/>
              <w:rPr>
                <w:rFonts w:hint="eastAsia"/>
                <w:sz w:val="21"/>
                <w:szCs w:val="21"/>
              </w:rPr>
            </w:pPr>
            <w:r>
              <w:rPr>
                <w:rFonts w:hint="eastAsia"/>
                <w:sz w:val="21"/>
                <w:szCs w:val="21"/>
              </w:rPr>
              <w:t>达标</w:t>
            </w:r>
          </w:p>
        </w:tc>
      </w:tr>
      <w:tr w14:paraId="5DE3F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32FCF577">
            <w:pPr>
              <w:spacing w:line="240" w:lineRule="auto"/>
              <w:jc w:val="center"/>
              <w:rPr>
                <w:rFonts w:hint="eastAsia"/>
                <w:sz w:val="21"/>
                <w:szCs w:val="21"/>
              </w:rPr>
            </w:pPr>
          </w:p>
        </w:tc>
        <w:tc>
          <w:tcPr>
            <w:tcW w:w="2252" w:type="dxa"/>
            <w:shd w:val="clear" w:color="auto" w:fill="auto"/>
            <w:vAlign w:val="center"/>
          </w:tcPr>
          <w:p w14:paraId="430D9CF2">
            <w:pPr>
              <w:spacing w:line="240" w:lineRule="auto"/>
              <w:jc w:val="center"/>
              <w:rPr>
                <w:rFonts w:hint="eastAsia"/>
                <w:sz w:val="21"/>
                <w:szCs w:val="21"/>
              </w:rPr>
            </w:pPr>
            <w:r>
              <w:rPr>
                <w:rFonts w:hint="eastAsia"/>
                <w:sz w:val="21"/>
                <w:szCs w:val="21"/>
              </w:rPr>
              <w:t>五日生化需氧量</w:t>
            </w:r>
          </w:p>
        </w:tc>
        <w:tc>
          <w:tcPr>
            <w:tcW w:w="1344" w:type="dxa"/>
            <w:gridSpan w:val="2"/>
            <w:shd w:val="clear" w:color="auto" w:fill="FFFFFF"/>
            <w:vAlign w:val="center"/>
          </w:tcPr>
          <w:p w14:paraId="42324549">
            <w:pPr>
              <w:spacing w:line="240" w:lineRule="auto"/>
              <w:jc w:val="center"/>
              <w:rPr>
                <w:sz w:val="21"/>
                <w:szCs w:val="21"/>
              </w:rPr>
            </w:pPr>
            <w:r>
              <w:rPr>
                <w:rFonts w:hint="eastAsia"/>
                <w:sz w:val="21"/>
                <w:szCs w:val="21"/>
              </w:rPr>
              <w:t>1.4</w:t>
            </w:r>
          </w:p>
        </w:tc>
        <w:tc>
          <w:tcPr>
            <w:tcW w:w="1770" w:type="dxa"/>
            <w:shd w:val="solid" w:color="FFFFFF" w:fill="auto"/>
            <w:vAlign w:val="center"/>
          </w:tcPr>
          <w:p w14:paraId="6E155FDF">
            <w:pPr>
              <w:spacing w:line="240" w:lineRule="auto"/>
              <w:jc w:val="center"/>
              <w:rPr>
                <w:rFonts w:hint="eastAsia"/>
                <w:sz w:val="21"/>
                <w:szCs w:val="21"/>
              </w:rPr>
            </w:pPr>
            <w:r>
              <w:rPr>
                <w:rFonts w:hint="eastAsia"/>
                <w:sz w:val="21"/>
                <w:szCs w:val="21"/>
              </w:rPr>
              <w:t>3</w:t>
            </w:r>
          </w:p>
        </w:tc>
        <w:tc>
          <w:tcPr>
            <w:tcW w:w="1122" w:type="dxa"/>
            <w:vAlign w:val="center"/>
          </w:tcPr>
          <w:p w14:paraId="17669C80">
            <w:pPr>
              <w:spacing w:line="240" w:lineRule="auto"/>
              <w:jc w:val="center"/>
              <w:rPr>
                <w:rFonts w:hint="eastAsia"/>
                <w:sz w:val="21"/>
                <w:szCs w:val="21"/>
              </w:rPr>
            </w:pPr>
            <w:r>
              <w:rPr>
                <w:rFonts w:hint="eastAsia"/>
                <w:sz w:val="21"/>
                <w:szCs w:val="21"/>
              </w:rPr>
              <w:t>0</w:t>
            </w:r>
          </w:p>
        </w:tc>
        <w:tc>
          <w:tcPr>
            <w:tcW w:w="1111" w:type="dxa"/>
            <w:vAlign w:val="center"/>
          </w:tcPr>
          <w:p w14:paraId="4042C86D">
            <w:pPr>
              <w:spacing w:line="240" w:lineRule="auto"/>
              <w:jc w:val="center"/>
              <w:rPr>
                <w:rFonts w:hint="eastAsia"/>
                <w:sz w:val="21"/>
                <w:szCs w:val="21"/>
              </w:rPr>
            </w:pPr>
            <w:r>
              <w:rPr>
                <w:rFonts w:hint="eastAsia"/>
                <w:sz w:val="21"/>
                <w:szCs w:val="21"/>
              </w:rPr>
              <w:t>达标</w:t>
            </w:r>
          </w:p>
        </w:tc>
      </w:tr>
      <w:tr w14:paraId="07420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673CCFB">
            <w:pPr>
              <w:spacing w:line="240" w:lineRule="auto"/>
              <w:jc w:val="center"/>
              <w:rPr>
                <w:rFonts w:hint="eastAsia"/>
                <w:sz w:val="21"/>
                <w:szCs w:val="21"/>
              </w:rPr>
            </w:pPr>
          </w:p>
        </w:tc>
        <w:tc>
          <w:tcPr>
            <w:tcW w:w="2252" w:type="dxa"/>
            <w:shd w:val="clear" w:color="auto" w:fill="auto"/>
            <w:vAlign w:val="center"/>
          </w:tcPr>
          <w:p w14:paraId="3D5CFEFD">
            <w:pPr>
              <w:spacing w:line="240" w:lineRule="auto"/>
              <w:jc w:val="center"/>
              <w:rPr>
                <w:rFonts w:hint="eastAsia"/>
                <w:sz w:val="21"/>
                <w:szCs w:val="21"/>
              </w:rPr>
            </w:pPr>
            <w:r>
              <w:rPr>
                <w:rFonts w:hint="eastAsia"/>
                <w:sz w:val="21"/>
                <w:szCs w:val="21"/>
              </w:rPr>
              <w:t>氨氮</w:t>
            </w:r>
          </w:p>
        </w:tc>
        <w:tc>
          <w:tcPr>
            <w:tcW w:w="1344" w:type="dxa"/>
            <w:gridSpan w:val="2"/>
            <w:shd w:val="clear" w:color="auto" w:fill="FFFFFF"/>
            <w:vAlign w:val="center"/>
          </w:tcPr>
          <w:p w14:paraId="52FB25E2">
            <w:pPr>
              <w:spacing w:line="240" w:lineRule="auto"/>
              <w:jc w:val="center"/>
              <w:rPr>
                <w:sz w:val="21"/>
                <w:szCs w:val="21"/>
              </w:rPr>
            </w:pPr>
            <w:r>
              <w:rPr>
                <w:rFonts w:hint="eastAsia"/>
                <w:sz w:val="21"/>
                <w:szCs w:val="21"/>
              </w:rPr>
              <w:t>0.03</w:t>
            </w:r>
          </w:p>
        </w:tc>
        <w:tc>
          <w:tcPr>
            <w:tcW w:w="1770" w:type="dxa"/>
            <w:shd w:val="solid" w:color="FFFFFF" w:fill="auto"/>
            <w:vAlign w:val="center"/>
          </w:tcPr>
          <w:p w14:paraId="0CE589D1">
            <w:pPr>
              <w:spacing w:line="240" w:lineRule="auto"/>
              <w:jc w:val="center"/>
              <w:rPr>
                <w:rFonts w:hint="eastAsia"/>
                <w:sz w:val="21"/>
                <w:szCs w:val="21"/>
              </w:rPr>
            </w:pPr>
            <w:r>
              <w:rPr>
                <w:rFonts w:hint="eastAsia"/>
                <w:sz w:val="21"/>
                <w:szCs w:val="21"/>
              </w:rPr>
              <w:t>0.5</w:t>
            </w:r>
          </w:p>
        </w:tc>
        <w:tc>
          <w:tcPr>
            <w:tcW w:w="1122" w:type="dxa"/>
            <w:vAlign w:val="center"/>
          </w:tcPr>
          <w:p w14:paraId="2985F132">
            <w:pPr>
              <w:spacing w:line="240" w:lineRule="auto"/>
              <w:jc w:val="center"/>
              <w:rPr>
                <w:rFonts w:hint="eastAsia"/>
                <w:sz w:val="21"/>
                <w:szCs w:val="21"/>
              </w:rPr>
            </w:pPr>
            <w:r>
              <w:rPr>
                <w:rFonts w:hint="eastAsia"/>
                <w:sz w:val="21"/>
                <w:szCs w:val="21"/>
              </w:rPr>
              <w:t>0</w:t>
            </w:r>
          </w:p>
        </w:tc>
        <w:tc>
          <w:tcPr>
            <w:tcW w:w="1111" w:type="dxa"/>
            <w:vAlign w:val="center"/>
          </w:tcPr>
          <w:p w14:paraId="33569869">
            <w:pPr>
              <w:spacing w:line="240" w:lineRule="auto"/>
              <w:jc w:val="center"/>
              <w:rPr>
                <w:rFonts w:hint="eastAsia"/>
                <w:sz w:val="21"/>
                <w:szCs w:val="21"/>
              </w:rPr>
            </w:pPr>
            <w:r>
              <w:rPr>
                <w:rFonts w:hint="eastAsia"/>
                <w:sz w:val="21"/>
                <w:szCs w:val="21"/>
              </w:rPr>
              <w:t>达标</w:t>
            </w:r>
          </w:p>
        </w:tc>
      </w:tr>
      <w:tr w14:paraId="5FC65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218FB749">
            <w:pPr>
              <w:spacing w:line="240" w:lineRule="auto"/>
              <w:jc w:val="center"/>
              <w:rPr>
                <w:rFonts w:hint="eastAsia"/>
                <w:sz w:val="21"/>
                <w:szCs w:val="21"/>
              </w:rPr>
            </w:pPr>
          </w:p>
        </w:tc>
        <w:tc>
          <w:tcPr>
            <w:tcW w:w="2252" w:type="dxa"/>
            <w:shd w:val="clear" w:color="auto" w:fill="auto"/>
            <w:vAlign w:val="center"/>
          </w:tcPr>
          <w:p w14:paraId="7439C642">
            <w:pPr>
              <w:spacing w:line="240" w:lineRule="auto"/>
              <w:jc w:val="center"/>
              <w:rPr>
                <w:rFonts w:hint="eastAsia"/>
                <w:sz w:val="21"/>
                <w:szCs w:val="21"/>
              </w:rPr>
            </w:pPr>
            <w:r>
              <w:rPr>
                <w:rFonts w:hint="eastAsia"/>
                <w:sz w:val="21"/>
                <w:szCs w:val="21"/>
              </w:rPr>
              <w:t>总磷</w:t>
            </w:r>
          </w:p>
        </w:tc>
        <w:tc>
          <w:tcPr>
            <w:tcW w:w="1344" w:type="dxa"/>
            <w:gridSpan w:val="2"/>
            <w:shd w:val="clear" w:color="auto" w:fill="FFFFFF"/>
            <w:vAlign w:val="center"/>
          </w:tcPr>
          <w:p w14:paraId="7BED24E3">
            <w:pPr>
              <w:spacing w:line="240" w:lineRule="auto"/>
              <w:jc w:val="center"/>
              <w:rPr>
                <w:sz w:val="21"/>
                <w:szCs w:val="21"/>
              </w:rPr>
            </w:pPr>
            <w:r>
              <w:rPr>
                <w:rFonts w:hint="eastAsia"/>
                <w:sz w:val="21"/>
                <w:szCs w:val="21"/>
              </w:rPr>
              <w:t>0.04</w:t>
            </w:r>
          </w:p>
        </w:tc>
        <w:tc>
          <w:tcPr>
            <w:tcW w:w="1770" w:type="dxa"/>
            <w:shd w:val="solid" w:color="FFFFFF" w:fill="auto"/>
            <w:vAlign w:val="center"/>
          </w:tcPr>
          <w:p w14:paraId="6B5D302E">
            <w:pPr>
              <w:spacing w:line="240" w:lineRule="auto"/>
              <w:jc w:val="center"/>
              <w:rPr>
                <w:rFonts w:hint="eastAsia"/>
                <w:sz w:val="21"/>
                <w:szCs w:val="21"/>
              </w:rPr>
            </w:pPr>
            <w:r>
              <w:rPr>
                <w:rFonts w:hint="eastAsia"/>
                <w:sz w:val="21"/>
                <w:szCs w:val="21"/>
              </w:rPr>
              <w:t>0.1</w:t>
            </w:r>
          </w:p>
        </w:tc>
        <w:tc>
          <w:tcPr>
            <w:tcW w:w="1122" w:type="dxa"/>
            <w:vAlign w:val="center"/>
          </w:tcPr>
          <w:p w14:paraId="43FA6778">
            <w:pPr>
              <w:spacing w:line="240" w:lineRule="auto"/>
              <w:jc w:val="center"/>
              <w:rPr>
                <w:rFonts w:hint="eastAsia"/>
                <w:sz w:val="21"/>
                <w:szCs w:val="21"/>
              </w:rPr>
            </w:pPr>
            <w:r>
              <w:rPr>
                <w:rFonts w:hint="eastAsia"/>
                <w:sz w:val="21"/>
                <w:szCs w:val="21"/>
              </w:rPr>
              <w:t>0</w:t>
            </w:r>
          </w:p>
        </w:tc>
        <w:tc>
          <w:tcPr>
            <w:tcW w:w="1111" w:type="dxa"/>
            <w:vAlign w:val="center"/>
          </w:tcPr>
          <w:p w14:paraId="1143742E">
            <w:pPr>
              <w:spacing w:line="240" w:lineRule="auto"/>
              <w:jc w:val="center"/>
              <w:rPr>
                <w:rFonts w:hint="eastAsia"/>
                <w:sz w:val="21"/>
                <w:szCs w:val="21"/>
              </w:rPr>
            </w:pPr>
            <w:r>
              <w:rPr>
                <w:rFonts w:hint="eastAsia"/>
                <w:sz w:val="21"/>
                <w:szCs w:val="21"/>
              </w:rPr>
              <w:t>达标</w:t>
            </w:r>
          </w:p>
        </w:tc>
      </w:tr>
      <w:tr w14:paraId="1F944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A4B4CE3">
            <w:pPr>
              <w:spacing w:line="240" w:lineRule="auto"/>
              <w:jc w:val="center"/>
              <w:rPr>
                <w:rFonts w:hint="eastAsia"/>
                <w:sz w:val="21"/>
                <w:szCs w:val="21"/>
              </w:rPr>
            </w:pPr>
          </w:p>
        </w:tc>
        <w:tc>
          <w:tcPr>
            <w:tcW w:w="2252" w:type="dxa"/>
            <w:shd w:val="clear" w:color="auto" w:fill="auto"/>
            <w:vAlign w:val="center"/>
          </w:tcPr>
          <w:p w14:paraId="45652452">
            <w:pPr>
              <w:spacing w:line="240" w:lineRule="auto"/>
              <w:jc w:val="center"/>
              <w:rPr>
                <w:rFonts w:hint="eastAsia"/>
                <w:sz w:val="21"/>
                <w:szCs w:val="21"/>
              </w:rPr>
            </w:pPr>
            <w:r>
              <w:rPr>
                <w:rFonts w:hint="eastAsia"/>
                <w:sz w:val="21"/>
                <w:szCs w:val="21"/>
              </w:rPr>
              <w:t>总氮</w:t>
            </w:r>
          </w:p>
        </w:tc>
        <w:tc>
          <w:tcPr>
            <w:tcW w:w="1344" w:type="dxa"/>
            <w:gridSpan w:val="2"/>
            <w:shd w:val="clear" w:color="auto" w:fill="FFFFFF"/>
            <w:vAlign w:val="center"/>
          </w:tcPr>
          <w:p w14:paraId="4186DFEC">
            <w:pPr>
              <w:spacing w:line="240" w:lineRule="auto"/>
              <w:jc w:val="center"/>
              <w:rPr>
                <w:sz w:val="21"/>
                <w:szCs w:val="21"/>
              </w:rPr>
            </w:pPr>
            <w:r>
              <w:rPr>
                <w:rFonts w:hint="eastAsia"/>
                <w:sz w:val="21"/>
                <w:szCs w:val="21"/>
              </w:rPr>
              <w:t>0.99</w:t>
            </w:r>
          </w:p>
        </w:tc>
        <w:tc>
          <w:tcPr>
            <w:tcW w:w="1770" w:type="dxa"/>
            <w:shd w:val="solid" w:color="FFFFFF" w:fill="auto"/>
            <w:vAlign w:val="center"/>
          </w:tcPr>
          <w:p w14:paraId="1EFFAE5F">
            <w:pPr>
              <w:spacing w:line="240" w:lineRule="auto"/>
              <w:jc w:val="center"/>
              <w:rPr>
                <w:rFonts w:hint="eastAsia"/>
                <w:sz w:val="21"/>
                <w:szCs w:val="21"/>
              </w:rPr>
            </w:pPr>
            <w:r>
              <w:rPr>
                <w:rFonts w:hint="eastAsia"/>
                <w:sz w:val="21"/>
                <w:szCs w:val="21"/>
              </w:rPr>
              <w:t>0.5</w:t>
            </w:r>
          </w:p>
        </w:tc>
        <w:tc>
          <w:tcPr>
            <w:tcW w:w="1122" w:type="dxa"/>
            <w:vAlign w:val="center"/>
          </w:tcPr>
          <w:p w14:paraId="715D0625">
            <w:pPr>
              <w:spacing w:line="240" w:lineRule="auto"/>
              <w:jc w:val="center"/>
              <w:rPr>
                <w:sz w:val="21"/>
                <w:szCs w:val="21"/>
              </w:rPr>
            </w:pPr>
            <w:r>
              <w:rPr>
                <w:rFonts w:hint="eastAsia"/>
                <w:sz w:val="21"/>
                <w:szCs w:val="21"/>
              </w:rPr>
              <w:t>0.98</w:t>
            </w:r>
          </w:p>
        </w:tc>
        <w:tc>
          <w:tcPr>
            <w:tcW w:w="1111" w:type="dxa"/>
            <w:vAlign w:val="center"/>
          </w:tcPr>
          <w:p w14:paraId="1081BC3A">
            <w:pPr>
              <w:spacing w:line="240" w:lineRule="auto"/>
              <w:jc w:val="center"/>
              <w:rPr>
                <w:rFonts w:hint="eastAsia"/>
                <w:sz w:val="21"/>
                <w:szCs w:val="21"/>
              </w:rPr>
            </w:pPr>
            <w:r>
              <w:rPr>
                <w:rFonts w:hint="eastAsia"/>
                <w:sz w:val="21"/>
                <w:szCs w:val="21"/>
              </w:rPr>
              <w:t>超标</w:t>
            </w:r>
          </w:p>
        </w:tc>
      </w:tr>
      <w:tr w14:paraId="41831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924DD4A">
            <w:pPr>
              <w:spacing w:line="240" w:lineRule="auto"/>
              <w:jc w:val="center"/>
              <w:rPr>
                <w:rFonts w:hint="eastAsia"/>
                <w:sz w:val="21"/>
                <w:szCs w:val="21"/>
              </w:rPr>
            </w:pPr>
          </w:p>
        </w:tc>
        <w:tc>
          <w:tcPr>
            <w:tcW w:w="2252" w:type="dxa"/>
            <w:shd w:val="clear" w:color="auto" w:fill="auto"/>
            <w:vAlign w:val="center"/>
          </w:tcPr>
          <w:p w14:paraId="46A1A425">
            <w:pPr>
              <w:spacing w:line="240" w:lineRule="auto"/>
              <w:jc w:val="center"/>
              <w:rPr>
                <w:rFonts w:hint="eastAsia"/>
                <w:sz w:val="21"/>
                <w:szCs w:val="21"/>
              </w:rPr>
            </w:pPr>
            <w:r>
              <w:rPr>
                <w:rFonts w:hint="eastAsia"/>
                <w:sz w:val="21"/>
                <w:szCs w:val="21"/>
              </w:rPr>
              <w:t>铜</w:t>
            </w:r>
          </w:p>
        </w:tc>
        <w:tc>
          <w:tcPr>
            <w:tcW w:w="1344" w:type="dxa"/>
            <w:gridSpan w:val="2"/>
            <w:shd w:val="clear" w:color="auto" w:fill="FFFFFF"/>
            <w:vAlign w:val="center"/>
          </w:tcPr>
          <w:p w14:paraId="3AB955E5">
            <w:pPr>
              <w:spacing w:line="240" w:lineRule="auto"/>
              <w:jc w:val="center"/>
              <w:rPr>
                <w:sz w:val="21"/>
                <w:szCs w:val="21"/>
              </w:rPr>
            </w:pPr>
            <w:r>
              <w:rPr>
                <w:rFonts w:hint="eastAsia"/>
                <w:sz w:val="21"/>
                <w:szCs w:val="21"/>
              </w:rPr>
              <w:t>0.00036</w:t>
            </w:r>
          </w:p>
        </w:tc>
        <w:tc>
          <w:tcPr>
            <w:tcW w:w="1770" w:type="dxa"/>
            <w:shd w:val="solid" w:color="FFFFFF" w:fill="auto"/>
            <w:vAlign w:val="center"/>
          </w:tcPr>
          <w:p w14:paraId="16BF0ED3">
            <w:pPr>
              <w:spacing w:line="240" w:lineRule="auto"/>
              <w:jc w:val="center"/>
              <w:rPr>
                <w:rFonts w:hint="eastAsia"/>
                <w:sz w:val="21"/>
                <w:szCs w:val="21"/>
              </w:rPr>
            </w:pPr>
            <w:r>
              <w:rPr>
                <w:rFonts w:hint="eastAsia"/>
                <w:sz w:val="21"/>
                <w:szCs w:val="21"/>
              </w:rPr>
              <w:t>1.0</w:t>
            </w:r>
          </w:p>
        </w:tc>
        <w:tc>
          <w:tcPr>
            <w:tcW w:w="1122" w:type="dxa"/>
            <w:vAlign w:val="center"/>
          </w:tcPr>
          <w:p w14:paraId="2ECDBAAD">
            <w:pPr>
              <w:spacing w:line="240" w:lineRule="auto"/>
              <w:jc w:val="center"/>
              <w:rPr>
                <w:rFonts w:hint="eastAsia"/>
                <w:sz w:val="21"/>
                <w:szCs w:val="21"/>
              </w:rPr>
            </w:pPr>
            <w:r>
              <w:rPr>
                <w:rFonts w:hint="eastAsia"/>
                <w:sz w:val="21"/>
                <w:szCs w:val="21"/>
              </w:rPr>
              <w:t>0</w:t>
            </w:r>
          </w:p>
        </w:tc>
        <w:tc>
          <w:tcPr>
            <w:tcW w:w="1111" w:type="dxa"/>
            <w:vAlign w:val="center"/>
          </w:tcPr>
          <w:p w14:paraId="7E05EA4D">
            <w:pPr>
              <w:spacing w:line="240" w:lineRule="auto"/>
              <w:jc w:val="center"/>
              <w:rPr>
                <w:rFonts w:hint="eastAsia"/>
                <w:sz w:val="21"/>
                <w:szCs w:val="21"/>
              </w:rPr>
            </w:pPr>
            <w:r>
              <w:rPr>
                <w:rFonts w:hint="eastAsia"/>
                <w:sz w:val="21"/>
                <w:szCs w:val="21"/>
              </w:rPr>
              <w:t>达标</w:t>
            </w:r>
          </w:p>
        </w:tc>
      </w:tr>
      <w:tr w14:paraId="364BA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61E7FEA">
            <w:pPr>
              <w:spacing w:line="240" w:lineRule="auto"/>
              <w:jc w:val="center"/>
              <w:rPr>
                <w:rFonts w:hint="eastAsia"/>
                <w:sz w:val="21"/>
                <w:szCs w:val="21"/>
              </w:rPr>
            </w:pPr>
          </w:p>
        </w:tc>
        <w:tc>
          <w:tcPr>
            <w:tcW w:w="2252" w:type="dxa"/>
            <w:shd w:val="clear" w:color="auto" w:fill="auto"/>
            <w:vAlign w:val="center"/>
          </w:tcPr>
          <w:p w14:paraId="569A4914">
            <w:pPr>
              <w:spacing w:line="240" w:lineRule="auto"/>
              <w:jc w:val="center"/>
              <w:rPr>
                <w:rFonts w:hint="eastAsia"/>
                <w:sz w:val="21"/>
                <w:szCs w:val="21"/>
              </w:rPr>
            </w:pPr>
            <w:r>
              <w:rPr>
                <w:rFonts w:hint="eastAsia"/>
                <w:sz w:val="21"/>
                <w:szCs w:val="21"/>
              </w:rPr>
              <w:t>锌</w:t>
            </w:r>
          </w:p>
        </w:tc>
        <w:tc>
          <w:tcPr>
            <w:tcW w:w="1344" w:type="dxa"/>
            <w:gridSpan w:val="2"/>
            <w:shd w:val="clear" w:color="auto" w:fill="FFFFFF"/>
            <w:vAlign w:val="center"/>
          </w:tcPr>
          <w:p w14:paraId="4A073515">
            <w:pPr>
              <w:spacing w:line="240" w:lineRule="auto"/>
              <w:jc w:val="center"/>
              <w:rPr>
                <w:sz w:val="21"/>
                <w:szCs w:val="21"/>
              </w:rPr>
            </w:pPr>
            <w:r>
              <w:rPr>
                <w:rFonts w:hint="eastAsia"/>
                <w:sz w:val="21"/>
                <w:szCs w:val="21"/>
              </w:rPr>
              <w:t>0.0281</w:t>
            </w:r>
          </w:p>
        </w:tc>
        <w:tc>
          <w:tcPr>
            <w:tcW w:w="1770" w:type="dxa"/>
            <w:shd w:val="solid" w:color="FFFFFF" w:fill="auto"/>
            <w:vAlign w:val="center"/>
          </w:tcPr>
          <w:p w14:paraId="00BB0FF4">
            <w:pPr>
              <w:spacing w:line="240" w:lineRule="auto"/>
              <w:jc w:val="center"/>
              <w:rPr>
                <w:rFonts w:hint="eastAsia"/>
                <w:sz w:val="21"/>
                <w:szCs w:val="21"/>
              </w:rPr>
            </w:pPr>
            <w:r>
              <w:rPr>
                <w:rFonts w:hint="eastAsia"/>
                <w:sz w:val="21"/>
                <w:szCs w:val="21"/>
              </w:rPr>
              <w:t>1.0</w:t>
            </w:r>
          </w:p>
        </w:tc>
        <w:tc>
          <w:tcPr>
            <w:tcW w:w="1122" w:type="dxa"/>
            <w:vAlign w:val="center"/>
          </w:tcPr>
          <w:p w14:paraId="73E8529E">
            <w:pPr>
              <w:spacing w:line="240" w:lineRule="auto"/>
              <w:jc w:val="center"/>
              <w:rPr>
                <w:rFonts w:hint="eastAsia"/>
                <w:sz w:val="21"/>
                <w:szCs w:val="21"/>
              </w:rPr>
            </w:pPr>
            <w:r>
              <w:rPr>
                <w:rFonts w:hint="eastAsia"/>
                <w:sz w:val="21"/>
                <w:szCs w:val="21"/>
              </w:rPr>
              <w:t>0</w:t>
            </w:r>
          </w:p>
        </w:tc>
        <w:tc>
          <w:tcPr>
            <w:tcW w:w="1111" w:type="dxa"/>
            <w:vAlign w:val="center"/>
          </w:tcPr>
          <w:p w14:paraId="02B71249">
            <w:pPr>
              <w:spacing w:line="240" w:lineRule="auto"/>
              <w:jc w:val="center"/>
              <w:rPr>
                <w:rFonts w:hint="eastAsia"/>
                <w:sz w:val="21"/>
                <w:szCs w:val="21"/>
              </w:rPr>
            </w:pPr>
            <w:r>
              <w:rPr>
                <w:rFonts w:hint="eastAsia"/>
                <w:sz w:val="21"/>
                <w:szCs w:val="21"/>
              </w:rPr>
              <w:t>达标</w:t>
            </w:r>
          </w:p>
        </w:tc>
      </w:tr>
      <w:tr w14:paraId="63ED1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D0C7C8F">
            <w:pPr>
              <w:spacing w:line="240" w:lineRule="auto"/>
              <w:jc w:val="center"/>
              <w:rPr>
                <w:rFonts w:hint="eastAsia"/>
                <w:sz w:val="21"/>
                <w:szCs w:val="21"/>
              </w:rPr>
            </w:pPr>
          </w:p>
        </w:tc>
        <w:tc>
          <w:tcPr>
            <w:tcW w:w="2252" w:type="dxa"/>
            <w:shd w:val="clear" w:color="auto" w:fill="auto"/>
            <w:vAlign w:val="center"/>
          </w:tcPr>
          <w:p w14:paraId="61F6DA00">
            <w:pPr>
              <w:spacing w:line="240" w:lineRule="auto"/>
              <w:jc w:val="center"/>
              <w:rPr>
                <w:rFonts w:hint="eastAsia"/>
                <w:sz w:val="21"/>
                <w:szCs w:val="21"/>
              </w:rPr>
            </w:pPr>
            <w:r>
              <w:rPr>
                <w:rFonts w:hint="eastAsia"/>
                <w:sz w:val="21"/>
                <w:szCs w:val="21"/>
              </w:rPr>
              <w:t>氟化物</w:t>
            </w:r>
          </w:p>
        </w:tc>
        <w:tc>
          <w:tcPr>
            <w:tcW w:w="1344" w:type="dxa"/>
            <w:gridSpan w:val="2"/>
            <w:shd w:val="clear" w:color="auto" w:fill="FFFFFF"/>
            <w:vAlign w:val="center"/>
          </w:tcPr>
          <w:p w14:paraId="42B669B6">
            <w:pPr>
              <w:spacing w:line="240" w:lineRule="auto"/>
              <w:jc w:val="center"/>
              <w:rPr>
                <w:sz w:val="21"/>
                <w:szCs w:val="21"/>
              </w:rPr>
            </w:pPr>
            <w:r>
              <w:rPr>
                <w:rFonts w:hint="eastAsia"/>
                <w:sz w:val="21"/>
                <w:szCs w:val="21"/>
              </w:rPr>
              <w:t>0.058</w:t>
            </w:r>
          </w:p>
        </w:tc>
        <w:tc>
          <w:tcPr>
            <w:tcW w:w="1770" w:type="dxa"/>
            <w:shd w:val="solid" w:color="FFFFFF" w:fill="auto"/>
            <w:vAlign w:val="center"/>
          </w:tcPr>
          <w:p w14:paraId="2D056AB4">
            <w:pPr>
              <w:spacing w:line="240" w:lineRule="auto"/>
              <w:jc w:val="center"/>
              <w:rPr>
                <w:rFonts w:hint="eastAsia"/>
                <w:sz w:val="21"/>
                <w:szCs w:val="21"/>
              </w:rPr>
            </w:pPr>
            <w:r>
              <w:rPr>
                <w:rFonts w:hint="eastAsia"/>
                <w:sz w:val="21"/>
                <w:szCs w:val="21"/>
              </w:rPr>
              <w:t>1.0</w:t>
            </w:r>
          </w:p>
        </w:tc>
        <w:tc>
          <w:tcPr>
            <w:tcW w:w="1122" w:type="dxa"/>
            <w:vAlign w:val="center"/>
          </w:tcPr>
          <w:p w14:paraId="01F4DA93">
            <w:pPr>
              <w:spacing w:line="240" w:lineRule="auto"/>
              <w:jc w:val="center"/>
              <w:rPr>
                <w:rFonts w:hint="eastAsia"/>
                <w:sz w:val="21"/>
                <w:szCs w:val="21"/>
              </w:rPr>
            </w:pPr>
            <w:r>
              <w:rPr>
                <w:rFonts w:hint="eastAsia"/>
                <w:sz w:val="21"/>
                <w:szCs w:val="21"/>
              </w:rPr>
              <w:t>0</w:t>
            </w:r>
          </w:p>
        </w:tc>
        <w:tc>
          <w:tcPr>
            <w:tcW w:w="1111" w:type="dxa"/>
            <w:vAlign w:val="center"/>
          </w:tcPr>
          <w:p w14:paraId="23A7E3FA">
            <w:pPr>
              <w:spacing w:line="240" w:lineRule="auto"/>
              <w:jc w:val="center"/>
              <w:rPr>
                <w:rFonts w:hint="eastAsia"/>
                <w:sz w:val="21"/>
                <w:szCs w:val="21"/>
              </w:rPr>
            </w:pPr>
            <w:r>
              <w:rPr>
                <w:rFonts w:hint="eastAsia"/>
                <w:sz w:val="21"/>
                <w:szCs w:val="21"/>
              </w:rPr>
              <w:t>达标</w:t>
            </w:r>
          </w:p>
        </w:tc>
      </w:tr>
      <w:tr w14:paraId="074A4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401EEF5">
            <w:pPr>
              <w:spacing w:line="240" w:lineRule="auto"/>
              <w:jc w:val="center"/>
              <w:rPr>
                <w:rFonts w:hint="eastAsia"/>
                <w:sz w:val="21"/>
                <w:szCs w:val="21"/>
              </w:rPr>
            </w:pPr>
          </w:p>
        </w:tc>
        <w:tc>
          <w:tcPr>
            <w:tcW w:w="2252" w:type="dxa"/>
            <w:shd w:val="clear" w:color="auto" w:fill="auto"/>
            <w:vAlign w:val="center"/>
          </w:tcPr>
          <w:p w14:paraId="5138FE06">
            <w:pPr>
              <w:spacing w:line="240" w:lineRule="auto"/>
              <w:jc w:val="center"/>
              <w:rPr>
                <w:rFonts w:hint="eastAsia"/>
                <w:sz w:val="21"/>
                <w:szCs w:val="21"/>
              </w:rPr>
            </w:pPr>
            <w:r>
              <w:rPr>
                <w:rFonts w:hint="eastAsia"/>
                <w:sz w:val="21"/>
                <w:szCs w:val="21"/>
              </w:rPr>
              <w:t>硒</w:t>
            </w:r>
          </w:p>
        </w:tc>
        <w:tc>
          <w:tcPr>
            <w:tcW w:w="1271" w:type="dxa"/>
            <w:shd w:val="clear" w:color="auto" w:fill="FFFFFF"/>
            <w:vAlign w:val="center"/>
          </w:tcPr>
          <w:p w14:paraId="1BF34227">
            <w:pPr>
              <w:spacing w:line="240" w:lineRule="auto"/>
              <w:jc w:val="center"/>
              <w:rPr>
                <w:sz w:val="21"/>
                <w:szCs w:val="21"/>
              </w:rPr>
            </w:pPr>
            <w:r>
              <w:rPr>
                <w:rFonts w:hint="eastAsia"/>
                <w:sz w:val="21"/>
                <w:szCs w:val="21"/>
              </w:rPr>
              <w:t>0.0004L</w:t>
            </w:r>
          </w:p>
        </w:tc>
        <w:tc>
          <w:tcPr>
            <w:tcW w:w="1843" w:type="dxa"/>
            <w:gridSpan w:val="2"/>
            <w:shd w:val="solid" w:color="FFFFFF" w:fill="auto"/>
            <w:vAlign w:val="center"/>
          </w:tcPr>
          <w:p w14:paraId="356D69E5">
            <w:pPr>
              <w:spacing w:line="240" w:lineRule="auto"/>
              <w:jc w:val="center"/>
              <w:rPr>
                <w:rFonts w:hint="eastAsia"/>
                <w:sz w:val="21"/>
                <w:szCs w:val="21"/>
              </w:rPr>
            </w:pPr>
            <w:r>
              <w:rPr>
                <w:rFonts w:hint="eastAsia"/>
                <w:sz w:val="21"/>
                <w:szCs w:val="21"/>
              </w:rPr>
              <w:t>0.01</w:t>
            </w:r>
          </w:p>
        </w:tc>
        <w:tc>
          <w:tcPr>
            <w:tcW w:w="1122" w:type="dxa"/>
            <w:vAlign w:val="center"/>
          </w:tcPr>
          <w:p w14:paraId="1328D555">
            <w:pPr>
              <w:spacing w:line="240" w:lineRule="auto"/>
              <w:jc w:val="center"/>
              <w:rPr>
                <w:rFonts w:hint="eastAsia"/>
                <w:sz w:val="21"/>
                <w:szCs w:val="21"/>
              </w:rPr>
            </w:pPr>
            <w:r>
              <w:rPr>
                <w:rFonts w:hint="eastAsia"/>
                <w:sz w:val="21"/>
                <w:szCs w:val="21"/>
              </w:rPr>
              <w:t>0</w:t>
            </w:r>
          </w:p>
        </w:tc>
        <w:tc>
          <w:tcPr>
            <w:tcW w:w="1111" w:type="dxa"/>
            <w:vAlign w:val="center"/>
          </w:tcPr>
          <w:p w14:paraId="77731962">
            <w:pPr>
              <w:spacing w:line="240" w:lineRule="auto"/>
              <w:jc w:val="center"/>
              <w:rPr>
                <w:rFonts w:hint="eastAsia"/>
                <w:sz w:val="21"/>
                <w:szCs w:val="21"/>
              </w:rPr>
            </w:pPr>
            <w:r>
              <w:rPr>
                <w:rFonts w:hint="eastAsia"/>
                <w:sz w:val="21"/>
                <w:szCs w:val="21"/>
              </w:rPr>
              <w:t>达标</w:t>
            </w:r>
          </w:p>
        </w:tc>
      </w:tr>
      <w:tr w14:paraId="61957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620FCC3">
            <w:pPr>
              <w:spacing w:line="240" w:lineRule="auto"/>
              <w:jc w:val="center"/>
              <w:rPr>
                <w:rFonts w:hint="eastAsia"/>
                <w:sz w:val="21"/>
                <w:szCs w:val="21"/>
              </w:rPr>
            </w:pPr>
          </w:p>
        </w:tc>
        <w:tc>
          <w:tcPr>
            <w:tcW w:w="2252" w:type="dxa"/>
            <w:shd w:val="clear" w:color="auto" w:fill="auto"/>
            <w:vAlign w:val="center"/>
          </w:tcPr>
          <w:p w14:paraId="7311679A">
            <w:pPr>
              <w:spacing w:line="240" w:lineRule="auto"/>
              <w:jc w:val="center"/>
              <w:rPr>
                <w:rFonts w:hint="eastAsia"/>
                <w:sz w:val="21"/>
                <w:szCs w:val="21"/>
              </w:rPr>
            </w:pPr>
            <w:r>
              <w:rPr>
                <w:rFonts w:hint="eastAsia"/>
                <w:sz w:val="21"/>
                <w:szCs w:val="21"/>
              </w:rPr>
              <w:t>砷</w:t>
            </w:r>
          </w:p>
        </w:tc>
        <w:tc>
          <w:tcPr>
            <w:tcW w:w="1271" w:type="dxa"/>
            <w:shd w:val="clear" w:color="auto" w:fill="FFFFFF"/>
            <w:vAlign w:val="center"/>
          </w:tcPr>
          <w:p w14:paraId="3D5E66A0">
            <w:pPr>
              <w:spacing w:line="240" w:lineRule="auto"/>
              <w:jc w:val="center"/>
              <w:rPr>
                <w:sz w:val="21"/>
                <w:szCs w:val="21"/>
              </w:rPr>
            </w:pPr>
            <w:r>
              <w:rPr>
                <w:rFonts w:hint="eastAsia"/>
                <w:sz w:val="21"/>
                <w:szCs w:val="21"/>
              </w:rPr>
              <w:t>0.0003L</w:t>
            </w:r>
          </w:p>
        </w:tc>
        <w:tc>
          <w:tcPr>
            <w:tcW w:w="1843" w:type="dxa"/>
            <w:gridSpan w:val="2"/>
            <w:shd w:val="solid" w:color="FFFFFF" w:fill="auto"/>
            <w:vAlign w:val="center"/>
          </w:tcPr>
          <w:p w14:paraId="20484E32">
            <w:pPr>
              <w:spacing w:line="240" w:lineRule="auto"/>
              <w:jc w:val="center"/>
              <w:rPr>
                <w:rFonts w:hint="eastAsia"/>
                <w:sz w:val="21"/>
                <w:szCs w:val="21"/>
              </w:rPr>
            </w:pPr>
            <w:r>
              <w:rPr>
                <w:rFonts w:hint="eastAsia"/>
                <w:sz w:val="21"/>
                <w:szCs w:val="21"/>
              </w:rPr>
              <w:t>0.05</w:t>
            </w:r>
          </w:p>
        </w:tc>
        <w:tc>
          <w:tcPr>
            <w:tcW w:w="1122" w:type="dxa"/>
            <w:vAlign w:val="center"/>
          </w:tcPr>
          <w:p w14:paraId="07CB885B">
            <w:pPr>
              <w:spacing w:line="240" w:lineRule="auto"/>
              <w:jc w:val="center"/>
              <w:rPr>
                <w:rFonts w:hint="eastAsia"/>
                <w:sz w:val="21"/>
                <w:szCs w:val="21"/>
              </w:rPr>
            </w:pPr>
            <w:r>
              <w:rPr>
                <w:rFonts w:hint="eastAsia"/>
                <w:sz w:val="21"/>
                <w:szCs w:val="21"/>
              </w:rPr>
              <w:t>0</w:t>
            </w:r>
          </w:p>
        </w:tc>
        <w:tc>
          <w:tcPr>
            <w:tcW w:w="1111" w:type="dxa"/>
            <w:vAlign w:val="center"/>
          </w:tcPr>
          <w:p w14:paraId="4BA9F89B">
            <w:pPr>
              <w:spacing w:line="240" w:lineRule="auto"/>
              <w:jc w:val="center"/>
              <w:rPr>
                <w:rFonts w:hint="eastAsia"/>
                <w:sz w:val="21"/>
                <w:szCs w:val="21"/>
              </w:rPr>
            </w:pPr>
            <w:r>
              <w:rPr>
                <w:rFonts w:hint="eastAsia"/>
                <w:sz w:val="21"/>
                <w:szCs w:val="21"/>
              </w:rPr>
              <w:t>达标</w:t>
            </w:r>
          </w:p>
        </w:tc>
      </w:tr>
      <w:tr w14:paraId="2AA35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9769748">
            <w:pPr>
              <w:spacing w:line="240" w:lineRule="auto"/>
              <w:jc w:val="center"/>
              <w:rPr>
                <w:rFonts w:hint="eastAsia"/>
                <w:sz w:val="21"/>
                <w:szCs w:val="21"/>
              </w:rPr>
            </w:pPr>
          </w:p>
        </w:tc>
        <w:tc>
          <w:tcPr>
            <w:tcW w:w="2252" w:type="dxa"/>
            <w:shd w:val="clear" w:color="auto" w:fill="auto"/>
            <w:vAlign w:val="center"/>
          </w:tcPr>
          <w:p w14:paraId="3D1FC12D">
            <w:pPr>
              <w:spacing w:line="240" w:lineRule="auto"/>
              <w:jc w:val="center"/>
              <w:rPr>
                <w:rFonts w:hint="eastAsia"/>
                <w:sz w:val="21"/>
                <w:szCs w:val="21"/>
              </w:rPr>
            </w:pPr>
            <w:r>
              <w:rPr>
                <w:rFonts w:hint="eastAsia"/>
                <w:sz w:val="21"/>
                <w:szCs w:val="21"/>
              </w:rPr>
              <w:t>汞</w:t>
            </w:r>
          </w:p>
        </w:tc>
        <w:tc>
          <w:tcPr>
            <w:tcW w:w="1271" w:type="dxa"/>
            <w:shd w:val="clear" w:color="auto" w:fill="FFFFFF"/>
            <w:vAlign w:val="center"/>
          </w:tcPr>
          <w:p w14:paraId="62F91999">
            <w:pPr>
              <w:spacing w:line="240" w:lineRule="auto"/>
              <w:jc w:val="center"/>
              <w:rPr>
                <w:sz w:val="21"/>
                <w:szCs w:val="21"/>
              </w:rPr>
            </w:pPr>
            <w:r>
              <w:rPr>
                <w:rFonts w:hint="eastAsia"/>
                <w:sz w:val="21"/>
                <w:szCs w:val="21"/>
              </w:rPr>
              <w:t>0.00004L</w:t>
            </w:r>
          </w:p>
        </w:tc>
        <w:tc>
          <w:tcPr>
            <w:tcW w:w="1843" w:type="dxa"/>
            <w:gridSpan w:val="2"/>
            <w:shd w:val="solid" w:color="FFFFFF" w:fill="auto"/>
            <w:vAlign w:val="center"/>
          </w:tcPr>
          <w:p w14:paraId="1CB21207">
            <w:pPr>
              <w:spacing w:line="240" w:lineRule="auto"/>
              <w:jc w:val="center"/>
              <w:rPr>
                <w:rFonts w:hint="eastAsia"/>
                <w:sz w:val="21"/>
                <w:szCs w:val="21"/>
              </w:rPr>
            </w:pPr>
            <w:r>
              <w:rPr>
                <w:rFonts w:hint="eastAsia"/>
                <w:sz w:val="21"/>
                <w:szCs w:val="21"/>
              </w:rPr>
              <w:t>0.00005</w:t>
            </w:r>
          </w:p>
        </w:tc>
        <w:tc>
          <w:tcPr>
            <w:tcW w:w="1122" w:type="dxa"/>
            <w:vAlign w:val="center"/>
          </w:tcPr>
          <w:p w14:paraId="2D50BC8C">
            <w:pPr>
              <w:spacing w:line="240" w:lineRule="auto"/>
              <w:jc w:val="center"/>
              <w:rPr>
                <w:rFonts w:hint="eastAsia"/>
                <w:sz w:val="21"/>
                <w:szCs w:val="21"/>
              </w:rPr>
            </w:pPr>
            <w:r>
              <w:rPr>
                <w:rFonts w:hint="eastAsia"/>
                <w:sz w:val="21"/>
                <w:szCs w:val="21"/>
              </w:rPr>
              <w:t>0</w:t>
            </w:r>
          </w:p>
        </w:tc>
        <w:tc>
          <w:tcPr>
            <w:tcW w:w="1111" w:type="dxa"/>
            <w:vAlign w:val="center"/>
          </w:tcPr>
          <w:p w14:paraId="039BDDA7">
            <w:pPr>
              <w:spacing w:line="240" w:lineRule="auto"/>
              <w:jc w:val="center"/>
              <w:rPr>
                <w:rFonts w:hint="eastAsia"/>
                <w:sz w:val="21"/>
                <w:szCs w:val="21"/>
              </w:rPr>
            </w:pPr>
            <w:r>
              <w:rPr>
                <w:rFonts w:hint="eastAsia"/>
                <w:sz w:val="21"/>
                <w:szCs w:val="21"/>
              </w:rPr>
              <w:t>达标</w:t>
            </w:r>
          </w:p>
        </w:tc>
      </w:tr>
      <w:tr w14:paraId="08F69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E266DEA">
            <w:pPr>
              <w:spacing w:line="240" w:lineRule="auto"/>
              <w:jc w:val="center"/>
              <w:rPr>
                <w:rFonts w:hint="eastAsia"/>
                <w:sz w:val="21"/>
                <w:szCs w:val="21"/>
              </w:rPr>
            </w:pPr>
          </w:p>
        </w:tc>
        <w:tc>
          <w:tcPr>
            <w:tcW w:w="2252" w:type="dxa"/>
            <w:shd w:val="clear" w:color="auto" w:fill="auto"/>
            <w:vAlign w:val="center"/>
          </w:tcPr>
          <w:p w14:paraId="18AA5163">
            <w:pPr>
              <w:spacing w:line="240" w:lineRule="auto"/>
              <w:jc w:val="center"/>
              <w:rPr>
                <w:rFonts w:hint="eastAsia"/>
                <w:sz w:val="21"/>
                <w:szCs w:val="21"/>
              </w:rPr>
            </w:pPr>
            <w:r>
              <w:rPr>
                <w:rFonts w:hint="eastAsia"/>
                <w:sz w:val="21"/>
                <w:szCs w:val="21"/>
              </w:rPr>
              <w:t>镉</w:t>
            </w:r>
          </w:p>
        </w:tc>
        <w:tc>
          <w:tcPr>
            <w:tcW w:w="1271" w:type="dxa"/>
            <w:shd w:val="clear" w:color="auto" w:fill="FFFFFF"/>
            <w:vAlign w:val="center"/>
          </w:tcPr>
          <w:p w14:paraId="3D874234">
            <w:pPr>
              <w:spacing w:line="240" w:lineRule="auto"/>
              <w:jc w:val="center"/>
              <w:rPr>
                <w:sz w:val="21"/>
                <w:szCs w:val="21"/>
              </w:rPr>
            </w:pPr>
            <w:r>
              <w:rPr>
                <w:rFonts w:hint="eastAsia"/>
                <w:sz w:val="21"/>
                <w:szCs w:val="21"/>
              </w:rPr>
              <w:t>0.00005L</w:t>
            </w:r>
          </w:p>
        </w:tc>
        <w:tc>
          <w:tcPr>
            <w:tcW w:w="1843" w:type="dxa"/>
            <w:gridSpan w:val="2"/>
            <w:shd w:val="solid" w:color="FFFFFF" w:fill="auto"/>
            <w:vAlign w:val="center"/>
          </w:tcPr>
          <w:p w14:paraId="12375A40">
            <w:pPr>
              <w:spacing w:line="240" w:lineRule="auto"/>
              <w:jc w:val="center"/>
              <w:rPr>
                <w:rFonts w:hint="eastAsia"/>
                <w:sz w:val="21"/>
                <w:szCs w:val="21"/>
              </w:rPr>
            </w:pPr>
            <w:r>
              <w:rPr>
                <w:rFonts w:hint="eastAsia"/>
                <w:sz w:val="21"/>
                <w:szCs w:val="21"/>
              </w:rPr>
              <w:t>0.005</w:t>
            </w:r>
          </w:p>
        </w:tc>
        <w:tc>
          <w:tcPr>
            <w:tcW w:w="1122" w:type="dxa"/>
            <w:vAlign w:val="center"/>
          </w:tcPr>
          <w:p w14:paraId="1CEA2D79">
            <w:pPr>
              <w:spacing w:line="240" w:lineRule="auto"/>
              <w:jc w:val="center"/>
              <w:rPr>
                <w:rFonts w:hint="eastAsia"/>
                <w:sz w:val="21"/>
                <w:szCs w:val="21"/>
              </w:rPr>
            </w:pPr>
            <w:r>
              <w:rPr>
                <w:rFonts w:hint="eastAsia"/>
                <w:sz w:val="21"/>
                <w:szCs w:val="21"/>
              </w:rPr>
              <w:t>0</w:t>
            </w:r>
          </w:p>
        </w:tc>
        <w:tc>
          <w:tcPr>
            <w:tcW w:w="1111" w:type="dxa"/>
            <w:vAlign w:val="center"/>
          </w:tcPr>
          <w:p w14:paraId="54766009">
            <w:pPr>
              <w:spacing w:line="240" w:lineRule="auto"/>
              <w:jc w:val="center"/>
              <w:rPr>
                <w:rFonts w:hint="eastAsia"/>
                <w:sz w:val="21"/>
                <w:szCs w:val="21"/>
              </w:rPr>
            </w:pPr>
            <w:r>
              <w:rPr>
                <w:rFonts w:hint="eastAsia"/>
                <w:sz w:val="21"/>
                <w:szCs w:val="21"/>
              </w:rPr>
              <w:t>达标</w:t>
            </w:r>
          </w:p>
        </w:tc>
      </w:tr>
      <w:tr w14:paraId="32525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72A9C0C">
            <w:pPr>
              <w:spacing w:line="240" w:lineRule="auto"/>
              <w:jc w:val="center"/>
              <w:rPr>
                <w:rFonts w:hint="eastAsia"/>
                <w:sz w:val="21"/>
                <w:szCs w:val="21"/>
              </w:rPr>
            </w:pPr>
          </w:p>
        </w:tc>
        <w:tc>
          <w:tcPr>
            <w:tcW w:w="2252" w:type="dxa"/>
            <w:shd w:val="clear" w:color="auto" w:fill="auto"/>
            <w:vAlign w:val="center"/>
          </w:tcPr>
          <w:p w14:paraId="3DEF3AA7">
            <w:pPr>
              <w:spacing w:line="240" w:lineRule="auto"/>
              <w:jc w:val="center"/>
              <w:rPr>
                <w:rFonts w:hint="eastAsia"/>
                <w:sz w:val="21"/>
                <w:szCs w:val="21"/>
              </w:rPr>
            </w:pPr>
            <w:r>
              <w:rPr>
                <w:rFonts w:hint="eastAsia"/>
                <w:sz w:val="21"/>
                <w:szCs w:val="21"/>
              </w:rPr>
              <w:t>铬（六价）</w:t>
            </w:r>
          </w:p>
        </w:tc>
        <w:tc>
          <w:tcPr>
            <w:tcW w:w="1271" w:type="dxa"/>
            <w:shd w:val="clear" w:color="auto" w:fill="FFFFFF"/>
            <w:vAlign w:val="center"/>
          </w:tcPr>
          <w:p w14:paraId="1C68BF9A">
            <w:pPr>
              <w:spacing w:line="240" w:lineRule="auto"/>
              <w:jc w:val="center"/>
              <w:rPr>
                <w:sz w:val="21"/>
                <w:szCs w:val="21"/>
              </w:rPr>
            </w:pPr>
            <w:r>
              <w:rPr>
                <w:rFonts w:hint="eastAsia"/>
                <w:sz w:val="21"/>
                <w:szCs w:val="21"/>
              </w:rPr>
              <w:t>0.004L</w:t>
            </w:r>
          </w:p>
        </w:tc>
        <w:tc>
          <w:tcPr>
            <w:tcW w:w="1843" w:type="dxa"/>
            <w:gridSpan w:val="2"/>
            <w:shd w:val="solid" w:color="FFFFFF" w:fill="auto"/>
            <w:vAlign w:val="center"/>
          </w:tcPr>
          <w:p w14:paraId="0F1AA672">
            <w:pPr>
              <w:spacing w:line="240" w:lineRule="auto"/>
              <w:jc w:val="center"/>
              <w:rPr>
                <w:rFonts w:hint="eastAsia"/>
                <w:sz w:val="21"/>
                <w:szCs w:val="21"/>
              </w:rPr>
            </w:pPr>
            <w:r>
              <w:rPr>
                <w:rFonts w:hint="eastAsia"/>
                <w:sz w:val="21"/>
                <w:szCs w:val="21"/>
              </w:rPr>
              <w:t>0.05</w:t>
            </w:r>
          </w:p>
        </w:tc>
        <w:tc>
          <w:tcPr>
            <w:tcW w:w="1122" w:type="dxa"/>
            <w:vAlign w:val="center"/>
          </w:tcPr>
          <w:p w14:paraId="77A3B330">
            <w:pPr>
              <w:spacing w:line="240" w:lineRule="auto"/>
              <w:jc w:val="center"/>
              <w:rPr>
                <w:rFonts w:hint="eastAsia"/>
                <w:sz w:val="21"/>
                <w:szCs w:val="21"/>
              </w:rPr>
            </w:pPr>
            <w:r>
              <w:rPr>
                <w:rFonts w:hint="eastAsia"/>
                <w:sz w:val="21"/>
                <w:szCs w:val="21"/>
              </w:rPr>
              <w:t>0</w:t>
            </w:r>
          </w:p>
        </w:tc>
        <w:tc>
          <w:tcPr>
            <w:tcW w:w="1111" w:type="dxa"/>
            <w:vAlign w:val="center"/>
          </w:tcPr>
          <w:p w14:paraId="2BD5BF3D">
            <w:pPr>
              <w:spacing w:line="240" w:lineRule="auto"/>
              <w:jc w:val="center"/>
              <w:rPr>
                <w:rFonts w:hint="eastAsia"/>
                <w:sz w:val="21"/>
                <w:szCs w:val="21"/>
              </w:rPr>
            </w:pPr>
            <w:r>
              <w:rPr>
                <w:rFonts w:hint="eastAsia"/>
                <w:sz w:val="21"/>
                <w:szCs w:val="21"/>
              </w:rPr>
              <w:t>达标</w:t>
            </w:r>
          </w:p>
        </w:tc>
      </w:tr>
      <w:tr w14:paraId="0A3D0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6C86BCA">
            <w:pPr>
              <w:spacing w:line="240" w:lineRule="auto"/>
              <w:jc w:val="center"/>
              <w:rPr>
                <w:rFonts w:hint="eastAsia"/>
                <w:sz w:val="21"/>
                <w:szCs w:val="21"/>
              </w:rPr>
            </w:pPr>
          </w:p>
        </w:tc>
        <w:tc>
          <w:tcPr>
            <w:tcW w:w="2252" w:type="dxa"/>
            <w:shd w:val="clear" w:color="auto" w:fill="auto"/>
            <w:vAlign w:val="center"/>
          </w:tcPr>
          <w:p w14:paraId="68E0ADB9">
            <w:pPr>
              <w:spacing w:line="240" w:lineRule="auto"/>
              <w:jc w:val="center"/>
              <w:rPr>
                <w:rFonts w:hint="eastAsia"/>
                <w:sz w:val="21"/>
                <w:szCs w:val="21"/>
              </w:rPr>
            </w:pPr>
            <w:r>
              <w:rPr>
                <w:rFonts w:hint="eastAsia"/>
                <w:sz w:val="21"/>
                <w:szCs w:val="21"/>
              </w:rPr>
              <w:t>铅</w:t>
            </w:r>
          </w:p>
        </w:tc>
        <w:tc>
          <w:tcPr>
            <w:tcW w:w="1271" w:type="dxa"/>
            <w:shd w:val="clear" w:color="auto" w:fill="FFFFFF"/>
            <w:vAlign w:val="center"/>
          </w:tcPr>
          <w:p w14:paraId="68A24DA8">
            <w:pPr>
              <w:spacing w:line="240" w:lineRule="auto"/>
              <w:jc w:val="center"/>
              <w:rPr>
                <w:sz w:val="21"/>
                <w:szCs w:val="21"/>
              </w:rPr>
            </w:pPr>
            <w:r>
              <w:rPr>
                <w:rFonts w:hint="eastAsia"/>
                <w:sz w:val="21"/>
                <w:szCs w:val="21"/>
              </w:rPr>
              <w:t>0.00009L</w:t>
            </w:r>
          </w:p>
        </w:tc>
        <w:tc>
          <w:tcPr>
            <w:tcW w:w="1843" w:type="dxa"/>
            <w:gridSpan w:val="2"/>
            <w:shd w:val="solid" w:color="FFFFFF" w:fill="auto"/>
            <w:vAlign w:val="center"/>
          </w:tcPr>
          <w:p w14:paraId="17A03B5F">
            <w:pPr>
              <w:spacing w:line="240" w:lineRule="auto"/>
              <w:jc w:val="center"/>
              <w:rPr>
                <w:rFonts w:hint="eastAsia"/>
                <w:sz w:val="21"/>
                <w:szCs w:val="21"/>
              </w:rPr>
            </w:pPr>
            <w:r>
              <w:rPr>
                <w:rFonts w:hint="eastAsia"/>
                <w:sz w:val="21"/>
                <w:szCs w:val="21"/>
              </w:rPr>
              <w:t>0.01</w:t>
            </w:r>
          </w:p>
        </w:tc>
        <w:tc>
          <w:tcPr>
            <w:tcW w:w="1122" w:type="dxa"/>
            <w:vAlign w:val="center"/>
          </w:tcPr>
          <w:p w14:paraId="774202EC">
            <w:pPr>
              <w:spacing w:line="240" w:lineRule="auto"/>
              <w:jc w:val="center"/>
              <w:rPr>
                <w:rFonts w:hint="eastAsia"/>
                <w:sz w:val="21"/>
                <w:szCs w:val="21"/>
              </w:rPr>
            </w:pPr>
            <w:r>
              <w:rPr>
                <w:rFonts w:hint="eastAsia"/>
                <w:sz w:val="21"/>
                <w:szCs w:val="21"/>
              </w:rPr>
              <w:t>0</w:t>
            </w:r>
          </w:p>
        </w:tc>
        <w:tc>
          <w:tcPr>
            <w:tcW w:w="1111" w:type="dxa"/>
            <w:vAlign w:val="center"/>
          </w:tcPr>
          <w:p w14:paraId="27D643DA">
            <w:pPr>
              <w:spacing w:line="240" w:lineRule="auto"/>
              <w:jc w:val="center"/>
              <w:rPr>
                <w:rFonts w:hint="eastAsia"/>
                <w:sz w:val="21"/>
                <w:szCs w:val="21"/>
              </w:rPr>
            </w:pPr>
            <w:r>
              <w:rPr>
                <w:rFonts w:hint="eastAsia"/>
                <w:sz w:val="21"/>
                <w:szCs w:val="21"/>
              </w:rPr>
              <w:t>达标</w:t>
            </w:r>
          </w:p>
        </w:tc>
      </w:tr>
      <w:tr w14:paraId="267DF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2EF0F60">
            <w:pPr>
              <w:spacing w:line="240" w:lineRule="auto"/>
              <w:jc w:val="center"/>
              <w:rPr>
                <w:rFonts w:hint="eastAsia"/>
                <w:sz w:val="21"/>
                <w:szCs w:val="21"/>
              </w:rPr>
            </w:pPr>
          </w:p>
        </w:tc>
        <w:tc>
          <w:tcPr>
            <w:tcW w:w="2252" w:type="dxa"/>
            <w:shd w:val="clear" w:color="auto" w:fill="auto"/>
            <w:vAlign w:val="center"/>
          </w:tcPr>
          <w:p w14:paraId="00BCFCD7">
            <w:pPr>
              <w:spacing w:line="240" w:lineRule="auto"/>
              <w:jc w:val="center"/>
              <w:rPr>
                <w:rFonts w:hint="eastAsia"/>
                <w:sz w:val="21"/>
                <w:szCs w:val="21"/>
              </w:rPr>
            </w:pPr>
            <w:r>
              <w:rPr>
                <w:rFonts w:hint="eastAsia"/>
                <w:sz w:val="21"/>
                <w:szCs w:val="21"/>
              </w:rPr>
              <w:t>氰化物</w:t>
            </w:r>
          </w:p>
        </w:tc>
        <w:tc>
          <w:tcPr>
            <w:tcW w:w="1271" w:type="dxa"/>
            <w:shd w:val="clear" w:color="auto" w:fill="FFFFFF"/>
            <w:vAlign w:val="center"/>
          </w:tcPr>
          <w:p w14:paraId="3A0E28CA">
            <w:pPr>
              <w:spacing w:line="240" w:lineRule="auto"/>
              <w:jc w:val="center"/>
              <w:rPr>
                <w:sz w:val="21"/>
                <w:szCs w:val="21"/>
              </w:rPr>
            </w:pPr>
            <w:r>
              <w:rPr>
                <w:rFonts w:hint="eastAsia"/>
                <w:sz w:val="21"/>
                <w:szCs w:val="21"/>
              </w:rPr>
              <w:t>0.001L</w:t>
            </w:r>
          </w:p>
        </w:tc>
        <w:tc>
          <w:tcPr>
            <w:tcW w:w="1843" w:type="dxa"/>
            <w:gridSpan w:val="2"/>
            <w:shd w:val="solid" w:color="FFFFFF" w:fill="auto"/>
            <w:vAlign w:val="center"/>
          </w:tcPr>
          <w:p w14:paraId="2502138B">
            <w:pPr>
              <w:spacing w:line="240" w:lineRule="auto"/>
              <w:jc w:val="center"/>
              <w:rPr>
                <w:rFonts w:hint="eastAsia"/>
                <w:sz w:val="21"/>
                <w:szCs w:val="21"/>
              </w:rPr>
            </w:pPr>
            <w:r>
              <w:rPr>
                <w:rFonts w:hint="eastAsia"/>
                <w:sz w:val="21"/>
                <w:szCs w:val="21"/>
              </w:rPr>
              <w:t>0.05</w:t>
            </w:r>
          </w:p>
        </w:tc>
        <w:tc>
          <w:tcPr>
            <w:tcW w:w="1122" w:type="dxa"/>
            <w:vAlign w:val="center"/>
          </w:tcPr>
          <w:p w14:paraId="3291B75B">
            <w:pPr>
              <w:spacing w:line="240" w:lineRule="auto"/>
              <w:jc w:val="center"/>
              <w:rPr>
                <w:rFonts w:hint="eastAsia"/>
                <w:sz w:val="21"/>
                <w:szCs w:val="21"/>
              </w:rPr>
            </w:pPr>
            <w:r>
              <w:rPr>
                <w:rFonts w:hint="eastAsia"/>
                <w:sz w:val="21"/>
                <w:szCs w:val="21"/>
              </w:rPr>
              <w:t>0</w:t>
            </w:r>
          </w:p>
        </w:tc>
        <w:tc>
          <w:tcPr>
            <w:tcW w:w="1111" w:type="dxa"/>
            <w:vAlign w:val="center"/>
          </w:tcPr>
          <w:p w14:paraId="2D8BDCE7">
            <w:pPr>
              <w:spacing w:line="240" w:lineRule="auto"/>
              <w:jc w:val="center"/>
              <w:rPr>
                <w:rFonts w:hint="eastAsia"/>
                <w:sz w:val="21"/>
                <w:szCs w:val="21"/>
              </w:rPr>
            </w:pPr>
            <w:r>
              <w:rPr>
                <w:rFonts w:hint="eastAsia"/>
                <w:sz w:val="21"/>
                <w:szCs w:val="21"/>
              </w:rPr>
              <w:t>达标</w:t>
            </w:r>
          </w:p>
        </w:tc>
      </w:tr>
      <w:tr w14:paraId="53D7D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1C8458C">
            <w:pPr>
              <w:spacing w:line="240" w:lineRule="auto"/>
              <w:jc w:val="center"/>
              <w:rPr>
                <w:rFonts w:hint="eastAsia"/>
                <w:sz w:val="21"/>
                <w:szCs w:val="21"/>
              </w:rPr>
            </w:pPr>
          </w:p>
        </w:tc>
        <w:tc>
          <w:tcPr>
            <w:tcW w:w="2252" w:type="dxa"/>
            <w:shd w:val="clear" w:color="auto" w:fill="auto"/>
            <w:vAlign w:val="center"/>
          </w:tcPr>
          <w:p w14:paraId="7405CB33">
            <w:pPr>
              <w:spacing w:line="240" w:lineRule="auto"/>
              <w:jc w:val="center"/>
              <w:rPr>
                <w:rFonts w:hint="eastAsia"/>
                <w:sz w:val="21"/>
                <w:szCs w:val="21"/>
              </w:rPr>
            </w:pPr>
            <w:r>
              <w:rPr>
                <w:rFonts w:hint="eastAsia"/>
                <w:sz w:val="21"/>
                <w:szCs w:val="21"/>
              </w:rPr>
              <w:t>挥发酚</w:t>
            </w:r>
          </w:p>
        </w:tc>
        <w:tc>
          <w:tcPr>
            <w:tcW w:w="1271" w:type="dxa"/>
            <w:shd w:val="clear" w:color="auto" w:fill="FFFFFF"/>
            <w:vAlign w:val="center"/>
          </w:tcPr>
          <w:p w14:paraId="5261C2E0">
            <w:pPr>
              <w:spacing w:line="240" w:lineRule="auto"/>
              <w:jc w:val="center"/>
              <w:rPr>
                <w:sz w:val="21"/>
                <w:szCs w:val="21"/>
              </w:rPr>
            </w:pPr>
            <w:r>
              <w:rPr>
                <w:rFonts w:hint="eastAsia"/>
                <w:sz w:val="21"/>
                <w:szCs w:val="21"/>
              </w:rPr>
              <w:t>0.0003L</w:t>
            </w:r>
          </w:p>
        </w:tc>
        <w:tc>
          <w:tcPr>
            <w:tcW w:w="1843" w:type="dxa"/>
            <w:gridSpan w:val="2"/>
            <w:shd w:val="solid" w:color="FFFFFF" w:fill="auto"/>
            <w:vAlign w:val="center"/>
          </w:tcPr>
          <w:p w14:paraId="22A86B96">
            <w:pPr>
              <w:spacing w:line="240" w:lineRule="auto"/>
              <w:jc w:val="center"/>
              <w:rPr>
                <w:rFonts w:hint="eastAsia"/>
                <w:sz w:val="21"/>
                <w:szCs w:val="21"/>
              </w:rPr>
            </w:pPr>
            <w:r>
              <w:rPr>
                <w:rFonts w:hint="eastAsia"/>
                <w:sz w:val="21"/>
                <w:szCs w:val="21"/>
              </w:rPr>
              <w:t>0.002</w:t>
            </w:r>
          </w:p>
        </w:tc>
        <w:tc>
          <w:tcPr>
            <w:tcW w:w="1122" w:type="dxa"/>
            <w:vAlign w:val="center"/>
          </w:tcPr>
          <w:p w14:paraId="53EDBE3B">
            <w:pPr>
              <w:spacing w:line="240" w:lineRule="auto"/>
              <w:jc w:val="center"/>
              <w:rPr>
                <w:rFonts w:hint="eastAsia"/>
                <w:sz w:val="21"/>
                <w:szCs w:val="21"/>
              </w:rPr>
            </w:pPr>
            <w:r>
              <w:rPr>
                <w:rFonts w:hint="eastAsia"/>
                <w:sz w:val="21"/>
                <w:szCs w:val="21"/>
              </w:rPr>
              <w:t>0</w:t>
            </w:r>
          </w:p>
        </w:tc>
        <w:tc>
          <w:tcPr>
            <w:tcW w:w="1111" w:type="dxa"/>
            <w:vAlign w:val="center"/>
          </w:tcPr>
          <w:p w14:paraId="2A2A8071">
            <w:pPr>
              <w:spacing w:line="240" w:lineRule="auto"/>
              <w:jc w:val="center"/>
              <w:rPr>
                <w:rFonts w:hint="eastAsia"/>
                <w:sz w:val="21"/>
                <w:szCs w:val="21"/>
              </w:rPr>
            </w:pPr>
            <w:r>
              <w:rPr>
                <w:rFonts w:hint="eastAsia"/>
                <w:sz w:val="21"/>
                <w:szCs w:val="21"/>
              </w:rPr>
              <w:t>达标</w:t>
            </w:r>
          </w:p>
        </w:tc>
      </w:tr>
      <w:tr w14:paraId="0BE7E2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FC361D5">
            <w:pPr>
              <w:spacing w:line="240" w:lineRule="auto"/>
              <w:jc w:val="center"/>
              <w:rPr>
                <w:rFonts w:hint="eastAsia"/>
                <w:sz w:val="21"/>
                <w:szCs w:val="21"/>
              </w:rPr>
            </w:pPr>
          </w:p>
        </w:tc>
        <w:tc>
          <w:tcPr>
            <w:tcW w:w="2252" w:type="dxa"/>
            <w:shd w:val="clear" w:color="auto" w:fill="auto"/>
            <w:vAlign w:val="center"/>
          </w:tcPr>
          <w:p w14:paraId="238A8ADD">
            <w:pPr>
              <w:spacing w:line="240" w:lineRule="auto"/>
              <w:jc w:val="center"/>
              <w:rPr>
                <w:rFonts w:hint="eastAsia"/>
                <w:sz w:val="21"/>
                <w:szCs w:val="21"/>
              </w:rPr>
            </w:pPr>
            <w:r>
              <w:rPr>
                <w:rFonts w:hint="eastAsia"/>
                <w:sz w:val="21"/>
                <w:szCs w:val="21"/>
              </w:rPr>
              <w:t>石油类</w:t>
            </w:r>
          </w:p>
        </w:tc>
        <w:tc>
          <w:tcPr>
            <w:tcW w:w="1271" w:type="dxa"/>
            <w:shd w:val="clear" w:color="auto" w:fill="FFFFFF"/>
            <w:vAlign w:val="center"/>
          </w:tcPr>
          <w:p w14:paraId="350ACE79">
            <w:pPr>
              <w:spacing w:line="240" w:lineRule="auto"/>
              <w:jc w:val="center"/>
              <w:rPr>
                <w:sz w:val="21"/>
                <w:szCs w:val="21"/>
              </w:rPr>
            </w:pPr>
            <w:r>
              <w:rPr>
                <w:rFonts w:hint="eastAsia"/>
                <w:sz w:val="21"/>
                <w:szCs w:val="21"/>
              </w:rPr>
              <w:t>0.01L</w:t>
            </w:r>
          </w:p>
        </w:tc>
        <w:tc>
          <w:tcPr>
            <w:tcW w:w="1843" w:type="dxa"/>
            <w:gridSpan w:val="2"/>
            <w:shd w:val="solid" w:color="FFFFFF" w:fill="auto"/>
            <w:vAlign w:val="center"/>
          </w:tcPr>
          <w:p w14:paraId="32061E71">
            <w:pPr>
              <w:spacing w:line="240" w:lineRule="auto"/>
              <w:jc w:val="center"/>
              <w:rPr>
                <w:rFonts w:hint="eastAsia"/>
                <w:sz w:val="21"/>
                <w:szCs w:val="21"/>
              </w:rPr>
            </w:pPr>
            <w:r>
              <w:rPr>
                <w:rFonts w:hint="eastAsia"/>
                <w:sz w:val="21"/>
                <w:szCs w:val="21"/>
              </w:rPr>
              <w:t>0.05</w:t>
            </w:r>
          </w:p>
        </w:tc>
        <w:tc>
          <w:tcPr>
            <w:tcW w:w="1122" w:type="dxa"/>
            <w:vAlign w:val="center"/>
          </w:tcPr>
          <w:p w14:paraId="7BC0E1DE">
            <w:pPr>
              <w:spacing w:line="240" w:lineRule="auto"/>
              <w:jc w:val="center"/>
              <w:rPr>
                <w:rFonts w:hint="eastAsia"/>
                <w:sz w:val="21"/>
                <w:szCs w:val="21"/>
              </w:rPr>
            </w:pPr>
            <w:r>
              <w:rPr>
                <w:rFonts w:hint="eastAsia"/>
                <w:sz w:val="21"/>
                <w:szCs w:val="21"/>
              </w:rPr>
              <w:t>0</w:t>
            </w:r>
          </w:p>
        </w:tc>
        <w:tc>
          <w:tcPr>
            <w:tcW w:w="1111" w:type="dxa"/>
            <w:vAlign w:val="center"/>
          </w:tcPr>
          <w:p w14:paraId="558EE8DB">
            <w:pPr>
              <w:spacing w:line="240" w:lineRule="auto"/>
              <w:jc w:val="center"/>
              <w:rPr>
                <w:rFonts w:hint="eastAsia"/>
                <w:sz w:val="21"/>
                <w:szCs w:val="21"/>
              </w:rPr>
            </w:pPr>
            <w:r>
              <w:rPr>
                <w:rFonts w:hint="eastAsia"/>
                <w:sz w:val="21"/>
                <w:szCs w:val="21"/>
              </w:rPr>
              <w:t>达标</w:t>
            </w:r>
          </w:p>
        </w:tc>
      </w:tr>
      <w:tr w14:paraId="23DAE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6AF0A4B">
            <w:pPr>
              <w:spacing w:line="240" w:lineRule="auto"/>
              <w:jc w:val="center"/>
              <w:rPr>
                <w:rFonts w:hint="eastAsia"/>
                <w:sz w:val="21"/>
                <w:szCs w:val="21"/>
              </w:rPr>
            </w:pPr>
          </w:p>
        </w:tc>
        <w:tc>
          <w:tcPr>
            <w:tcW w:w="2252" w:type="dxa"/>
            <w:shd w:val="clear" w:color="auto" w:fill="auto"/>
            <w:vAlign w:val="center"/>
          </w:tcPr>
          <w:p w14:paraId="08DFA058">
            <w:pPr>
              <w:spacing w:line="240" w:lineRule="auto"/>
              <w:jc w:val="center"/>
              <w:rPr>
                <w:rFonts w:hint="eastAsia"/>
                <w:sz w:val="21"/>
                <w:szCs w:val="21"/>
              </w:rPr>
            </w:pPr>
            <w:r>
              <w:rPr>
                <w:rFonts w:hint="eastAsia"/>
                <w:sz w:val="21"/>
                <w:szCs w:val="21"/>
              </w:rPr>
              <w:t>阴离子表面活性剂</w:t>
            </w:r>
          </w:p>
        </w:tc>
        <w:tc>
          <w:tcPr>
            <w:tcW w:w="1271" w:type="dxa"/>
            <w:shd w:val="clear" w:color="auto" w:fill="FFFFFF"/>
            <w:vAlign w:val="center"/>
          </w:tcPr>
          <w:p w14:paraId="088C2B88">
            <w:pPr>
              <w:spacing w:line="240" w:lineRule="auto"/>
              <w:jc w:val="center"/>
              <w:rPr>
                <w:sz w:val="21"/>
                <w:szCs w:val="21"/>
              </w:rPr>
            </w:pPr>
            <w:r>
              <w:rPr>
                <w:rFonts w:hint="eastAsia"/>
                <w:sz w:val="21"/>
                <w:szCs w:val="21"/>
              </w:rPr>
              <w:t>0.05L</w:t>
            </w:r>
          </w:p>
        </w:tc>
        <w:tc>
          <w:tcPr>
            <w:tcW w:w="1843" w:type="dxa"/>
            <w:gridSpan w:val="2"/>
            <w:shd w:val="solid" w:color="FFFFFF" w:fill="auto"/>
            <w:vAlign w:val="center"/>
          </w:tcPr>
          <w:p w14:paraId="2B28CF51">
            <w:pPr>
              <w:spacing w:line="240" w:lineRule="auto"/>
              <w:jc w:val="center"/>
              <w:rPr>
                <w:rFonts w:hint="eastAsia"/>
                <w:sz w:val="21"/>
                <w:szCs w:val="21"/>
              </w:rPr>
            </w:pPr>
            <w:r>
              <w:rPr>
                <w:rFonts w:hint="eastAsia"/>
                <w:sz w:val="21"/>
                <w:szCs w:val="21"/>
              </w:rPr>
              <w:t>0.2</w:t>
            </w:r>
          </w:p>
        </w:tc>
        <w:tc>
          <w:tcPr>
            <w:tcW w:w="1122" w:type="dxa"/>
            <w:vAlign w:val="center"/>
          </w:tcPr>
          <w:p w14:paraId="6D00C861">
            <w:pPr>
              <w:spacing w:line="240" w:lineRule="auto"/>
              <w:jc w:val="center"/>
              <w:rPr>
                <w:rFonts w:hint="eastAsia"/>
                <w:sz w:val="21"/>
                <w:szCs w:val="21"/>
              </w:rPr>
            </w:pPr>
            <w:r>
              <w:rPr>
                <w:rFonts w:hint="eastAsia"/>
                <w:sz w:val="21"/>
                <w:szCs w:val="21"/>
              </w:rPr>
              <w:t>0</w:t>
            </w:r>
          </w:p>
        </w:tc>
        <w:tc>
          <w:tcPr>
            <w:tcW w:w="1111" w:type="dxa"/>
            <w:vAlign w:val="center"/>
          </w:tcPr>
          <w:p w14:paraId="5F0897AD">
            <w:pPr>
              <w:spacing w:line="240" w:lineRule="auto"/>
              <w:jc w:val="center"/>
              <w:rPr>
                <w:rFonts w:hint="eastAsia"/>
                <w:sz w:val="21"/>
                <w:szCs w:val="21"/>
              </w:rPr>
            </w:pPr>
            <w:r>
              <w:rPr>
                <w:rFonts w:hint="eastAsia"/>
                <w:sz w:val="21"/>
                <w:szCs w:val="21"/>
              </w:rPr>
              <w:t>达标</w:t>
            </w:r>
          </w:p>
        </w:tc>
      </w:tr>
      <w:tr w14:paraId="7C7A7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0B91224">
            <w:pPr>
              <w:spacing w:line="240" w:lineRule="auto"/>
              <w:jc w:val="center"/>
              <w:rPr>
                <w:rFonts w:hint="eastAsia"/>
                <w:sz w:val="21"/>
                <w:szCs w:val="21"/>
              </w:rPr>
            </w:pPr>
          </w:p>
        </w:tc>
        <w:tc>
          <w:tcPr>
            <w:tcW w:w="2252" w:type="dxa"/>
            <w:shd w:val="clear" w:color="auto" w:fill="auto"/>
            <w:vAlign w:val="center"/>
          </w:tcPr>
          <w:p w14:paraId="33BC39DC">
            <w:pPr>
              <w:spacing w:line="240" w:lineRule="auto"/>
              <w:jc w:val="center"/>
              <w:rPr>
                <w:rFonts w:hint="eastAsia"/>
                <w:sz w:val="21"/>
                <w:szCs w:val="21"/>
              </w:rPr>
            </w:pPr>
            <w:r>
              <w:rPr>
                <w:rFonts w:hint="eastAsia"/>
                <w:sz w:val="21"/>
                <w:szCs w:val="21"/>
              </w:rPr>
              <w:t>硫化物</w:t>
            </w:r>
          </w:p>
        </w:tc>
        <w:tc>
          <w:tcPr>
            <w:tcW w:w="1271" w:type="dxa"/>
            <w:shd w:val="clear" w:color="auto" w:fill="FFFFFF"/>
            <w:vAlign w:val="center"/>
          </w:tcPr>
          <w:p w14:paraId="7869E114">
            <w:pPr>
              <w:spacing w:line="240" w:lineRule="auto"/>
              <w:jc w:val="center"/>
              <w:rPr>
                <w:sz w:val="21"/>
                <w:szCs w:val="21"/>
              </w:rPr>
            </w:pPr>
            <w:r>
              <w:rPr>
                <w:rFonts w:hint="eastAsia"/>
                <w:sz w:val="21"/>
                <w:szCs w:val="21"/>
              </w:rPr>
              <w:t>0.01L</w:t>
            </w:r>
          </w:p>
        </w:tc>
        <w:tc>
          <w:tcPr>
            <w:tcW w:w="1843" w:type="dxa"/>
            <w:gridSpan w:val="2"/>
            <w:shd w:val="solid" w:color="FFFFFF" w:fill="auto"/>
            <w:vAlign w:val="center"/>
          </w:tcPr>
          <w:p w14:paraId="3806A87A">
            <w:pPr>
              <w:spacing w:line="240" w:lineRule="auto"/>
              <w:jc w:val="center"/>
              <w:rPr>
                <w:rFonts w:hint="eastAsia"/>
                <w:sz w:val="21"/>
                <w:szCs w:val="21"/>
              </w:rPr>
            </w:pPr>
            <w:r>
              <w:rPr>
                <w:rFonts w:hint="eastAsia"/>
                <w:sz w:val="21"/>
                <w:szCs w:val="21"/>
              </w:rPr>
              <w:t>0.1</w:t>
            </w:r>
          </w:p>
        </w:tc>
        <w:tc>
          <w:tcPr>
            <w:tcW w:w="1122" w:type="dxa"/>
            <w:vAlign w:val="center"/>
          </w:tcPr>
          <w:p w14:paraId="7AD7D9A0">
            <w:pPr>
              <w:spacing w:line="240" w:lineRule="auto"/>
              <w:jc w:val="center"/>
              <w:rPr>
                <w:rFonts w:hint="eastAsia"/>
                <w:sz w:val="21"/>
                <w:szCs w:val="21"/>
              </w:rPr>
            </w:pPr>
            <w:r>
              <w:rPr>
                <w:rFonts w:hint="eastAsia"/>
                <w:sz w:val="21"/>
                <w:szCs w:val="21"/>
              </w:rPr>
              <w:t>0</w:t>
            </w:r>
          </w:p>
        </w:tc>
        <w:tc>
          <w:tcPr>
            <w:tcW w:w="1111" w:type="dxa"/>
            <w:vAlign w:val="center"/>
          </w:tcPr>
          <w:p w14:paraId="14D6150F">
            <w:pPr>
              <w:spacing w:line="240" w:lineRule="auto"/>
              <w:jc w:val="center"/>
              <w:rPr>
                <w:rFonts w:hint="eastAsia"/>
                <w:sz w:val="21"/>
                <w:szCs w:val="21"/>
              </w:rPr>
            </w:pPr>
            <w:r>
              <w:rPr>
                <w:rFonts w:hint="eastAsia"/>
                <w:sz w:val="21"/>
                <w:szCs w:val="21"/>
              </w:rPr>
              <w:t>达标</w:t>
            </w:r>
          </w:p>
        </w:tc>
      </w:tr>
      <w:tr w14:paraId="1D91F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E6A20FE">
            <w:pPr>
              <w:spacing w:line="240" w:lineRule="auto"/>
              <w:jc w:val="center"/>
              <w:rPr>
                <w:rFonts w:hint="eastAsia"/>
                <w:sz w:val="21"/>
                <w:szCs w:val="21"/>
              </w:rPr>
            </w:pPr>
          </w:p>
        </w:tc>
        <w:tc>
          <w:tcPr>
            <w:tcW w:w="2252" w:type="dxa"/>
            <w:shd w:val="clear" w:color="auto" w:fill="auto"/>
            <w:vAlign w:val="center"/>
          </w:tcPr>
          <w:p w14:paraId="3C027EF6">
            <w:pPr>
              <w:spacing w:line="240" w:lineRule="auto"/>
              <w:jc w:val="center"/>
              <w:rPr>
                <w:rFonts w:hint="eastAsia"/>
                <w:sz w:val="21"/>
                <w:szCs w:val="21"/>
              </w:rPr>
            </w:pPr>
            <w:r>
              <w:rPr>
                <w:rFonts w:hint="eastAsia"/>
                <w:sz w:val="21"/>
                <w:szCs w:val="21"/>
              </w:rPr>
              <w:t>粪大肠菌群（个/L）</w:t>
            </w:r>
          </w:p>
        </w:tc>
        <w:tc>
          <w:tcPr>
            <w:tcW w:w="1271" w:type="dxa"/>
            <w:shd w:val="clear" w:color="auto" w:fill="FFFFFF"/>
            <w:vAlign w:val="center"/>
          </w:tcPr>
          <w:p w14:paraId="57BF0D09">
            <w:pPr>
              <w:spacing w:line="240" w:lineRule="auto"/>
              <w:jc w:val="center"/>
              <w:rPr>
                <w:sz w:val="21"/>
                <w:szCs w:val="21"/>
              </w:rPr>
            </w:pPr>
            <w:r>
              <w:rPr>
                <w:rFonts w:hint="eastAsia"/>
                <w:sz w:val="21"/>
                <w:szCs w:val="21"/>
              </w:rPr>
              <w:t>1300</w:t>
            </w:r>
          </w:p>
        </w:tc>
        <w:tc>
          <w:tcPr>
            <w:tcW w:w="1843" w:type="dxa"/>
            <w:gridSpan w:val="2"/>
            <w:shd w:val="solid" w:color="FFFFFF" w:fill="auto"/>
            <w:vAlign w:val="center"/>
          </w:tcPr>
          <w:p w14:paraId="52603A4D">
            <w:pPr>
              <w:spacing w:line="240" w:lineRule="auto"/>
              <w:jc w:val="center"/>
              <w:rPr>
                <w:rFonts w:hint="eastAsia"/>
                <w:sz w:val="21"/>
                <w:szCs w:val="21"/>
              </w:rPr>
            </w:pPr>
            <w:r>
              <w:rPr>
                <w:rFonts w:hint="eastAsia"/>
                <w:sz w:val="21"/>
                <w:szCs w:val="21"/>
              </w:rPr>
              <w:t>2000</w:t>
            </w:r>
          </w:p>
        </w:tc>
        <w:tc>
          <w:tcPr>
            <w:tcW w:w="1122" w:type="dxa"/>
            <w:vAlign w:val="center"/>
          </w:tcPr>
          <w:p w14:paraId="26B07543">
            <w:pPr>
              <w:spacing w:line="240" w:lineRule="auto"/>
              <w:jc w:val="center"/>
              <w:rPr>
                <w:sz w:val="21"/>
                <w:szCs w:val="21"/>
              </w:rPr>
            </w:pPr>
            <w:r>
              <w:rPr>
                <w:rFonts w:hint="eastAsia"/>
                <w:sz w:val="21"/>
                <w:szCs w:val="21"/>
              </w:rPr>
              <w:t>0</w:t>
            </w:r>
          </w:p>
        </w:tc>
        <w:tc>
          <w:tcPr>
            <w:tcW w:w="1111" w:type="dxa"/>
            <w:vAlign w:val="center"/>
          </w:tcPr>
          <w:p w14:paraId="1D3366C1">
            <w:pPr>
              <w:spacing w:line="240" w:lineRule="auto"/>
              <w:jc w:val="center"/>
              <w:rPr>
                <w:rFonts w:hint="eastAsia"/>
                <w:sz w:val="21"/>
                <w:szCs w:val="21"/>
              </w:rPr>
            </w:pPr>
            <w:r>
              <w:rPr>
                <w:rFonts w:hint="eastAsia"/>
                <w:sz w:val="21"/>
                <w:szCs w:val="21"/>
              </w:rPr>
              <w:t>达标</w:t>
            </w:r>
          </w:p>
        </w:tc>
      </w:tr>
      <w:tr w14:paraId="6F764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E3608D2">
            <w:pPr>
              <w:spacing w:line="240" w:lineRule="auto"/>
              <w:jc w:val="center"/>
              <w:rPr>
                <w:rFonts w:hint="eastAsia"/>
                <w:sz w:val="21"/>
                <w:szCs w:val="21"/>
              </w:rPr>
            </w:pPr>
          </w:p>
        </w:tc>
        <w:tc>
          <w:tcPr>
            <w:tcW w:w="2252" w:type="dxa"/>
            <w:shd w:val="clear" w:color="auto" w:fill="auto"/>
            <w:vAlign w:val="center"/>
          </w:tcPr>
          <w:p w14:paraId="3AB1DEA4">
            <w:pPr>
              <w:spacing w:line="240" w:lineRule="auto"/>
              <w:jc w:val="center"/>
              <w:rPr>
                <w:rFonts w:hint="eastAsia"/>
                <w:sz w:val="21"/>
                <w:szCs w:val="21"/>
              </w:rPr>
            </w:pPr>
            <w:r>
              <w:rPr>
                <w:rFonts w:hint="eastAsia"/>
                <w:sz w:val="21"/>
                <w:szCs w:val="21"/>
              </w:rPr>
              <w:t>硫酸盐</w:t>
            </w:r>
          </w:p>
        </w:tc>
        <w:tc>
          <w:tcPr>
            <w:tcW w:w="1271" w:type="dxa"/>
            <w:shd w:val="clear" w:color="auto" w:fill="FFFFFF"/>
            <w:vAlign w:val="center"/>
          </w:tcPr>
          <w:p w14:paraId="122C8F8E">
            <w:pPr>
              <w:spacing w:line="240" w:lineRule="auto"/>
              <w:jc w:val="center"/>
              <w:rPr>
                <w:sz w:val="21"/>
                <w:szCs w:val="21"/>
              </w:rPr>
            </w:pPr>
            <w:r>
              <w:rPr>
                <w:rFonts w:hint="eastAsia"/>
                <w:sz w:val="21"/>
                <w:szCs w:val="21"/>
              </w:rPr>
              <w:t>7.53</w:t>
            </w:r>
          </w:p>
        </w:tc>
        <w:tc>
          <w:tcPr>
            <w:tcW w:w="1843" w:type="dxa"/>
            <w:gridSpan w:val="2"/>
            <w:shd w:val="solid" w:color="FFFFFF" w:fill="auto"/>
            <w:vAlign w:val="center"/>
          </w:tcPr>
          <w:p w14:paraId="62E53904">
            <w:pPr>
              <w:spacing w:line="240" w:lineRule="auto"/>
              <w:jc w:val="center"/>
              <w:rPr>
                <w:rFonts w:hint="eastAsia"/>
                <w:sz w:val="21"/>
                <w:szCs w:val="21"/>
              </w:rPr>
            </w:pPr>
            <w:r>
              <w:rPr>
                <w:rFonts w:hint="eastAsia"/>
                <w:sz w:val="21"/>
                <w:szCs w:val="21"/>
              </w:rPr>
              <w:t>250</w:t>
            </w:r>
          </w:p>
        </w:tc>
        <w:tc>
          <w:tcPr>
            <w:tcW w:w="1122" w:type="dxa"/>
            <w:vAlign w:val="center"/>
          </w:tcPr>
          <w:p w14:paraId="33C598E7">
            <w:pPr>
              <w:spacing w:line="240" w:lineRule="auto"/>
              <w:jc w:val="center"/>
              <w:rPr>
                <w:rFonts w:hint="eastAsia"/>
                <w:sz w:val="21"/>
                <w:szCs w:val="21"/>
              </w:rPr>
            </w:pPr>
            <w:r>
              <w:rPr>
                <w:rFonts w:hint="eastAsia"/>
                <w:sz w:val="21"/>
                <w:szCs w:val="21"/>
              </w:rPr>
              <w:t>0</w:t>
            </w:r>
          </w:p>
        </w:tc>
        <w:tc>
          <w:tcPr>
            <w:tcW w:w="1111" w:type="dxa"/>
            <w:vAlign w:val="center"/>
          </w:tcPr>
          <w:p w14:paraId="22FEA5A8">
            <w:pPr>
              <w:spacing w:line="240" w:lineRule="auto"/>
              <w:jc w:val="center"/>
              <w:rPr>
                <w:rFonts w:hint="eastAsia"/>
                <w:sz w:val="21"/>
                <w:szCs w:val="21"/>
              </w:rPr>
            </w:pPr>
            <w:r>
              <w:rPr>
                <w:rFonts w:hint="eastAsia"/>
                <w:sz w:val="21"/>
                <w:szCs w:val="21"/>
              </w:rPr>
              <w:t>达标</w:t>
            </w:r>
          </w:p>
        </w:tc>
      </w:tr>
      <w:tr w14:paraId="43ACF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27AC6BB">
            <w:pPr>
              <w:spacing w:line="240" w:lineRule="auto"/>
              <w:jc w:val="center"/>
              <w:rPr>
                <w:rFonts w:hint="eastAsia"/>
                <w:sz w:val="21"/>
                <w:szCs w:val="21"/>
              </w:rPr>
            </w:pPr>
          </w:p>
        </w:tc>
        <w:tc>
          <w:tcPr>
            <w:tcW w:w="2252" w:type="dxa"/>
            <w:shd w:val="clear" w:color="auto" w:fill="auto"/>
            <w:vAlign w:val="center"/>
          </w:tcPr>
          <w:p w14:paraId="535574FE">
            <w:pPr>
              <w:spacing w:line="240" w:lineRule="auto"/>
              <w:jc w:val="center"/>
              <w:rPr>
                <w:rFonts w:hint="eastAsia"/>
                <w:sz w:val="21"/>
                <w:szCs w:val="21"/>
              </w:rPr>
            </w:pPr>
            <w:r>
              <w:rPr>
                <w:rFonts w:hint="eastAsia"/>
                <w:sz w:val="21"/>
                <w:szCs w:val="21"/>
              </w:rPr>
              <w:t>氯化物</w:t>
            </w:r>
          </w:p>
        </w:tc>
        <w:tc>
          <w:tcPr>
            <w:tcW w:w="1271" w:type="dxa"/>
            <w:shd w:val="clear" w:color="auto" w:fill="FFFFFF"/>
            <w:vAlign w:val="center"/>
          </w:tcPr>
          <w:p w14:paraId="31AE9B36">
            <w:pPr>
              <w:spacing w:line="240" w:lineRule="auto"/>
              <w:jc w:val="center"/>
              <w:rPr>
                <w:sz w:val="21"/>
                <w:szCs w:val="21"/>
              </w:rPr>
            </w:pPr>
            <w:r>
              <w:rPr>
                <w:rFonts w:hint="eastAsia"/>
                <w:sz w:val="21"/>
                <w:szCs w:val="21"/>
              </w:rPr>
              <w:t>1.74</w:t>
            </w:r>
          </w:p>
        </w:tc>
        <w:tc>
          <w:tcPr>
            <w:tcW w:w="1843" w:type="dxa"/>
            <w:gridSpan w:val="2"/>
            <w:shd w:val="solid" w:color="FFFFFF" w:fill="auto"/>
            <w:vAlign w:val="center"/>
          </w:tcPr>
          <w:p w14:paraId="3CBCF6EF">
            <w:pPr>
              <w:spacing w:line="240" w:lineRule="auto"/>
              <w:jc w:val="center"/>
              <w:rPr>
                <w:rFonts w:hint="eastAsia"/>
                <w:sz w:val="21"/>
                <w:szCs w:val="21"/>
              </w:rPr>
            </w:pPr>
            <w:r>
              <w:rPr>
                <w:rFonts w:hint="eastAsia"/>
                <w:sz w:val="21"/>
                <w:szCs w:val="21"/>
              </w:rPr>
              <w:t>250</w:t>
            </w:r>
          </w:p>
        </w:tc>
        <w:tc>
          <w:tcPr>
            <w:tcW w:w="1122" w:type="dxa"/>
            <w:vAlign w:val="center"/>
          </w:tcPr>
          <w:p w14:paraId="33CE6C71">
            <w:pPr>
              <w:spacing w:line="240" w:lineRule="auto"/>
              <w:jc w:val="center"/>
              <w:rPr>
                <w:rFonts w:hint="eastAsia"/>
                <w:sz w:val="21"/>
                <w:szCs w:val="21"/>
              </w:rPr>
            </w:pPr>
            <w:r>
              <w:rPr>
                <w:rFonts w:hint="eastAsia"/>
                <w:sz w:val="21"/>
                <w:szCs w:val="21"/>
              </w:rPr>
              <w:t>0</w:t>
            </w:r>
          </w:p>
        </w:tc>
        <w:tc>
          <w:tcPr>
            <w:tcW w:w="1111" w:type="dxa"/>
            <w:vAlign w:val="center"/>
          </w:tcPr>
          <w:p w14:paraId="784B4FDA">
            <w:pPr>
              <w:spacing w:line="240" w:lineRule="auto"/>
              <w:jc w:val="center"/>
              <w:rPr>
                <w:rFonts w:hint="eastAsia"/>
                <w:sz w:val="21"/>
                <w:szCs w:val="21"/>
              </w:rPr>
            </w:pPr>
            <w:r>
              <w:rPr>
                <w:rFonts w:hint="eastAsia"/>
                <w:sz w:val="21"/>
                <w:szCs w:val="21"/>
              </w:rPr>
              <w:t>达标</w:t>
            </w:r>
          </w:p>
        </w:tc>
      </w:tr>
      <w:tr w14:paraId="4E859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331E0836">
            <w:pPr>
              <w:spacing w:line="240" w:lineRule="auto"/>
              <w:jc w:val="center"/>
              <w:rPr>
                <w:rFonts w:hint="eastAsia"/>
                <w:sz w:val="21"/>
                <w:szCs w:val="21"/>
              </w:rPr>
            </w:pPr>
          </w:p>
        </w:tc>
        <w:tc>
          <w:tcPr>
            <w:tcW w:w="2252" w:type="dxa"/>
            <w:shd w:val="clear" w:color="auto" w:fill="auto"/>
            <w:vAlign w:val="center"/>
          </w:tcPr>
          <w:p w14:paraId="3302BDE0">
            <w:pPr>
              <w:spacing w:line="240" w:lineRule="auto"/>
              <w:jc w:val="center"/>
              <w:rPr>
                <w:rFonts w:hint="eastAsia"/>
                <w:sz w:val="21"/>
                <w:szCs w:val="21"/>
              </w:rPr>
            </w:pPr>
            <w:r>
              <w:rPr>
                <w:rFonts w:hint="eastAsia"/>
                <w:sz w:val="21"/>
                <w:szCs w:val="21"/>
              </w:rPr>
              <w:t>硝酸盐</w:t>
            </w:r>
          </w:p>
        </w:tc>
        <w:tc>
          <w:tcPr>
            <w:tcW w:w="1271" w:type="dxa"/>
            <w:shd w:val="clear" w:color="auto" w:fill="FFFFFF"/>
            <w:vAlign w:val="center"/>
          </w:tcPr>
          <w:p w14:paraId="7C5CDDEA">
            <w:pPr>
              <w:spacing w:line="240" w:lineRule="auto"/>
              <w:jc w:val="center"/>
              <w:rPr>
                <w:sz w:val="21"/>
                <w:szCs w:val="21"/>
              </w:rPr>
            </w:pPr>
            <w:r>
              <w:rPr>
                <w:rFonts w:hint="eastAsia"/>
                <w:sz w:val="21"/>
                <w:szCs w:val="21"/>
              </w:rPr>
              <w:t>0.77</w:t>
            </w:r>
          </w:p>
        </w:tc>
        <w:tc>
          <w:tcPr>
            <w:tcW w:w="1843" w:type="dxa"/>
            <w:gridSpan w:val="2"/>
            <w:shd w:val="solid" w:color="FFFFFF" w:fill="auto"/>
            <w:vAlign w:val="center"/>
          </w:tcPr>
          <w:p w14:paraId="4EB2F4E3">
            <w:pPr>
              <w:spacing w:line="240" w:lineRule="auto"/>
              <w:jc w:val="center"/>
              <w:rPr>
                <w:rFonts w:hint="eastAsia"/>
                <w:sz w:val="21"/>
                <w:szCs w:val="21"/>
              </w:rPr>
            </w:pPr>
            <w:r>
              <w:rPr>
                <w:rFonts w:hint="eastAsia"/>
                <w:sz w:val="21"/>
                <w:szCs w:val="21"/>
              </w:rPr>
              <w:t>10</w:t>
            </w:r>
          </w:p>
        </w:tc>
        <w:tc>
          <w:tcPr>
            <w:tcW w:w="1122" w:type="dxa"/>
            <w:vAlign w:val="center"/>
          </w:tcPr>
          <w:p w14:paraId="4A8DA843">
            <w:pPr>
              <w:spacing w:line="240" w:lineRule="auto"/>
              <w:jc w:val="center"/>
              <w:rPr>
                <w:rFonts w:hint="eastAsia"/>
                <w:sz w:val="21"/>
                <w:szCs w:val="21"/>
              </w:rPr>
            </w:pPr>
            <w:r>
              <w:rPr>
                <w:rFonts w:hint="eastAsia"/>
                <w:sz w:val="21"/>
                <w:szCs w:val="21"/>
              </w:rPr>
              <w:t>0</w:t>
            </w:r>
          </w:p>
        </w:tc>
        <w:tc>
          <w:tcPr>
            <w:tcW w:w="1111" w:type="dxa"/>
            <w:vAlign w:val="center"/>
          </w:tcPr>
          <w:p w14:paraId="6CE083FD">
            <w:pPr>
              <w:spacing w:line="240" w:lineRule="auto"/>
              <w:jc w:val="center"/>
              <w:rPr>
                <w:rFonts w:hint="eastAsia"/>
                <w:sz w:val="21"/>
                <w:szCs w:val="21"/>
              </w:rPr>
            </w:pPr>
            <w:r>
              <w:rPr>
                <w:rFonts w:hint="eastAsia"/>
                <w:sz w:val="21"/>
                <w:szCs w:val="21"/>
              </w:rPr>
              <w:t>达标</w:t>
            </w:r>
          </w:p>
        </w:tc>
      </w:tr>
      <w:tr w14:paraId="79C97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251D08C4">
            <w:pPr>
              <w:spacing w:line="240" w:lineRule="auto"/>
              <w:jc w:val="center"/>
              <w:rPr>
                <w:rFonts w:hint="eastAsia"/>
                <w:sz w:val="21"/>
                <w:szCs w:val="21"/>
              </w:rPr>
            </w:pPr>
          </w:p>
        </w:tc>
        <w:tc>
          <w:tcPr>
            <w:tcW w:w="2252" w:type="dxa"/>
            <w:shd w:val="clear" w:color="auto" w:fill="auto"/>
            <w:vAlign w:val="center"/>
          </w:tcPr>
          <w:p w14:paraId="73B27568">
            <w:pPr>
              <w:spacing w:line="240" w:lineRule="auto"/>
              <w:jc w:val="center"/>
              <w:rPr>
                <w:rFonts w:hint="eastAsia"/>
                <w:sz w:val="21"/>
                <w:szCs w:val="21"/>
              </w:rPr>
            </w:pPr>
            <w:r>
              <w:rPr>
                <w:rFonts w:hint="eastAsia"/>
                <w:sz w:val="21"/>
                <w:szCs w:val="21"/>
              </w:rPr>
              <w:t>铁</w:t>
            </w:r>
          </w:p>
        </w:tc>
        <w:tc>
          <w:tcPr>
            <w:tcW w:w="1271" w:type="dxa"/>
            <w:shd w:val="clear" w:color="auto" w:fill="FFFFFF"/>
            <w:vAlign w:val="center"/>
          </w:tcPr>
          <w:p w14:paraId="725D19F0">
            <w:pPr>
              <w:spacing w:line="240" w:lineRule="auto"/>
              <w:jc w:val="center"/>
              <w:rPr>
                <w:sz w:val="21"/>
                <w:szCs w:val="21"/>
              </w:rPr>
            </w:pPr>
            <w:r>
              <w:rPr>
                <w:rFonts w:hint="eastAsia"/>
                <w:sz w:val="21"/>
                <w:szCs w:val="21"/>
              </w:rPr>
              <w:t>0.03L</w:t>
            </w:r>
          </w:p>
        </w:tc>
        <w:tc>
          <w:tcPr>
            <w:tcW w:w="1843" w:type="dxa"/>
            <w:gridSpan w:val="2"/>
            <w:shd w:val="solid" w:color="FFFFFF" w:fill="auto"/>
            <w:vAlign w:val="center"/>
          </w:tcPr>
          <w:p w14:paraId="3A8401FE">
            <w:pPr>
              <w:spacing w:line="240" w:lineRule="auto"/>
              <w:jc w:val="center"/>
              <w:rPr>
                <w:rFonts w:hint="eastAsia"/>
                <w:sz w:val="21"/>
                <w:szCs w:val="21"/>
              </w:rPr>
            </w:pPr>
            <w:r>
              <w:rPr>
                <w:rFonts w:hint="eastAsia"/>
                <w:sz w:val="21"/>
                <w:szCs w:val="21"/>
              </w:rPr>
              <w:t>0.3</w:t>
            </w:r>
          </w:p>
        </w:tc>
        <w:tc>
          <w:tcPr>
            <w:tcW w:w="1122" w:type="dxa"/>
            <w:vAlign w:val="center"/>
          </w:tcPr>
          <w:p w14:paraId="6D2AFC81">
            <w:pPr>
              <w:spacing w:line="240" w:lineRule="auto"/>
              <w:jc w:val="center"/>
              <w:rPr>
                <w:rFonts w:hint="eastAsia"/>
                <w:sz w:val="21"/>
                <w:szCs w:val="21"/>
              </w:rPr>
            </w:pPr>
            <w:r>
              <w:rPr>
                <w:rFonts w:hint="eastAsia"/>
                <w:sz w:val="21"/>
                <w:szCs w:val="21"/>
              </w:rPr>
              <w:t>0</w:t>
            </w:r>
          </w:p>
        </w:tc>
        <w:tc>
          <w:tcPr>
            <w:tcW w:w="1111" w:type="dxa"/>
            <w:vAlign w:val="center"/>
          </w:tcPr>
          <w:p w14:paraId="6C3C475F">
            <w:pPr>
              <w:spacing w:line="240" w:lineRule="auto"/>
              <w:jc w:val="center"/>
              <w:rPr>
                <w:rFonts w:hint="eastAsia"/>
                <w:sz w:val="21"/>
                <w:szCs w:val="21"/>
              </w:rPr>
            </w:pPr>
            <w:r>
              <w:rPr>
                <w:rFonts w:hint="eastAsia"/>
                <w:sz w:val="21"/>
                <w:szCs w:val="21"/>
              </w:rPr>
              <w:t>达标</w:t>
            </w:r>
          </w:p>
        </w:tc>
      </w:tr>
      <w:tr w14:paraId="63C02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C013A35">
            <w:pPr>
              <w:spacing w:line="240" w:lineRule="auto"/>
              <w:jc w:val="center"/>
              <w:rPr>
                <w:rFonts w:hint="eastAsia"/>
                <w:sz w:val="21"/>
                <w:szCs w:val="21"/>
              </w:rPr>
            </w:pPr>
          </w:p>
        </w:tc>
        <w:tc>
          <w:tcPr>
            <w:tcW w:w="2252" w:type="dxa"/>
            <w:shd w:val="clear" w:color="auto" w:fill="auto"/>
            <w:vAlign w:val="center"/>
          </w:tcPr>
          <w:p w14:paraId="3006DFF5">
            <w:pPr>
              <w:spacing w:line="240" w:lineRule="auto"/>
              <w:jc w:val="center"/>
              <w:rPr>
                <w:rFonts w:hint="eastAsia"/>
                <w:sz w:val="21"/>
                <w:szCs w:val="21"/>
              </w:rPr>
            </w:pPr>
            <w:r>
              <w:rPr>
                <w:rFonts w:hint="eastAsia"/>
                <w:sz w:val="21"/>
                <w:szCs w:val="21"/>
              </w:rPr>
              <w:t>锰</w:t>
            </w:r>
          </w:p>
        </w:tc>
        <w:tc>
          <w:tcPr>
            <w:tcW w:w="1271" w:type="dxa"/>
            <w:shd w:val="clear" w:color="auto" w:fill="FFFFFF"/>
            <w:vAlign w:val="center"/>
          </w:tcPr>
          <w:p w14:paraId="32C2C358">
            <w:pPr>
              <w:spacing w:line="240" w:lineRule="auto"/>
              <w:jc w:val="center"/>
              <w:rPr>
                <w:sz w:val="21"/>
                <w:szCs w:val="21"/>
              </w:rPr>
            </w:pPr>
            <w:r>
              <w:rPr>
                <w:rFonts w:hint="eastAsia"/>
                <w:sz w:val="21"/>
                <w:szCs w:val="21"/>
              </w:rPr>
              <w:t>0.01L</w:t>
            </w:r>
          </w:p>
        </w:tc>
        <w:tc>
          <w:tcPr>
            <w:tcW w:w="1843" w:type="dxa"/>
            <w:gridSpan w:val="2"/>
            <w:shd w:val="solid" w:color="FFFFFF" w:fill="auto"/>
            <w:vAlign w:val="center"/>
          </w:tcPr>
          <w:p w14:paraId="3CEF0648">
            <w:pPr>
              <w:spacing w:line="240" w:lineRule="auto"/>
              <w:jc w:val="center"/>
              <w:rPr>
                <w:rFonts w:hint="eastAsia"/>
                <w:sz w:val="21"/>
                <w:szCs w:val="21"/>
              </w:rPr>
            </w:pPr>
            <w:r>
              <w:rPr>
                <w:rFonts w:hint="eastAsia"/>
                <w:sz w:val="21"/>
                <w:szCs w:val="21"/>
              </w:rPr>
              <w:t>0.1</w:t>
            </w:r>
          </w:p>
        </w:tc>
        <w:tc>
          <w:tcPr>
            <w:tcW w:w="1122" w:type="dxa"/>
            <w:vAlign w:val="center"/>
          </w:tcPr>
          <w:p w14:paraId="57626BA3">
            <w:pPr>
              <w:spacing w:line="240" w:lineRule="auto"/>
              <w:jc w:val="center"/>
              <w:rPr>
                <w:rFonts w:hint="eastAsia"/>
                <w:sz w:val="21"/>
                <w:szCs w:val="21"/>
              </w:rPr>
            </w:pPr>
            <w:r>
              <w:rPr>
                <w:rFonts w:hint="eastAsia"/>
                <w:sz w:val="21"/>
                <w:szCs w:val="21"/>
              </w:rPr>
              <w:t>0</w:t>
            </w:r>
          </w:p>
        </w:tc>
        <w:tc>
          <w:tcPr>
            <w:tcW w:w="1111" w:type="dxa"/>
            <w:vAlign w:val="center"/>
          </w:tcPr>
          <w:p w14:paraId="34B4AA50">
            <w:pPr>
              <w:spacing w:line="240" w:lineRule="auto"/>
              <w:jc w:val="center"/>
              <w:rPr>
                <w:rFonts w:hint="eastAsia"/>
                <w:sz w:val="21"/>
                <w:szCs w:val="21"/>
              </w:rPr>
            </w:pPr>
            <w:r>
              <w:rPr>
                <w:rFonts w:hint="eastAsia"/>
                <w:sz w:val="21"/>
                <w:szCs w:val="21"/>
              </w:rPr>
              <w:t>达标</w:t>
            </w:r>
          </w:p>
        </w:tc>
      </w:tr>
      <w:tr w14:paraId="34A63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79A2A23">
            <w:pPr>
              <w:spacing w:line="240" w:lineRule="auto"/>
              <w:jc w:val="center"/>
              <w:rPr>
                <w:rFonts w:hint="eastAsia"/>
                <w:sz w:val="21"/>
                <w:szCs w:val="21"/>
              </w:rPr>
            </w:pPr>
          </w:p>
        </w:tc>
        <w:tc>
          <w:tcPr>
            <w:tcW w:w="2252" w:type="dxa"/>
            <w:shd w:val="clear" w:color="auto" w:fill="auto"/>
            <w:vAlign w:val="center"/>
          </w:tcPr>
          <w:p w14:paraId="3CFE50AB">
            <w:pPr>
              <w:spacing w:line="240" w:lineRule="auto"/>
              <w:jc w:val="center"/>
              <w:rPr>
                <w:rFonts w:hint="eastAsia"/>
                <w:sz w:val="21"/>
                <w:szCs w:val="21"/>
              </w:rPr>
            </w:pPr>
            <w:r>
              <w:rPr>
                <w:rFonts w:hint="eastAsia"/>
                <w:sz w:val="21"/>
                <w:szCs w:val="21"/>
              </w:rPr>
              <w:t>三氯甲烷</w:t>
            </w:r>
          </w:p>
        </w:tc>
        <w:tc>
          <w:tcPr>
            <w:tcW w:w="1271" w:type="dxa"/>
            <w:shd w:val="clear" w:color="auto" w:fill="FFFFFF"/>
            <w:vAlign w:val="center"/>
          </w:tcPr>
          <w:p w14:paraId="4F4BFC51">
            <w:pPr>
              <w:spacing w:line="240" w:lineRule="auto"/>
              <w:jc w:val="center"/>
              <w:rPr>
                <w:sz w:val="21"/>
                <w:szCs w:val="21"/>
              </w:rPr>
            </w:pPr>
            <w:r>
              <w:rPr>
                <w:rFonts w:hint="eastAsia"/>
                <w:sz w:val="21"/>
                <w:szCs w:val="21"/>
              </w:rPr>
              <w:t>0.0004L</w:t>
            </w:r>
          </w:p>
        </w:tc>
        <w:tc>
          <w:tcPr>
            <w:tcW w:w="1843" w:type="dxa"/>
            <w:gridSpan w:val="2"/>
            <w:shd w:val="solid" w:color="FFFFFF" w:fill="auto"/>
            <w:vAlign w:val="center"/>
          </w:tcPr>
          <w:p w14:paraId="5516231D">
            <w:pPr>
              <w:spacing w:line="240" w:lineRule="auto"/>
              <w:jc w:val="center"/>
              <w:rPr>
                <w:rFonts w:hint="eastAsia"/>
                <w:sz w:val="21"/>
                <w:szCs w:val="21"/>
              </w:rPr>
            </w:pPr>
            <w:r>
              <w:rPr>
                <w:rFonts w:hint="eastAsia"/>
                <w:sz w:val="21"/>
                <w:szCs w:val="21"/>
              </w:rPr>
              <w:t>0.06</w:t>
            </w:r>
          </w:p>
        </w:tc>
        <w:tc>
          <w:tcPr>
            <w:tcW w:w="1122" w:type="dxa"/>
            <w:vAlign w:val="center"/>
          </w:tcPr>
          <w:p w14:paraId="7C4F55B6">
            <w:pPr>
              <w:spacing w:line="240" w:lineRule="auto"/>
              <w:jc w:val="center"/>
              <w:rPr>
                <w:rFonts w:hint="eastAsia"/>
                <w:sz w:val="21"/>
                <w:szCs w:val="21"/>
              </w:rPr>
            </w:pPr>
            <w:r>
              <w:rPr>
                <w:rFonts w:hint="eastAsia"/>
                <w:sz w:val="21"/>
                <w:szCs w:val="21"/>
              </w:rPr>
              <w:t>0</w:t>
            </w:r>
          </w:p>
        </w:tc>
        <w:tc>
          <w:tcPr>
            <w:tcW w:w="1111" w:type="dxa"/>
            <w:vAlign w:val="center"/>
          </w:tcPr>
          <w:p w14:paraId="103A7DCE">
            <w:pPr>
              <w:spacing w:line="240" w:lineRule="auto"/>
              <w:jc w:val="center"/>
              <w:rPr>
                <w:rFonts w:hint="eastAsia"/>
                <w:sz w:val="21"/>
                <w:szCs w:val="21"/>
              </w:rPr>
            </w:pPr>
            <w:r>
              <w:rPr>
                <w:rFonts w:hint="eastAsia"/>
                <w:sz w:val="21"/>
                <w:szCs w:val="21"/>
              </w:rPr>
              <w:t>达标</w:t>
            </w:r>
          </w:p>
        </w:tc>
      </w:tr>
      <w:tr w14:paraId="6B52C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2B309170">
            <w:pPr>
              <w:spacing w:line="240" w:lineRule="auto"/>
              <w:jc w:val="center"/>
              <w:rPr>
                <w:rFonts w:hint="eastAsia"/>
                <w:sz w:val="21"/>
                <w:szCs w:val="21"/>
              </w:rPr>
            </w:pPr>
          </w:p>
        </w:tc>
        <w:tc>
          <w:tcPr>
            <w:tcW w:w="2252" w:type="dxa"/>
            <w:shd w:val="clear" w:color="auto" w:fill="auto"/>
            <w:vAlign w:val="center"/>
          </w:tcPr>
          <w:p w14:paraId="273D38C1">
            <w:pPr>
              <w:spacing w:line="240" w:lineRule="auto"/>
              <w:jc w:val="center"/>
              <w:rPr>
                <w:rFonts w:hint="eastAsia"/>
                <w:sz w:val="21"/>
                <w:szCs w:val="21"/>
              </w:rPr>
            </w:pPr>
            <w:r>
              <w:rPr>
                <w:rFonts w:hint="eastAsia"/>
                <w:sz w:val="21"/>
                <w:szCs w:val="21"/>
              </w:rPr>
              <w:t>四氯化碳</w:t>
            </w:r>
          </w:p>
        </w:tc>
        <w:tc>
          <w:tcPr>
            <w:tcW w:w="1271" w:type="dxa"/>
            <w:shd w:val="clear" w:color="auto" w:fill="FFFFFF"/>
            <w:vAlign w:val="center"/>
          </w:tcPr>
          <w:p w14:paraId="78CCC037">
            <w:pPr>
              <w:spacing w:line="240" w:lineRule="auto"/>
              <w:jc w:val="center"/>
              <w:rPr>
                <w:sz w:val="21"/>
                <w:szCs w:val="21"/>
              </w:rPr>
            </w:pPr>
            <w:r>
              <w:rPr>
                <w:sz w:val="21"/>
                <w:szCs w:val="21"/>
              </w:rPr>
              <w:t>0.0004L</w:t>
            </w:r>
          </w:p>
        </w:tc>
        <w:tc>
          <w:tcPr>
            <w:tcW w:w="1843" w:type="dxa"/>
            <w:gridSpan w:val="2"/>
            <w:shd w:val="solid" w:color="FFFFFF" w:fill="auto"/>
            <w:vAlign w:val="center"/>
          </w:tcPr>
          <w:p w14:paraId="3C4FF465">
            <w:pPr>
              <w:spacing w:line="240" w:lineRule="auto"/>
              <w:jc w:val="center"/>
              <w:rPr>
                <w:rFonts w:hint="eastAsia"/>
                <w:sz w:val="21"/>
                <w:szCs w:val="21"/>
              </w:rPr>
            </w:pPr>
            <w:r>
              <w:rPr>
                <w:rFonts w:hint="eastAsia"/>
                <w:sz w:val="21"/>
                <w:szCs w:val="21"/>
              </w:rPr>
              <w:t>0.002</w:t>
            </w:r>
          </w:p>
        </w:tc>
        <w:tc>
          <w:tcPr>
            <w:tcW w:w="1122" w:type="dxa"/>
            <w:vAlign w:val="center"/>
          </w:tcPr>
          <w:p w14:paraId="7BAADC88">
            <w:pPr>
              <w:spacing w:line="240" w:lineRule="auto"/>
              <w:jc w:val="center"/>
              <w:rPr>
                <w:rFonts w:hint="eastAsia"/>
                <w:sz w:val="21"/>
                <w:szCs w:val="21"/>
              </w:rPr>
            </w:pPr>
            <w:r>
              <w:rPr>
                <w:rFonts w:hint="eastAsia"/>
                <w:sz w:val="21"/>
                <w:szCs w:val="21"/>
              </w:rPr>
              <w:t>0</w:t>
            </w:r>
          </w:p>
        </w:tc>
        <w:tc>
          <w:tcPr>
            <w:tcW w:w="1111" w:type="dxa"/>
            <w:vAlign w:val="center"/>
          </w:tcPr>
          <w:p w14:paraId="30EDB12A">
            <w:pPr>
              <w:spacing w:line="240" w:lineRule="auto"/>
              <w:jc w:val="center"/>
              <w:rPr>
                <w:rFonts w:hint="eastAsia"/>
                <w:sz w:val="21"/>
                <w:szCs w:val="21"/>
              </w:rPr>
            </w:pPr>
            <w:r>
              <w:rPr>
                <w:rFonts w:hint="eastAsia"/>
                <w:sz w:val="21"/>
                <w:szCs w:val="21"/>
              </w:rPr>
              <w:t>达标</w:t>
            </w:r>
          </w:p>
        </w:tc>
      </w:tr>
      <w:tr w14:paraId="08612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78E04C3">
            <w:pPr>
              <w:spacing w:line="240" w:lineRule="auto"/>
              <w:jc w:val="center"/>
              <w:rPr>
                <w:rFonts w:hint="eastAsia"/>
                <w:sz w:val="21"/>
                <w:szCs w:val="21"/>
              </w:rPr>
            </w:pPr>
          </w:p>
        </w:tc>
        <w:tc>
          <w:tcPr>
            <w:tcW w:w="2252" w:type="dxa"/>
            <w:shd w:val="clear" w:color="auto" w:fill="auto"/>
            <w:vAlign w:val="center"/>
          </w:tcPr>
          <w:p w14:paraId="22D61947">
            <w:pPr>
              <w:spacing w:line="240" w:lineRule="auto"/>
              <w:jc w:val="center"/>
              <w:rPr>
                <w:rFonts w:hint="eastAsia"/>
                <w:sz w:val="21"/>
                <w:szCs w:val="21"/>
              </w:rPr>
            </w:pPr>
            <w:r>
              <w:rPr>
                <w:rFonts w:hint="eastAsia"/>
                <w:sz w:val="21"/>
                <w:szCs w:val="21"/>
              </w:rPr>
              <w:t>三溴甲烷</w:t>
            </w:r>
          </w:p>
        </w:tc>
        <w:tc>
          <w:tcPr>
            <w:tcW w:w="1271" w:type="dxa"/>
            <w:shd w:val="clear" w:color="auto" w:fill="FFFFFF"/>
            <w:vAlign w:val="center"/>
          </w:tcPr>
          <w:p w14:paraId="667948E3">
            <w:pPr>
              <w:spacing w:line="240" w:lineRule="auto"/>
              <w:jc w:val="center"/>
              <w:rPr>
                <w:sz w:val="21"/>
                <w:szCs w:val="21"/>
              </w:rPr>
            </w:pPr>
            <w:r>
              <w:rPr>
                <w:sz w:val="21"/>
                <w:szCs w:val="21"/>
              </w:rPr>
              <w:t>0.000</w:t>
            </w:r>
            <w:r>
              <w:rPr>
                <w:rFonts w:hint="eastAsia"/>
                <w:sz w:val="21"/>
                <w:szCs w:val="21"/>
              </w:rPr>
              <w:t>5</w:t>
            </w:r>
            <w:r>
              <w:rPr>
                <w:sz w:val="21"/>
                <w:szCs w:val="21"/>
              </w:rPr>
              <w:t>L</w:t>
            </w:r>
          </w:p>
        </w:tc>
        <w:tc>
          <w:tcPr>
            <w:tcW w:w="1843" w:type="dxa"/>
            <w:gridSpan w:val="2"/>
            <w:shd w:val="solid" w:color="FFFFFF" w:fill="auto"/>
            <w:vAlign w:val="center"/>
          </w:tcPr>
          <w:p w14:paraId="2081A7E5">
            <w:pPr>
              <w:spacing w:line="240" w:lineRule="auto"/>
              <w:jc w:val="center"/>
              <w:rPr>
                <w:rFonts w:hint="eastAsia"/>
                <w:sz w:val="21"/>
                <w:szCs w:val="21"/>
              </w:rPr>
            </w:pPr>
            <w:r>
              <w:rPr>
                <w:rFonts w:hint="eastAsia"/>
                <w:sz w:val="21"/>
                <w:szCs w:val="21"/>
              </w:rPr>
              <w:t>0.1</w:t>
            </w:r>
          </w:p>
        </w:tc>
        <w:tc>
          <w:tcPr>
            <w:tcW w:w="1122" w:type="dxa"/>
            <w:vAlign w:val="center"/>
          </w:tcPr>
          <w:p w14:paraId="67B3609F">
            <w:pPr>
              <w:spacing w:line="240" w:lineRule="auto"/>
              <w:jc w:val="center"/>
              <w:rPr>
                <w:rFonts w:hint="eastAsia"/>
                <w:sz w:val="21"/>
                <w:szCs w:val="21"/>
              </w:rPr>
            </w:pPr>
            <w:r>
              <w:rPr>
                <w:rFonts w:hint="eastAsia"/>
                <w:sz w:val="21"/>
                <w:szCs w:val="21"/>
              </w:rPr>
              <w:t>0</w:t>
            </w:r>
          </w:p>
        </w:tc>
        <w:tc>
          <w:tcPr>
            <w:tcW w:w="1111" w:type="dxa"/>
            <w:vAlign w:val="center"/>
          </w:tcPr>
          <w:p w14:paraId="37F7D732">
            <w:pPr>
              <w:spacing w:line="240" w:lineRule="auto"/>
              <w:jc w:val="center"/>
              <w:rPr>
                <w:rFonts w:hint="eastAsia"/>
                <w:sz w:val="21"/>
                <w:szCs w:val="21"/>
              </w:rPr>
            </w:pPr>
            <w:r>
              <w:rPr>
                <w:rFonts w:hint="eastAsia"/>
                <w:sz w:val="21"/>
                <w:szCs w:val="21"/>
              </w:rPr>
              <w:t>达标</w:t>
            </w:r>
          </w:p>
        </w:tc>
      </w:tr>
      <w:tr w14:paraId="00CFF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C6155DB">
            <w:pPr>
              <w:spacing w:line="240" w:lineRule="auto"/>
              <w:jc w:val="center"/>
              <w:rPr>
                <w:rFonts w:hint="eastAsia"/>
                <w:sz w:val="21"/>
                <w:szCs w:val="21"/>
              </w:rPr>
            </w:pPr>
          </w:p>
        </w:tc>
        <w:tc>
          <w:tcPr>
            <w:tcW w:w="2252" w:type="dxa"/>
            <w:shd w:val="clear" w:color="auto" w:fill="auto"/>
            <w:vAlign w:val="center"/>
          </w:tcPr>
          <w:p w14:paraId="07736FBA">
            <w:pPr>
              <w:spacing w:line="240" w:lineRule="auto"/>
              <w:jc w:val="center"/>
              <w:rPr>
                <w:rFonts w:hint="eastAsia"/>
                <w:sz w:val="21"/>
                <w:szCs w:val="21"/>
              </w:rPr>
            </w:pPr>
            <w:r>
              <w:rPr>
                <w:rFonts w:hint="eastAsia"/>
                <w:sz w:val="21"/>
                <w:szCs w:val="21"/>
              </w:rPr>
              <w:t>二氯甲烷</w:t>
            </w:r>
          </w:p>
        </w:tc>
        <w:tc>
          <w:tcPr>
            <w:tcW w:w="1271" w:type="dxa"/>
            <w:shd w:val="clear" w:color="auto" w:fill="FFFFFF"/>
            <w:vAlign w:val="center"/>
          </w:tcPr>
          <w:p w14:paraId="729AB589">
            <w:pPr>
              <w:spacing w:line="240" w:lineRule="auto"/>
              <w:jc w:val="center"/>
              <w:rPr>
                <w:sz w:val="21"/>
                <w:szCs w:val="21"/>
              </w:rPr>
            </w:pPr>
            <w:r>
              <w:rPr>
                <w:sz w:val="21"/>
                <w:szCs w:val="21"/>
              </w:rPr>
              <w:t>0.000</w:t>
            </w:r>
            <w:r>
              <w:rPr>
                <w:rFonts w:hint="eastAsia"/>
                <w:sz w:val="21"/>
                <w:szCs w:val="21"/>
              </w:rPr>
              <w:t>5</w:t>
            </w:r>
            <w:r>
              <w:rPr>
                <w:sz w:val="21"/>
                <w:szCs w:val="21"/>
              </w:rPr>
              <w:t>L</w:t>
            </w:r>
          </w:p>
        </w:tc>
        <w:tc>
          <w:tcPr>
            <w:tcW w:w="1843" w:type="dxa"/>
            <w:gridSpan w:val="2"/>
            <w:shd w:val="solid" w:color="FFFFFF" w:fill="auto"/>
            <w:vAlign w:val="center"/>
          </w:tcPr>
          <w:p w14:paraId="2B24B180">
            <w:pPr>
              <w:spacing w:line="240" w:lineRule="auto"/>
              <w:jc w:val="center"/>
              <w:rPr>
                <w:rFonts w:hint="eastAsia"/>
                <w:sz w:val="21"/>
                <w:szCs w:val="21"/>
              </w:rPr>
            </w:pPr>
            <w:r>
              <w:rPr>
                <w:rFonts w:hint="eastAsia"/>
                <w:sz w:val="21"/>
                <w:szCs w:val="21"/>
              </w:rPr>
              <w:t>0.02</w:t>
            </w:r>
          </w:p>
        </w:tc>
        <w:tc>
          <w:tcPr>
            <w:tcW w:w="1122" w:type="dxa"/>
            <w:vAlign w:val="center"/>
          </w:tcPr>
          <w:p w14:paraId="24CAE985">
            <w:pPr>
              <w:spacing w:line="240" w:lineRule="auto"/>
              <w:jc w:val="center"/>
              <w:rPr>
                <w:rFonts w:hint="eastAsia"/>
                <w:sz w:val="21"/>
                <w:szCs w:val="21"/>
              </w:rPr>
            </w:pPr>
            <w:r>
              <w:rPr>
                <w:rFonts w:hint="eastAsia"/>
                <w:sz w:val="21"/>
                <w:szCs w:val="21"/>
              </w:rPr>
              <w:t>0</w:t>
            </w:r>
          </w:p>
        </w:tc>
        <w:tc>
          <w:tcPr>
            <w:tcW w:w="1111" w:type="dxa"/>
            <w:vAlign w:val="center"/>
          </w:tcPr>
          <w:p w14:paraId="2C611CE6">
            <w:pPr>
              <w:spacing w:line="240" w:lineRule="auto"/>
              <w:jc w:val="center"/>
              <w:rPr>
                <w:rFonts w:hint="eastAsia"/>
                <w:sz w:val="21"/>
                <w:szCs w:val="21"/>
              </w:rPr>
            </w:pPr>
            <w:r>
              <w:rPr>
                <w:rFonts w:hint="eastAsia"/>
                <w:sz w:val="21"/>
                <w:szCs w:val="21"/>
              </w:rPr>
              <w:t>达标</w:t>
            </w:r>
          </w:p>
        </w:tc>
      </w:tr>
      <w:tr w14:paraId="101D3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33CEF0F4">
            <w:pPr>
              <w:spacing w:line="240" w:lineRule="auto"/>
              <w:jc w:val="center"/>
              <w:rPr>
                <w:rFonts w:hint="eastAsia"/>
                <w:sz w:val="21"/>
                <w:szCs w:val="21"/>
              </w:rPr>
            </w:pPr>
          </w:p>
        </w:tc>
        <w:tc>
          <w:tcPr>
            <w:tcW w:w="2252" w:type="dxa"/>
            <w:shd w:val="clear" w:color="auto" w:fill="auto"/>
            <w:vAlign w:val="center"/>
          </w:tcPr>
          <w:p w14:paraId="4D419D4B">
            <w:pPr>
              <w:spacing w:line="240" w:lineRule="auto"/>
              <w:jc w:val="center"/>
              <w:rPr>
                <w:rFonts w:hint="eastAsia"/>
                <w:sz w:val="21"/>
                <w:szCs w:val="21"/>
              </w:rPr>
            </w:pPr>
            <w:r>
              <w:rPr>
                <w:rFonts w:hint="eastAsia"/>
                <w:sz w:val="21"/>
                <w:szCs w:val="21"/>
              </w:rPr>
              <w:t>1.2—二氯乙烷</w:t>
            </w:r>
          </w:p>
        </w:tc>
        <w:tc>
          <w:tcPr>
            <w:tcW w:w="1271" w:type="dxa"/>
            <w:shd w:val="clear" w:color="auto" w:fill="FFFFFF"/>
            <w:vAlign w:val="center"/>
          </w:tcPr>
          <w:p w14:paraId="1AFE131E">
            <w:pPr>
              <w:spacing w:line="240" w:lineRule="auto"/>
              <w:jc w:val="center"/>
              <w:rPr>
                <w:sz w:val="21"/>
                <w:szCs w:val="21"/>
              </w:rPr>
            </w:pPr>
            <w:r>
              <w:rPr>
                <w:sz w:val="21"/>
                <w:szCs w:val="21"/>
              </w:rPr>
              <w:t>0.0004L</w:t>
            </w:r>
          </w:p>
        </w:tc>
        <w:tc>
          <w:tcPr>
            <w:tcW w:w="1843" w:type="dxa"/>
            <w:gridSpan w:val="2"/>
            <w:shd w:val="solid" w:color="FFFFFF" w:fill="auto"/>
            <w:vAlign w:val="center"/>
          </w:tcPr>
          <w:p w14:paraId="29ABB4AB">
            <w:pPr>
              <w:spacing w:line="240" w:lineRule="auto"/>
              <w:jc w:val="center"/>
              <w:rPr>
                <w:rFonts w:hint="eastAsia"/>
                <w:sz w:val="21"/>
                <w:szCs w:val="21"/>
              </w:rPr>
            </w:pPr>
            <w:r>
              <w:rPr>
                <w:rFonts w:hint="eastAsia"/>
                <w:sz w:val="21"/>
                <w:szCs w:val="21"/>
              </w:rPr>
              <w:t>0.03</w:t>
            </w:r>
          </w:p>
        </w:tc>
        <w:tc>
          <w:tcPr>
            <w:tcW w:w="1122" w:type="dxa"/>
            <w:vAlign w:val="center"/>
          </w:tcPr>
          <w:p w14:paraId="6FC0F927">
            <w:pPr>
              <w:spacing w:line="240" w:lineRule="auto"/>
              <w:jc w:val="center"/>
              <w:rPr>
                <w:rFonts w:hint="eastAsia"/>
                <w:sz w:val="21"/>
                <w:szCs w:val="21"/>
              </w:rPr>
            </w:pPr>
            <w:r>
              <w:rPr>
                <w:rFonts w:hint="eastAsia"/>
                <w:sz w:val="21"/>
                <w:szCs w:val="21"/>
              </w:rPr>
              <w:t>0</w:t>
            </w:r>
          </w:p>
        </w:tc>
        <w:tc>
          <w:tcPr>
            <w:tcW w:w="1111" w:type="dxa"/>
            <w:vAlign w:val="center"/>
          </w:tcPr>
          <w:p w14:paraId="353E984E">
            <w:pPr>
              <w:spacing w:line="240" w:lineRule="auto"/>
              <w:jc w:val="center"/>
              <w:rPr>
                <w:rFonts w:hint="eastAsia"/>
                <w:sz w:val="21"/>
                <w:szCs w:val="21"/>
              </w:rPr>
            </w:pPr>
            <w:r>
              <w:rPr>
                <w:rFonts w:hint="eastAsia"/>
                <w:sz w:val="21"/>
                <w:szCs w:val="21"/>
              </w:rPr>
              <w:t>达标</w:t>
            </w:r>
          </w:p>
        </w:tc>
      </w:tr>
      <w:tr w14:paraId="4CB4EF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AF1368B">
            <w:pPr>
              <w:spacing w:line="240" w:lineRule="auto"/>
              <w:jc w:val="center"/>
              <w:rPr>
                <w:rFonts w:hint="eastAsia"/>
                <w:sz w:val="21"/>
                <w:szCs w:val="21"/>
              </w:rPr>
            </w:pPr>
          </w:p>
        </w:tc>
        <w:tc>
          <w:tcPr>
            <w:tcW w:w="2252" w:type="dxa"/>
            <w:shd w:val="clear" w:color="auto" w:fill="auto"/>
            <w:vAlign w:val="center"/>
          </w:tcPr>
          <w:p w14:paraId="61B91441">
            <w:pPr>
              <w:spacing w:line="240" w:lineRule="auto"/>
              <w:jc w:val="center"/>
              <w:rPr>
                <w:rFonts w:hint="eastAsia"/>
                <w:sz w:val="21"/>
                <w:szCs w:val="21"/>
              </w:rPr>
            </w:pPr>
            <w:r>
              <w:rPr>
                <w:rFonts w:hint="eastAsia"/>
                <w:sz w:val="21"/>
                <w:szCs w:val="21"/>
              </w:rPr>
              <w:t>环氧氯丙烷</w:t>
            </w:r>
          </w:p>
        </w:tc>
        <w:tc>
          <w:tcPr>
            <w:tcW w:w="1271" w:type="dxa"/>
            <w:shd w:val="clear" w:color="auto" w:fill="FFFFFF"/>
            <w:vAlign w:val="center"/>
          </w:tcPr>
          <w:p w14:paraId="44A4795D">
            <w:pPr>
              <w:spacing w:line="240" w:lineRule="auto"/>
              <w:jc w:val="center"/>
              <w:rPr>
                <w:sz w:val="21"/>
                <w:szCs w:val="21"/>
              </w:rPr>
            </w:pPr>
            <w:r>
              <w:rPr>
                <w:rFonts w:hint="eastAsia"/>
                <w:sz w:val="21"/>
                <w:szCs w:val="21"/>
              </w:rPr>
              <w:t>0.0023L</w:t>
            </w:r>
          </w:p>
        </w:tc>
        <w:tc>
          <w:tcPr>
            <w:tcW w:w="1843" w:type="dxa"/>
            <w:gridSpan w:val="2"/>
            <w:shd w:val="solid" w:color="FFFFFF" w:fill="auto"/>
            <w:vAlign w:val="center"/>
          </w:tcPr>
          <w:p w14:paraId="6624461D">
            <w:pPr>
              <w:spacing w:line="240" w:lineRule="auto"/>
              <w:jc w:val="center"/>
              <w:rPr>
                <w:rFonts w:hint="eastAsia"/>
                <w:sz w:val="21"/>
                <w:szCs w:val="21"/>
              </w:rPr>
            </w:pPr>
            <w:r>
              <w:rPr>
                <w:rFonts w:hint="eastAsia"/>
                <w:sz w:val="21"/>
                <w:szCs w:val="21"/>
              </w:rPr>
              <w:t>0.02</w:t>
            </w:r>
          </w:p>
        </w:tc>
        <w:tc>
          <w:tcPr>
            <w:tcW w:w="1122" w:type="dxa"/>
            <w:vAlign w:val="center"/>
          </w:tcPr>
          <w:p w14:paraId="78163BD8">
            <w:pPr>
              <w:spacing w:line="240" w:lineRule="auto"/>
              <w:jc w:val="center"/>
              <w:rPr>
                <w:rFonts w:hint="eastAsia"/>
                <w:sz w:val="21"/>
                <w:szCs w:val="21"/>
              </w:rPr>
            </w:pPr>
            <w:r>
              <w:rPr>
                <w:rFonts w:hint="eastAsia"/>
                <w:sz w:val="21"/>
                <w:szCs w:val="21"/>
              </w:rPr>
              <w:t>0</w:t>
            </w:r>
          </w:p>
        </w:tc>
        <w:tc>
          <w:tcPr>
            <w:tcW w:w="1111" w:type="dxa"/>
            <w:vAlign w:val="center"/>
          </w:tcPr>
          <w:p w14:paraId="3D9FE5F8">
            <w:pPr>
              <w:spacing w:line="240" w:lineRule="auto"/>
              <w:jc w:val="center"/>
              <w:rPr>
                <w:rFonts w:hint="eastAsia"/>
                <w:sz w:val="21"/>
                <w:szCs w:val="21"/>
              </w:rPr>
            </w:pPr>
            <w:r>
              <w:rPr>
                <w:rFonts w:hint="eastAsia"/>
                <w:sz w:val="21"/>
                <w:szCs w:val="21"/>
              </w:rPr>
              <w:t>达标</w:t>
            </w:r>
          </w:p>
        </w:tc>
      </w:tr>
      <w:tr w14:paraId="223BC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2C88617">
            <w:pPr>
              <w:spacing w:line="240" w:lineRule="auto"/>
              <w:jc w:val="center"/>
              <w:rPr>
                <w:rFonts w:hint="eastAsia"/>
                <w:sz w:val="21"/>
                <w:szCs w:val="21"/>
              </w:rPr>
            </w:pPr>
          </w:p>
        </w:tc>
        <w:tc>
          <w:tcPr>
            <w:tcW w:w="2252" w:type="dxa"/>
            <w:shd w:val="clear" w:color="auto" w:fill="auto"/>
            <w:vAlign w:val="center"/>
          </w:tcPr>
          <w:p w14:paraId="6D9618C6">
            <w:pPr>
              <w:spacing w:line="240" w:lineRule="auto"/>
              <w:jc w:val="center"/>
              <w:rPr>
                <w:rFonts w:hint="eastAsia"/>
                <w:sz w:val="21"/>
                <w:szCs w:val="21"/>
              </w:rPr>
            </w:pPr>
            <w:r>
              <w:rPr>
                <w:rFonts w:hint="eastAsia"/>
                <w:sz w:val="21"/>
                <w:szCs w:val="21"/>
              </w:rPr>
              <w:t>氯乙烯</w:t>
            </w:r>
          </w:p>
        </w:tc>
        <w:tc>
          <w:tcPr>
            <w:tcW w:w="1271" w:type="dxa"/>
            <w:shd w:val="clear" w:color="auto" w:fill="FFFFFF"/>
            <w:vAlign w:val="center"/>
          </w:tcPr>
          <w:p w14:paraId="60F308B7">
            <w:pPr>
              <w:spacing w:line="240" w:lineRule="auto"/>
              <w:jc w:val="center"/>
              <w:rPr>
                <w:sz w:val="21"/>
                <w:szCs w:val="21"/>
              </w:rPr>
            </w:pPr>
            <w:r>
              <w:rPr>
                <w:sz w:val="21"/>
                <w:szCs w:val="21"/>
              </w:rPr>
              <w:t>0.000</w:t>
            </w:r>
            <w:r>
              <w:rPr>
                <w:rFonts w:hint="eastAsia"/>
                <w:sz w:val="21"/>
                <w:szCs w:val="21"/>
              </w:rPr>
              <w:t>5</w:t>
            </w:r>
            <w:r>
              <w:rPr>
                <w:sz w:val="21"/>
                <w:szCs w:val="21"/>
              </w:rPr>
              <w:t>L</w:t>
            </w:r>
          </w:p>
        </w:tc>
        <w:tc>
          <w:tcPr>
            <w:tcW w:w="1843" w:type="dxa"/>
            <w:gridSpan w:val="2"/>
            <w:shd w:val="solid" w:color="FFFFFF" w:fill="auto"/>
            <w:vAlign w:val="center"/>
          </w:tcPr>
          <w:p w14:paraId="5F591ABE">
            <w:pPr>
              <w:spacing w:line="240" w:lineRule="auto"/>
              <w:jc w:val="center"/>
              <w:rPr>
                <w:rFonts w:hint="eastAsia"/>
                <w:sz w:val="21"/>
                <w:szCs w:val="21"/>
              </w:rPr>
            </w:pPr>
            <w:r>
              <w:rPr>
                <w:rFonts w:hint="eastAsia"/>
                <w:sz w:val="21"/>
                <w:szCs w:val="21"/>
              </w:rPr>
              <w:t>0.005</w:t>
            </w:r>
          </w:p>
        </w:tc>
        <w:tc>
          <w:tcPr>
            <w:tcW w:w="1122" w:type="dxa"/>
            <w:vAlign w:val="center"/>
          </w:tcPr>
          <w:p w14:paraId="097FB420">
            <w:pPr>
              <w:spacing w:line="240" w:lineRule="auto"/>
              <w:jc w:val="center"/>
              <w:rPr>
                <w:rFonts w:hint="eastAsia"/>
                <w:sz w:val="21"/>
                <w:szCs w:val="21"/>
              </w:rPr>
            </w:pPr>
            <w:r>
              <w:rPr>
                <w:rFonts w:hint="eastAsia"/>
                <w:sz w:val="21"/>
                <w:szCs w:val="21"/>
              </w:rPr>
              <w:t>0</w:t>
            </w:r>
          </w:p>
        </w:tc>
        <w:tc>
          <w:tcPr>
            <w:tcW w:w="1111" w:type="dxa"/>
            <w:vAlign w:val="center"/>
          </w:tcPr>
          <w:p w14:paraId="6939856A">
            <w:pPr>
              <w:spacing w:line="240" w:lineRule="auto"/>
              <w:jc w:val="center"/>
              <w:rPr>
                <w:rFonts w:hint="eastAsia"/>
                <w:sz w:val="21"/>
                <w:szCs w:val="21"/>
              </w:rPr>
            </w:pPr>
            <w:r>
              <w:rPr>
                <w:rFonts w:hint="eastAsia"/>
                <w:sz w:val="21"/>
                <w:szCs w:val="21"/>
              </w:rPr>
              <w:t>达标</w:t>
            </w:r>
          </w:p>
        </w:tc>
      </w:tr>
      <w:tr w14:paraId="63D8F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F7D12CC">
            <w:pPr>
              <w:spacing w:line="240" w:lineRule="auto"/>
              <w:jc w:val="center"/>
              <w:rPr>
                <w:rFonts w:hint="eastAsia"/>
                <w:sz w:val="21"/>
                <w:szCs w:val="21"/>
              </w:rPr>
            </w:pPr>
          </w:p>
        </w:tc>
        <w:tc>
          <w:tcPr>
            <w:tcW w:w="2252" w:type="dxa"/>
            <w:shd w:val="clear" w:color="auto" w:fill="auto"/>
            <w:vAlign w:val="center"/>
          </w:tcPr>
          <w:p w14:paraId="3450EAD7">
            <w:pPr>
              <w:spacing w:line="240" w:lineRule="auto"/>
              <w:jc w:val="center"/>
              <w:rPr>
                <w:rFonts w:hint="eastAsia"/>
                <w:sz w:val="21"/>
                <w:szCs w:val="21"/>
              </w:rPr>
            </w:pPr>
            <w:r>
              <w:rPr>
                <w:rFonts w:hint="eastAsia"/>
                <w:sz w:val="21"/>
                <w:szCs w:val="21"/>
              </w:rPr>
              <w:t>1，1—二氯乙烯</w:t>
            </w:r>
          </w:p>
        </w:tc>
        <w:tc>
          <w:tcPr>
            <w:tcW w:w="1271" w:type="dxa"/>
            <w:shd w:val="clear" w:color="auto" w:fill="FFFFFF"/>
            <w:vAlign w:val="center"/>
          </w:tcPr>
          <w:p w14:paraId="0092C2B9">
            <w:pPr>
              <w:spacing w:line="240" w:lineRule="auto"/>
              <w:jc w:val="center"/>
              <w:rPr>
                <w:rFonts w:hint="eastAsia"/>
                <w:sz w:val="21"/>
                <w:szCs w:val="21"/>
              </w:rPr>
            </w:pPr>
            <w:r>
              <w:rPr>
                <w:rFonts w:hint="eastAsia"/>
                <w:sz w:val="21"/>
                <w:szCs w:val="21"/>
              </w:rPr>
              <w:t>0.0004L</w:t>
            </w:r>
          </w:p>
        </w:tc>
        <w:tc>
          <w:tcPr>
            <w:tcW w:w="1843" w:type="dxa"/>
            <w:gridSpan w:val="2"/>
            <w:shd w:val="solid" w:color="FFFFFF" w:fill="auto"/>
            <w:vAlign w:val="center"/>
          </w:tcPr>
          <w:p w14:paraId="4AC3E794">
            <w:pPr>
              <w:spacing w:line="240" w:lineRule="auto"/>
              <w:jc w:val="center"/>
              <w:rPr>
                <w:rFonts w:hint="eastAsia"/>
                <w:sz w:val="21"/>
                <w:szCs w:val="21"/>
              </w:rPr>
            </w:pPr>
            <w:r>
              <w:rPr>
                <w:rFonts w:hint="eastAsia"/>
                <w:sz w:val="21"/>
                <w:szCs w:val="21"/>
              </w:rPr>
              <w:t>0.03</w:t>
            </w:r>
          </w:p>
        </w:tc>
        <w:tc>
          <w:tcPr>
            <w:tcW w:w="1122" w:type="dxa"/>
            <w:vAlign w:val="center"/>
          </w:tcPr>
          <w:p w14:paraId="409EF63A">
            <w:pPr>
              <w:spacing w:line="240" w:lineRule="auto"/>
              <w:jc w:val="center"/>
              <w:rPr>
                <w:rFonts w:hint="eastAsia"/>
                <w:sz w:val="21"/>
                <w:szCs w:val="21"/>
              </w:rPr>
            </w:pPr>
            <w:r>
              <w:rPr>
                <w:rFonts w:hint="eastAsia"/>
                <w:sz w:val="21"/>
                <w:szCs w:val="21"/>
              </w:rPr>
              <w:t>0</w:t>
            </w:r>
          </w:p>
        </w:tc>
        <w:tc>
          <w:tcPr>
            <w:tcW w:w="1111" w:type="dxa"/>
            <w:vAlign w:val="center"/>
          </w:tcPr>
          <w:p w14:paraId="0F49CA12">
            <w:pPr>
              <w:spacing w:line="240" w:lineRule="auto"/>
              <w:jc w:val="center"/>
              <w:rPr>
                <w:rFonts w:hint="eastAsia"/>
                <w:sz w:val="21"/>
                <w:szCs w:val="21"/>
              </w:rPr>
            </w:pPr>
            <w:r>
              <w:rPr>
                <w:rFonts w:hint="eastAsia"/>
                <w:sz w:val="21"/>
                <w:szCs w:val="21"/>
              </w:rPr>
              <w:t>达标</w:t>
            </w:r>
          </w:p>
        </w:tc>
      </w:tr>
      <w:tr w14:paraId="11229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F5A1296">
            <w:pPr>
              <w:spacing w:line="240" w:lineRule="auto"/>
              <w:jc w:val="center"/>
              <w:rPr>
                <w:rFonts w:hint="eastAsia"/>
                <w:sz w:val="21"/>
                <w:szCs w:val="21"/>
              </w:rPr>
            </w:pPr>
          </w:p>
        </w:tc>
        <w:tc>
          <w:tcPr>
            <w:tcW w:w="2252" w:type="dxa"/>
            <w:shd w:val="clear" w:color="auto" w:fill="auto"/>
            <w:vAlign w:val="center"/>
          </w:tcPr>
          <w:p w14:paraId="15DC0EEB">
            <w:pPr>
              <w:spacing w:line="240" w:lineRule="auto"/>
              <w:jc w:val="center"/>
              <w:rPr>
                <w:rFonts w:hint="eastAsia"/>
                <w:sz w:val="21"/>
                <w:szCs w:val="21"/>
              </w:rPr>
            </w:pPr>
            <w:r>
              <w:rPr>
                <w:rFonts w:hint="eastAsia"/>
                <w:sz w:val="21"/>
                <w:szCs w:val="21"/>
              </w:rPr>
              <w:t>1，2—二氯乙烯</w:t>
            </w:r>
          </w:p>
        </w:tc>
        <w:tc>
          <w:tcPr>
            <w:tcW w:w="1271" w:type="dxa"/>
            <w:shd w:val="clear" w:color="auto" w:fill="FFFFFF"/>
            <w:vAlign w:val="center"/>
          </w:tcPr>
          <w:p w14:paraId="114591FE">
            <w:pPr>
              <w:spacing w:line="240" w:lineRule="auto"/>
              <w:jc w:val="center"/>
              <w:rPr>
                <w:rFonts w:hint="eastAsia"/>
                <w:sz w:val="21"/>
                <w:szCs w:val="21"/>
              </w:rPr>
            </w:pPr>
            <w:r>
              <w:rPr>
                <w:rFonts w:hint="eastAsia"/>
                <w:sz w:val="21"/>
                <w:szCs w:val="21"/>
              </w:rPr>
              <w:t>0.0004L</w:t>
            </w:r>
          </w:p>
        </w:tc>
        <w:tc>
          <w:tcPr>
            <w:tcW w:w="1843" w:type="dxa"/>
            <w:gridSpan w:val="2"/>
            <w:shd w:val="solid" w:color="FFFFFF" w:fill="auto"/>
            <w:vAlign w:val="center"/>
          </w:tcPr>
          <w:p w14:paraId="3A3C0382">
            <w:pPr>
              <w:spacing w:line="240" w:lineRule="auto"/>
              <w:jc w:val="center"/>
              <w:rPr>
                <w:rFonts w:hint="eastAsia"/>
                <w:sz w:val="21"/>
                <w:szCs w:val="21"/>
              </w:rPr>
            </w:pPr>
            <w:r>
              <w:rPr>
                <w:rFonts w:hint="eastAsia"/>
                <w:sz w:val="21"/>
                <w:szCs w:val="21"/>
              </w:rPr>
              <w:t>0.05</w:t>
            </w:r>
          </w:p>
        </w:tc>
        <w:tc>
          <w:tcPr>
            <w:tcW w:w="1122" w:type="dxa"/>
            <w:vAlign w:val="center"/>
          </w:tcPr>
          <w:p w14:paraId="6CAA4750">
            <w:pPr>
              <w:spacing w:line="240" w:lineRule="auto"/>
              <w:jc w:val="center"/>
              <w:rPr>
                <w:rFonts w:hint="eastAsia"/>
                <w:sz w:val="21"/>
                <w:szCs w:val="21"/>
              </w:rPr>
            </w:pPr>
            <w:r>
              <w:rPr>
                <w:rFonts w:hint="eastAsia"/>
                <w:sz w:val="21"/>
                <w:szCs w:val="21"/>
              </w:rPr>
              <w:t>0</w:t>
            </w:r>
          </w:p>
        </w:tc>
        <w:tc>
          <w:tcPr>
            <w:tcW w:w="1111" w:type="dxa"/>
            <w:vAlign w:val="center"/>
          </w:tcPr>
          <w:p w14:paraId="474702D4">
            <w:pPr>
              <w:spacing w:line="240" w:lineRule="auto"/>
              <w:jc w:val="center"/>
              <w:rPr>
                <w:rFonts w:hint="eastAsia"/>
                <w:sz w:val="21"/>
                <w:szCs w:val="21"/>
              </w:rPr>
            </w:pPr>
            <w:r>
              <w:rPr>
                <w:rFonts w:hint="eastAsia"/>
                <w:sz w:val="21"/>
                <w:szCs w:val="21"/>
              </w:rPr>
              <w:t>达标</w:t>
            </w:r>
          </w:p>
        </w:tc>
      </w:tr>
      <w:tr w14:paraId="19615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E3691B4">
            <w:pPr>
              <w:spacing w:line="240" w:lineRule="auto"/>
              <w:jc w:val="center"/>
              <w:rPr>
                <w:rFonts w:hint="eastAsia"/>
                <w:sz w:val="21"/>
                <w:szCs w:val="21"/>
              </w:rPr>
            </w:pPr>
          </w:p>
        </w:tc>
        <w:tc>
          <w:tcPr>
            <w:tcW w:w="2252" w:type="dxa"/>
            <w:shd w:val="clear" w:color="auto" w:fill="auto"/>
            <w:vAlign w:val="center"/>
          </w:tcPr>
          <w:p w14:paraId="5E6A1204">
            <w:pPr>
              <w:spacing w:line="240" w:lineRule="auto"/>
              <w:jc w:val="center"/>
              <w:rPr>
                <w:rFonts w:hint="eastAsia"/>
                <w:sz w:val="21"/>
                <w:szCs w:val="21"/>
              </w:rPr>
            </w:pPr>
            <w:r>
              <w:rPr>
                <w:rFonts w:hint="eastAsia"/>
                <w:sz w:val="21"/>
                <w:szCs w:val="21"/>
              </w:rPr>
              <w:t>三氯乙烯</w:t>
            </w:r>
          </w:p>
        </w:tc>
        <w:tc>
          <w:tcPr>
            <w:tcW w:w="1271" w:type="dxa"/>
            <w:shd w:val="clear" w:color="auto" w:fill="FFFFFF"/>
            <w:vAlign w:val="center"/>
          </w:tcPr>
          <w:p w14:paraId="1AB0FEE6">
            <w:pPr>
              <w:spacing w:line="240" w:lineRule="auto"/>
              <w:jc w:val="center"/>
              <w:rPr>
                <w:rFonts w:hint="eastAsia"/>
                <w:sz w:val="21"/>
                <w:szCs w:val="21"/>
              </w:rPr>
            </w:pPr>
            <w:r>
              <w:rPr>
                <w:rFonts w:hint="eastAsia"/>
                <w:sz w:val="21"/>
                <w:szCs w:val="21"/>
              </w:rPr>
              <w:t>0.0004L</w:t>
            </w:r>
          </w:p>
        </w:tc>
        <w:tc>
          <w:tcPr>
            <w:tcW w:w="1843" w:type="dxa"/>
            <w:gridSpan w:val="2"/>
            <w:shd w:val="solid" w:color="FFFFFF" w:fill="auto"/>
            <w:vAlign w:val="center"/>
          </w:tcPr>
          <w:p w14:paraId="63A5D4E7">
            <w:pPr>
              <w:spacing w:line="240" w:lineRule="auto"/>
              <w:jc w:val="center"/>
              <w:rPr>
                <w:rFonts w:hint="eastAsia"/>
                <w:sz w:val="21"/>
                <w:szCs w:val="21"/>
              </w:rPr>
            </w:pPr>
            <w:r>
              <w:rPr>
                <w:rFonts w:hint="eastAsia"/>
                <w:sz w:val="21"/>
                <w:szCs w:val="21"/>
              </w:rPr>
              <w:t>0.07</w:t>
            </w:r>
          </w:p>
        </w:tc>
        <w:tc>
          <w:tcPr>
            <w:tcW w:w="1122" w:type="dxa"/>
            <w:vAlign w:val="center"/>
          </w:tcPr>
          <w:p w14:paraId="2CC4D7F9">
            <w:pPr>
              <w:spacing w:line="240" w:lineRule="auto"/>
              <w:jc w:val="center"/>
              <w:rPr>
                <w:rFonts w:hint="eastAsia"/>
                <w:sz w:val="21"/>
                <w:szCs w:val="21"/>
              </w:rPr>
            </w:pPr>
            <w:r>
              <w:rPr>
                <w:rFonts w:hint="eastAsia"/>
                <w:sz w:val="21"/>
                <w:szCs w:val="21"/>
              </w:rPr>
              <w:t>0</w:t>
            </w:r>
          </w:p>
        </w:tc>
        <w:tc>
          <w:tcPr>
            <w:tcW w:w="1111" w:type="dxa"/>
            <w:vAlign w:val="center"/>
          </w:tcPr>
          <w:p w14:paraId="26F0942A">
            <w:pPr>
              <w:spacing w:line="240" w:lineRule="auto"/>
              <w:jc w:val="center"/>
              <w:rPr>
                <w:rFonts w:hint="eastAsia"/>
                <w:sz w:val="21"/>
                <w:szCs w:val="21"/>
              </w:rPr>
            </w:pPr>
            <w:r>
              <w:rPr>
                <w:rFonts w:hint="eastAsia"/>
                <w:sz w:val="21"/>
                <w:szCs w:val="21"/>
              </w:rPr>
              <w:t>达标</w:t>
            </w:r>
          </w:p>
        </w:tc>
      </w:tr>
      <w:tr w14:paraId="56EA7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558D03D">
            <w:pPr>
              <w:spacing w:line="240" w:lineRule="auto"/>
              <w:jc w:val="center"/>
              <w:rPr>
                <w:rFonts w:hint="eastAsia"/>
                <w:sz w:val="21"/>
                <w:szCs w:val="21"/>
              </w:rPr>
            </w:pPr>
          </w:p>
        </w:tc>
        <w:tc>
          <w:tcPr>
            <w:tcW w:w="2252" w:type="dxa"/>
            <w:shd w:val="clear" w:color="auto" w:fill="auto"/>
            <w:vAlign w:val="center"/>
          </w:tcPr>
          <w:p w14:paraId="6988A226">
            <w:pPr>
              <w:spacing w:line="240" w:lineRule="auto"/>
              <w:jc w:val="center"/>
              <w:rPr>
                <w:rFonts w:hint="eastAsia"/>
                <w:sz w:val="21"/>
                <w:szCs w:val="21"/>
              </w:rPr>
            </w:pPr>
            <w:r>
              <w:rPr>
                <w:rFonts w:hint="eastAsia"/>
                <w:sz w:val="21"/>
                <w:szCs w:val="21"/>
              </w:rPr>
              <w:t>四氯乙烯</w:t>
            </w:r>
          </w:p>
        </w:tc>
        <w:tc>
          <w:tcPr>
            <w:tcW w:w="1271" w:type="dxa"/>
            <w:shd w:val="clear" w:color="auto" w:fill="FFFFFF"/>
            <w:vAlign w:val="center"/>
          </w:tcPr>
          <w:p w14:paraId="0B95557A">
            <w:pPr>
              <w:spacing w:line="240" w:lineRule="auto"/>
              <w:jc w:val="center"/>
              <w:rPr>
                <w:rFonts w:hint="eastAsia"/>
                <w:sz w:val="21"/>
                <w:szCs w:val="21"/>
              </w:rPr>
            </w:pPr>
            <w:r>
              <w:rPr>
                <w:rFonts w:hint="eastAsia"/>
                <w:sz w:val="21"/>
                <w:szCs w:val="21"/>
              </w:rPr>
              <w:t>0.0002L</w:t>
            </w:r>
          </w:p>
        </w:tc>
        <w:tc>
          <w:tcPr>
            <w:tcW w:w="1843" w:type="dxa"/>
            <w:gridSpan w:val="2"/>
            <w:shd w:val="solid" w:color="FFFFFF" w:fill="auto"/>
            <w:vAlign w:val="center"/>
          </w:tcPr>
          <w:p w14:paraId="75D5FEBD">
            <w:pPr>
              <w:spacing w:line="240" w:lineRule="auto"/>
              <w:jc w:val="center"/>
              <w:rPr>
                <w:rFonts w:hint="eastAsia"/>
                <w:sz w:val="21"/>
                <w:szCs w:val="21"/>
              </w:rPr>
            </w:pPr>
            <w:r>
              <w:rPr>
                <w:rFonts w:hint="eastAsia"/>
                <w:sz w:val="21"/>
                <w:szCs w:val="21"/>
              </w:rPr>
              <w:t>0.04</w:t>
            </w:r>
          </w:p>
        </w:tc>
        <w:tc>
          <w:tcPr>
            <w:tcW w:w="1122" w:type="dxa"/>
            <w:vAlign w:val="center"/>
          </w:tcPr>
          <w:p w14:paraId="30B75DF0">
            <w:pPr>
              <w:spacing w:line="240" w:lineRule="auto"/>
              <w:jc w:val="center"/>
              <w:rPr>
                <w:rFonts w:hint="eastAsia"/>
                <w:sz w:val="21"/>
                <w:szCs w:val="21"/>
              </w:rPr>
            </w:pPr>
            <w:r>
              <w:rPr>
                <w:rFonts w:hint="eastAsia"/>
                <w:sz w:val="21"/>
                <w:szCs w:val="21"/>
              </w:rPr>
              <w:t>0</w:t>
            </w:r>
          </w:p>
        </w:tc>
        <w:tc>
          <w:tcPr>
            <w:tcW w:w="1111" w:type="dxa"/>
            <w:vAlign w:val="center"/>
          </w:tcPr>
          <w:p w14:paraId="47326D82">
            <w:pPr>
              <w:spacing w:line="240" w:lineRule="auto"/>
              <w:jc w:val="center"/>
              <w:rPr>
                <w:rFonts w:hint="eastAsia"/>
                <w:sz w:val="21"/>
                <w:szCs w:val="21"/>
              </w:rPr>
            </w:pPr>
            <w:r>
              <w:rPr>
                <w:rFonts w:hint="eastAsia"/>
                <w:sz w:val="21"/>
                <w:szCs w:val="21"/>
              </w:rPr>
              <w:t>达标</w:t>
            </w:r>
          </w:p>
        </w:tc>
      </w:tr>
      <w:tr w14:paraId="26AB2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1D4D504B">
            <w:pPr>
              <w:spacing w:line="240" w:lineRule="auto"/>
              <w:jc w:val="center"/>
              <w:rPr>
                <w:rFonts w:hint="eastAsia"/>
                <w:sz w:val="21"/>
                <w:szCs w:val="21"/>
              </w:rPr>
            </w:pPr>
          </w:p>
        </w:tc>
        <w:tc>
          <w:tcPr>
            <w:tcW w:w="2252" w:type="dxa"/>
            <w:shd w:val="clear" w:color="auto" w:fill="auto"/>
            <w:vAlign w:val="center"/>
          </w:tcPr>
          <w:p w14:paraId="2E872A2D">
            <w:pPr>
              <w:spacing w:line="240" w:lineRule="auto"/>
              <w:jc w:val="center"/>
              <w:rPr>
                <w:rFonts w:hint="eastAsia"/>
                <w:sz w:val="21"/>
                <w:szCs w:val="21"/>
              </w:rPr>
            </w:pPr>
            <w:r>
              <w:rPr>
                <w:rFonts w:hint="eastAsia"/>
                <w:sz w:val="21"/>
                <w:szCs w:val="21"/>
              </w:rPr>
              <w:t>氯丁二烯</w:t>
            </w:r>
          </w:p>
        </w:tc>
        <w:tc>
          <w:tcPr>
            <w:tcW w:w="1271" w:type="dxa"/>
            <w:shd w:val="clear" w:color="auto" w:fill="FFFFFF"/>
            <w:vAlign w:val="center"/>
          </w:tcPr>
          <w:p w14:paraId="21976D0D">
            <w:pPr>
              <w:spacing w:line="240" w:lineRule="auto"/>
              <w:jc w:val="center"/>
              <w:rPr>
                <w:rFonts w:hint="eastAsia"/>
                <w:sz w:val="21"/>
                <w:szCs w:val="21"/>
              </w:rPr>
            </w:pPr>
            <w:r>
              <w:rPr>
                <w:rFonts w:hint="eastAsia"/>
                <w:sz w:val="21"/>
                <w:szCs w:val="21"/>
              </w:rPr>
              <w:t>0.0005L</w:t>
            </w:r>
          </w:p>
        </w:tc>
        <w:tc>
          <w:tcPr>
            <w:tcW w:w="1843" w:type="dxa"/>
            <w:gridSpan w:val="2"/>
            <w:shd w:val="solid" w:color="FFFFFF" w:fill="auto"/>
            <w:vAlign w:val="center"/>
          </w:tcPr>
          <w:p w14:paraId="32537237">
            <w:pPr>
              <w:spacing w:line="240" w:lineRule="auto"/>
              <w:jc w:val="center"/>
              <w:rPr>
                <w:rFonts w:hint="eastAsia"/>
                <w:sz w:val="21"/>
                <w:szCs w:val="21"/>
              </w:rPr>
            </w:pPr>
            <w:r>
              <w:rPr>
                <w:rFonts w:hint="eastAsia"/>
                <w:sz w:val="21"/>
                <w:szCs w:val="21"/>
              </w:rPr>
              <w:t>0.002</w:t>
            </w:r>
          </w:p>
        </w:tc>
        <w:tc>
          <w:tcPr>
            <w:tcW w:w="1122" w:type="dxa"/>
            <w:vAlign w:val="center"/>
          </w:tcPr>
          <w:p w14:paraId="11092F05">
            <w:pPr>
              <w:spacing w:line="240" w:lineRule="auto"/>
              <w:jc w:val="center"/>
              <w:rPr>
                <w:rFonts w:hint="eastAsia"/>
                <w:sz w:val="21"/>
                <w:szCs w:val="21"/>
              </w:rPr>
            </w:pPr>
            <w:r>
              <w:rPr>
                <w:rFonts w:hint="eastAsia"/>
                <w:sz w:val="21"/>
                <w:szCs w:val="21"/>
              </w:rPr>
              <w:t>0</w:t>
            </w:r>
          </w:p>
        </w:tc>
        <w:tc>
          <w:tcPr>
            <w:tcW w:w="1111" w:type="dxa"/>
            <w:vAlign w:val="center"/>
          </w:tcPr>
          <w:p w14:paraId="2D9B77BD">
            <w:pPr>
              <w:spacing w:line="240" w:lineRule="auto"/>
              <w:jc w:val="center"/>
              <w:rPr>
                <w:rFonts w:hint="eastAsia"/>
                <w:sz w:val="21"/>
                <w:szCs w:val="21"/>
              </w:rPr>
            </w:pPr>
            <w:r>
              <w:rPr>
                <w:rFonts w:hint="eastAsia"/>
                <w:sz w:val="21"/>
                <w:szCs w:val="21"/>
              </w:rPr>
              <w:t>达标</w:t>
            </w:r>
          </w:p>
        </w:tc>
      </w:tr>
      <w:tr w14:paraId="2D73D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231194E">
            <w:pPr>
              <w:spacing w:line="240" w:lineRule="auto"/>
              <w:jc w:val="center"/>
              <w:rPr>
                <w:rFonts w:hint="eastAsia"/>
                <w:sz w:val="21"/>
                <w:szCs w:val="21"/>
              </w:rPr>
            </w:pPr>
          </w:p>
        </w:tc>
        <w:tc>
          <w:tcPr>
            <w:tcW w:w="2252" w:type="dxa"/>
            <w:shd w:val="clear" w:color="auto" w:fill="auto"/>
            <w:vAlign w:val="center"/>
          </w:tcPr>
          <w:p w14:paraId="25D6B2F3">
            <w:pPr>
              <w:spacing w:line="240" w:lineRule="auto"/>
              <w:jc w:val="center"/>
              <w:rPr>
                <w:rFonts w:hint="eastAsia"/>
                <w:sz w:val="21"/>
                <w:szCs w:val="21"/>
              </w:rPr>
            </w:pPr>
            <w:r>
              <w:rPr>
                <w:rFonts w:hint="eastAsia"/>
                <w:sz w:val="21"/>
                <w:szCs w:val="21"/>
              </w:rPr>
              <w:t>六氯丁二烯</w:t>
            </w:r>
          </w:p>
        </w:tc>
        <w:tc>
          <w:tcPr>
            <w:tcW w:w="1271" w:type="dxa"/>
            <w:shd w:val="clear" w:color="auto" w:fill="FFFFFF"/>
            <w:vAlign w:val="center"/>
          </w:tcPr>
          <w:p w14:paraId="438E92FA">
            <w:pPr>
              <w:spacing w:line="240" w:lineRule="auto"/>
              <w:jc w:val="center"/>
              <w:rPr>
                <w:rFonts w:hint="eastAsia"/>
                <w:sz w:val="21"/>
                <w:szCs w:val="21"/>
              </w:rPr>
            </w:pPr>
            <w:r>
              <w:rPr>
                <w:rFonts w:hint="eastAsia"/>
                <w:sz w:val="21"/>
                <w:szCs w:val="21"/>
              </w:rPr>
              <w:t>0.0004L</w:t>
            </w:r>
          </w:p>
        </w:tc>
        <w:tc>
          <w:tcPr>
            <w:tcW w:w="1843" w:type="dxa"/>
            <w:gridSpan w:val="2"/>
            <w:shd w:val="solid" w:color="FFFFFF" w:fill="auto"/>
            <w:vAlign w:val="center"/>
          </w:tcPr>
          <w:p w14:paraId="5D6A6D63">
            <w:pPr>
              <w:spacing w:line="240" w:lineRule="auto"/>
              <w:jc w:val="center"/>
              <w:rPr>
                <w:rFonts w:hint="eastAsia"/>
                <w:sz w:val="21"/>
                <w:szCs w:val="21"/>
              </w:rPr>
            </w:pPr>
            <w:r>
              <w:rPr>
                <w:rFonts w:hint="eastAsia"/>
                <w:sz w:val="21"/>
                <w:szCs w:val="21"/>
              </w:rPr>
              <w:t>0.0006</w:t>
            </w:r>
          </w:p>
        </w:tc>
        <w:tc>
          <w:tcPr>
            <w:tcW w:w="1122" w:type="dxa"/>
            <w:vAlign w:val="center"/>
          </w:tcPr>
          <w:p w14:paraId="77B810C7">
            <w:pPr>
              <w:spacing w:line="240" w:lineRule="auto"/>
              <w:jc w:val="center"/>
              <w:rPr>
                <w:rFonts w:hint="eastAsia"/>
                <w:sz w:val="21"/>
                <w:szCs w:val="21"/>
              </w:rPr>
            </w:pPr>
            <w:r>
              <w:rPr>
                <w:rFonts w:hint="eastAsia"/>
                <w:sz w:val="21"/>
                <w:szCs w:val="21"/>
              </w:rPr>
              <w:t>0</w:t>
            </w:r>
          </w:p>
        </w:tc>
        <w:tc>
          <w:tcPr>
            <w:tcW w:w="1111" w:type="dxa"/>
            <w:vAlign w:val="center"/>
          </w:tcPr>
          <w:p w14:paraId="7572532E">
            <w:pPr>
              <w:spacing w:line="240" w:lineRule="auto"/>
              <w:jc w:val="center"/>
              <w:rPr>
                <w:rFonts w:hint="eastAsia"/>
                <w:sz w:val="21"/>
                <w:szCs w:val="21"/>
              </w:rPr>
            </w:pPr>
            <w:r>
              <w:rPr>
                <w:rFonts w:hint="eastAsia"/>
                <w:sz w:val="21"/>
                <w:szCs w:val="21"/>
              </w:rPr>
              <w:t>达标</w:t>
            </w:r>
          </w:p>
        </w:tc>
      </w:tr>
      <w:tr w14:paraId="5C940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07A66F3">
            <w:pPr>
              <w:spacing w:line="240" w:lineRule="auto"/>
              <w:jc w:val="center"/>
              <w:rPr>
                <w:rFonts w:hint="eastAsia"/>
                <w:sz w:val="21"/>
                <w:szCs w:val="21"/>
              </w:rPr>
            </w:pPr>
          </w:p>
        </w:tc>
        <w:tc>
          <w:tcPr>
            <w:tcW w:w="2252" w:type="dxa"/>
            <w:shd w:val="clear" w:color="auto" w:fill="auto"/>
            <w:vAlign w:val="center"/>
          </w:tcPr>
          <w:p w14:paraId="136FAE58">
            <w:pPr>
              <w:spacing w:line="240" w:lineRule="auto"/>
              <w:jc w:val="center"/>
              <w:rPr>
                <w:rFonts w:hint="eastAsia"/>
                <w:sz w:val="21"/>
                <w:szCs w:val="21"/>
              </w:rPr>
            </w:pPr>
            <w:r>
              <w:rPr>
                <w:rFonts w:hint="eastAsia"/>
                <w:sz w:val="21"/>
                <w:szCs w:val="21"/>
              </w:rPr>
              <w:t>苯乙烯</w:t>
            </w:r>
          </w:p>
        </w:tc>
        <w:tc>
          <w:tcPr>
            <w:tcW w:w="1271" w:type="dxa"/>
            <w:shd w:val="clear" w:color="auto" w:fill="FFFFFF"/>
            <w:vAlign w:val="center"/>
          </w:tcPr>
          <w:p w14:paraId="50267208">
            <w:pPr>
              <w:spacing w:line="240" w:lineRule="auto"/>
              <w:jc w:val="center"/>
              <w:rPr>
                <w:sz w:val="21"/>
                <w:szCs w:val="21"/>
              </w:rPr>
            </w:pPr>
            <w:r>
              <w:rPr>
                <w:sz w:val="21"/>
                <w:szCs w:val="21"/>
              </w:rPr>
              <w:t>0.000</w:t>
            </w:r>
            <w:r>
              <w:rPr>
                <w:rFonts w:hint="eastAsia"/>
                <w:sz w:val="21"/>
                <w:szCs w:val="21"/>
              </w:rPr>
              <w:t>2</w:t>
            </w:r>
            <w:r>
              <w:rPr>
                <w:sz w:val="21"/>
                <w:szCs w:val="21"/>
              </w:rPr>
              <w:t>L</w:t>
            </w:r>
          </w:p>
        </w:tc>
        <w:tc>
          <w:tcPr>
            <w:tcW w:w="1843" w:type="dxa"/>
            <w:gridSpan w:val="2"/>
            <w:shd w:val="solid" w:color="FFFFFF" w:fill="auto"/>
            <w:vAlign w:val="center"/>
          </w:tcPr>
          <w:p w14:paraId="3A787A74">
            <w:pPr>
              <w:spacing w:line="240" w:lineRule="auto"/>
              <w:jc w:val="center"/>
              <w:rPr>
                <w:rFonts w:hint="eastAsia"/>
                <w:sz w:val="21"/>
                <w:szCs w:val="21"/>
              </w:rPr>
            </w:pPr>
            <w:r>
              <w:rPr>
                <w:rFonts w:hint="eastAsia"/>
                <w:sz w:val="21"/>
                <w:szCs w:val="21"/>
              </w:rPr>
              <w:t>0.02</w:t>
            </w:r>
          </w:p>
        </w:tc>
        <w:tc>
          <w:tcPr>
            <w:tcW w:w="1122" w:type="dxa"/>
            <w:vAlign w:val="center"/>
          </w:tcPr>
          <w:p w14:paraId="093B6E40">
            <w:pPr>
              <w:spacing w:line="240" w:lineRule="auto"/>
              <w:jc w:val="center"/>
              <w:rPr>
                <w:rFonts w:hint="eastAsia"/>
                <w:sz w:val="21"/>
                <w:szCs w:val="21"/>
              </w:rPr>
            </w:pPr>
            <w:r>
              <w:rPr>
                <w:rFonts w:hint="eastAsia"/>
                <w:sz w:val="21"/>
                <w:szCs w:val="21"/>
              </w:rPr>
              <w:t>0</w:t>
            </w:r>
          </w:p>
        </w:tc>
        <w:tc>
          <w:tcPr>
            <w:tcW w:w="1111" w:type="dxa"/>
            <w:vAlign w:val="center"/>
          </w:tcPr>
          <w:p w14:paraId="300A8388">
            <w:pPr>
              <w:spacing w:line="240" w:lineRule="auto"/>
              <w:jc w:val="center"/>
              <w:rPr>
                <w:rFonts w:hint="eastAsia"/>
                <w:sz w:val="21"/>
                <w:szCs w:val="21"/>
              </w:rPr>
            </w:pPr>
            <w:r>
              <w:rPr>
                <w:rFonts w:hint="eastAsia"/>
                <w:sz w:val="21"/>
                <w:szCs w:val="21"/>
              </w:rPr>
              <w:t>达标</w:t>
            </w:r>
          </w:p>
        </w:tc>
      </w:tr>
      <w:tr w14:paraId="237E3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107D6C61">
            <w:pPr>
              <w:spacing w:line="240" w:lineRule="auto"/>
              <w:jc w:val="center"/>
              <w:rPr>
                <w:rFonts w:hint="eastAsia"/>
                <w:sz w:val="21"/>
                <w:szCs w:val="21"/>
              </w:rPr>
            </w:pPr>
          </w:p>
        </w:tc>
        <w:tc>
          <w:tcPr>
            <w:tcW w:w="2252" w:type="dxa"/>
            <w:shd w:val="clear" w:color="auto" w:fill="auto"/>
            <w:vAlign w:val="center"/>
          </w:tcPr>
          <w:p w14:paraId="68E62CFB">
            <w:pPr>
              <w:spacing w:line="240" w:lineRule="auto"/>
              <w:jc w:val="center"/>
              <w:rPr>
                <w:rFonts w:hint="eastAsia"/>
                <w:sz w:val="21"/>
                <w:szCs w:val="21"/>
              </w:rPr>
            </w:pPr>
            <w:r>
              <w:rPr>
                <w:rFonts w:hint="eastAsia"/>
                <w:sz w:val="21"/>
                <w:szCs w:val="21"/>
              </w:rPr>
              <w:t>甲醛</w:t>
            </w:r>
          </w:p>
        </w:tc>
        <w:tc>
          <w:tcPr>
            <w:tcW w:w="1271" w:type="dxa"/>
            <w:shd w:val="clear" w:color="auto" w:fill="FFFFFF"/>
            <w:vAlign w:val="center"/>
          </w:tcPr>
          <w:p w14:paraId="6EF37EE9">
            <w:pPr>
              <w:spacing w:line="240" w:lineRule="auto"/>
              <w:jc w:val="center"/>
              <w:rPr>
                <w:sz w:val="21"/>
                <w:szCs w:val="21"/>
              </w:rPr>
            </w:pPr>
            <w:r>
              <w:rPr>
                <w:sz w:val="21"/>
                <w:szCs w:val="21"/>
              </w:rPr>
              <w:t>0.0</w:t>
            </w:r>
            <w:r>
              <w:rPr>
                <w:rFonts w:hint="eastAsia"/>
                <w:sz w:val="21"/>
                <w:szCs w:val="21"/>
              </w:rPr>
              <w:t>5</w:t>
            </w:r>
            <w:r>
              <w:rPr>
                <w:sz w:val="21"/>
                <w:szCs w:val="21"/>
              </w:rPr>
              <w:t>L</w:t>
            </w:r>
          </w:p>
        </w:tc>
        <w:tc>
          <w:tcPr>
            <w:tcW w:w="1843" w:type="dxa"/>
            <w:gridSpan w:val="2"/>
            <w:shd w:val="solid" w:color="FFFFFF" w:fill="auto"/>
            <w:vAlign w:val="center"/>
          </w:tcPr>
          <w:p w14:paraId="2938AA25">
            <w:pPr>
              <w:spacing w:line="240" w:lineRule="auto"/>
              <w:jc w:val="center"/>
              <w:rPr>
                <w:rFonts w:hint="eastAsia"/>
                <w:sz w:val="21"/>
                <w:szCs w:val="21"/>
              </w:rPr>
            </w:pPr>
            <w:r>
              <w:rPr>
                <w:rFonts w:hint="eastAsia"/>
                <w:sz w:val="21"/>
                <w:szCs w:val="21"/>
              </w:rPr>
              <w:t>0.9</w:t>
            </w:r>
          </w:p>
        </w:tc>
        <w:tc>
          <w:tcPr>
            <w:tcW w:w="1122" w:type="dxa"/>
            <w:vAlign w:val="center"/>
          </w:tcPr>
          <w:p w14:paraId="369915B4">
            <w:pPr>
              <w:spacing w:line="240" w:lineRule="auto"/>
              <w:jc w:val="center"/>
              <w:rPr>
                <w:rFonts w:hint="eastAsia"/>
                <w:sz w:val="21"/>
                <w:szCs w:val="21"/>
              </w:rPr>
            </w:pPr>
            <w:r>
              <w:rPr>
                <w:rFonts w:hint="eastAsia"/>
                <w:sz w:val="21"/>
                <w:szCs w:val="21"/>
              </w:rPr>
              <w:t>0</w:t>
            </w:r>
          </w:p>
        </w:tc>
        <w:tc>
          <w:tcPr>
            <w:tcW w:w="1111" w:type="dxa"/>
            <w:vAlign w:val="center"/>
          </w:tcPr>
          <w:p w14:paraId="739704C2">
            <w:pPr>
              <w:spacing w:line="240" w:lineRule="auto"/>
              <w:jc w:val="center"/>
              <w:rPr>
                <w:rFonts w:hint="eastAsia"/>
                <w:sz w:val="21"/>
                <w:szCs w:val="21"/>
              </w:rPr>
            </w:pPr>
            <w:r>
              <w:rPr>
                <w:rFonts w:hint="eastAsia"/>
                <w:sz w:val="21"/>
                <w:szCs w:val="21"/>
              </w:rPr>
              <w:t>达标</w:t>
            </w:r>
          </w:p>
        </w:tc>
      </w:tr>
      <w:tr w14:paraId="37B9B859">
        <w:tblPrEx>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7D6B24B">
            <w:pPr>
              <w:spacing w:line="240" w:lineRule="auto"/>
              <w:jc w:val="center"/>
              <w:rPr>
                <w:rFonts w:hint="eastAsia"/>
                <w:sz w:val="21"/>
                <w:szCs w:val="21"/>
              </w:rPr>
            </w:pPr>
          </w:p>
        </w:tc>
        <w:tc>
          <w:tcPr>
            <w:tcW w:w="2252" w:type="dxa"/>
            <w:shd w:val="clear" w:color="auto" w:fill="auto"/>
            <w:vAlign w:val="center"/>
          </w:tcPr>
          <w:p w14:paraId="308AFCC0">
            <w:pPr>
              <w:spacing w:line="240" w:lineRule="auto"/>
              <w:jc w:val="center"/>
              <w:rPr>
                <w:rFonts w:hint="eastAsia"/>
                <w:sz w:val="21"/>
                <w:szCs w:val="21"/>
              </w:rPr>
            </w:pPr>
            <w:r>
              <w:rPr>
                <w:rFonts w:hint="eastAsia"/>
                <w:sz w:val="21"/>
                <w:szCs w:val="21"/>
              </w:rPr>
              <w:t>乙醛</w:t>
            </w:r>
          </w:p>
        </w:tc>
        <w:tc>
          <w:tcPr>
            <w:tcW w:w="1271" w:type="dxa"/>
            <w:shd w:val="clear" w:color="auto" w:fill="FFFFFF"/>
            <w:vAlign w:val="center"/>
          </w:tcPr>
          <w:p w14:paraId="4E0293FB">
            <w:pPr>
              <w:spacing w:line="240" w:lineRule="auto"/>
              <w:jc w:val="center"/>
              <w:rPr>
                <w:sz w:val="21"/>
                <w:szCs w:val="21"/>
              </w:rPr>
            </w:pPr>
            <w:r>
              <w:rPr>
                <w:sz w:val="21"/>
                <w:szCs w:val="21"/>
              </w:rPr>
              <w:t>0.00</w:t>
            </w:r>
            <w:r>
              <w:rPr>
                <w:rFonts w:hint="eastAsia"/>
                <w:sz w:val="21"/>
                <w:szCs w:val="21"/>
              </w:rPr>
              <w:t>1</w:t>
            </w:r>
            <w:r>
              <w:rPr>
                <w:sz w:val="21"/>
                <w:szCs w:val="21"/>
              </w:rPr>
              <w:t>L</w:t>
            </w:r>
          </w:p>
        </w:tc>
        <w:tc>
          <w:tcPr>
            <w:tcW w:w="1843" w:type="dxa"/>
            <w:gridSpan w:val="2"/>
            <w:shd w:val="solid" w:color="FFFFFF" w:fill="auto"/>
            <w:vAlign w:val="center"/>
          </w:tcPr>
          <w:p w14:paraId="35DF1D5B">
            <w:pPr>
              <w:spacing w:line="240" w:lineRule="auto"/>
              <w:jc w:val="center"/>
              <w:rPr>
                <w:rFonts w:hint="eastAsia"/>
                <w:sz w:val="21"/>
                <w:szCs w:val="21"/>
              </w:rPr>
            </w:pPr>
            <w:r>
              <w:rPr>
                <w:rFonts w:hint="eastAsia"/>
                <w:sz w:val="21"/>
                <w:szCs w:val="21"/>
              </w:rPr>
              <w:t>0.05</w:t>
            </w:r>
          </w:p>
        </w:tc>
        <w:tc>
          <w:tcPr>
            <w:tcW w:w="1122" w:type="dxa"/>
            <w:vAlign w:val="center"/>
          </w:tcPr>
          <w:p w14:paraId="71408EFE">
            <w:pPr>
              <w:spacing w:line="240" w:lineRule="auto"/>
              <w:jc w:val="center"/>
              <w:rPr>
                <w:rFonts w:hint="eastAsia"/>
                <w:sz w:val="21"/>
                <w:szCs w:val="21"/>
              </w:rPr>
            </w:pPr>
            <w:r>
              <w:rPr>
                <w:rFonts w:hint="eastAsia"/>
                <w:sz w:val="21"/>
                <w:szCs w:val="21"/>
              </w:rPr>
              <w:t>0</w:t>
            </w:r>
          </w:p>
        </w:tc>
        <w:tc>
          <w:tcPr>
            <w:tcW w:w="1111" w:type="dxa"/>
            <w:vAlign w:val="center"/>
          </w:tcPr>
          <w:p w14:paraId="4969F9A2">
            <w:pPr>
              <w:spacing w:line="240" w:lineRule="auto"/>
              <w:jc w:val="center"/>
              <w:rPr>
                <w:rFonts w:hint="eastAsia"/>
                <w:sz w:val="21"/>
                <w:szCs w:val="21"/>
              </w:rPr>
            </w:pPr>
            <w:r>
              <w:rPr>
                <w:rFonts w:hint="eastAsia"/>
                <w:sz w:val="21"/>
                <w:szCs w:val="21"/>
              </w:rPr>
              <w:t>达标</w:t>
            </w:r>
          </w:p>
        </w:tc>
      </w:tr>
      <w:tr w14:paraId="3D91A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25A05CD5">
            <w:pPr>
              <w:spacing w:line="240" w:lineRule="auto"/>
              <w:jc w:val="center"/>
              <w:rPr>
                <w:rFonts w:hint="eastAsia"/>
                <w:sz w:val="21"/>
                <w:szCs w:val="21"/>
              </w:rPr>
            </w:pPr>
          </w:p>
        </w:tc>
        <w:tc>
          <w:tcPr>
            <w:tcW w:w="2252" w:type="dxa"/>
            <w:shd w:val="clear" w:color="auto" w:fill="auto"/>
            <w:vAlign w:val="center"/>
          </w:tcPr>
          <w:p w14:paraId="5ACA5861">
            <w:pPr>
              <w:spacing w:line="240" w:lineRule="auto"/>
              <w:jc w:val="center"/>
              <w:rPr>
                <w:rFonts w:hint="eastAsia"/>
                <w:sz w:val="21"/>
                <w:szCs w:val="21"/>
              </w:rPr>
            </w:pPr>
            <w:r>
              <w:rPr>
                <w:rFonts w:hint="eastAsia"/>
                <w:sz w:val="21"/>
                <w:szCs w:val="21"/>
              </w:rPr>
              <w:t>丙烯醛</w:t>
            </w:r>
          </w:p>
        </w:tc>
        <w:tc>
          <w:tcPr>
            <w:tcW w:w="1271" w:type="dxa"/>
            <w:shd w:val="clear" w:color="auto" w:fill="FFFFFF"/>
            <w:vAlign w:val="center"/>
          </w:tcPr>
          <w:p w14:paraId="01CEBE5C">
            <w:pPr>
              <w:spacing w:line="240" w:lineRule="auto"/>
              <w:jc w:val="center"/>
              <w:rPr>
                <w:sz w:val="21"/>
                <w:szCs w:val="21"/>
              </w:rPr>
            </w:pPr>
            <w:r>
              <w:rPr>
                <w:rFonts w:hint="eastAsia"/>
                <w:sz w:val="21"/>
                <w:szCs w:val="21"/>
              </w:rPr>
              <w:t>0.02L</w:t>
            </w:r>
          </w:p>
        </w:tc>
        <w:tc>
          <w:tcPr>
            <w:tcW w:w="1843" w:type="dxa"/>
            <w:gridSpan w:val="2"/>
            <w:shd w:val="solid" w:color="FFFFFF" w:fill="auto"/>
            <w:vAlign w:val="center"/>
          </w:tcPr>
          <w:p w14:paraId="319DB392">
            <w:pPr>
              <w:spacing w:line="240" w:lineRule="auto"/>
              <w:jc w:val="center"/>
              <w:rPr>
                <w:rFonts w:hint="eastAsia"/>
                <w:sz w:val="21"/>
                <w:szCs w:val="21"/>
              </w:rPr>
            </w:pPr>
            <w:r>
              <w:rPr>
                <w:rFonts w:hint="eastAsia"/>
                <w:sz w:val="21"/>
                <w:szCs w:val="21"/>
              </w:rPr>
              <w:t>0.1</w:t>
            </w:r>
          </w:p>
        </w:tc>
        <w:tc>
          <w:tcPr>
            <w:tcW w:w="1122" w:type="dxa"/>
            <w:vAlign w:val="center"/>
          </w:tcPr>
          <w:p w14:paraId="096BBFA4">
            <w:pPr>
              <w:spacing w:line="240" w:lineRule="auto"/>
              <w:jc w:val="center"/>
              <w:rPr>
                <w:rFonts w:hint="eastAsia"/>
                <w:sz w:val="21"/>
                <w:szCs w:val="21"/>
              </w:rPr>
            </w:pPr>
            <w:r>
              <w:rPr>
                <w:rFonts w:hint="eastAsia"/>
                <w:sz w:val="21"/>
                <w:szCs w:val="21"/>
              </w:rPr>
              <w:t>0</w:t>
            </w:r>
          </w:p>
        </w:tc>
        <w:tc>
          <w:tcPr>
            <w:tcW w:w="1111" w:type="dxa"/>
            <w:vAlign w:val="center"/>
          </w:tcPr>
          <w:p w14:paraId="02E8C0A3">
            <w:pPr>
              <w:spacing w:line="240" w:lineRule="auto"/>
              <w:jc w:val="center"/>
              <w:rPr>
                <w:rFonts w:hint="eastAsia"/>
                <w:sz w:val="21"/>
                <w:szCs w:val="21"/>
              </w:rPr>
            </w:pPr>
            <w:r>
              <w:rPr>
                <w:rFonts w:hint="eastAsia"/>
                <w:sz w:val="21"/>
                <w:szCs w:val="21"/>
              </w:rPr>
              <w:t>达标</w:t>
            </w:r>
          </w:p>
        </w:tc>
      </w:tr>
      <w:tr w14:paraId="3B66F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2BC5CA73">
            <w:pPr>
              <w:spacing w:line="240" w:lineRule="auto"/>
              <w:jc w:val="center"/>
              <w:rPr>
                <w:rFonts w:hint="eastAsia"/>
                <w:sz w:val="21"/>
                <w:szCs w:val="21"/>
              </w:rPr>
            </w:pPr>
          </w:p>
        </w:tc>
        <w:tc>
          <w:tcPr>
            <w:tcW w:w="2252" w:type="dxa"/>
            <w:shd w:val="clear" w:color="auto" w:fill="auto"/>
            <w:vAlign w:val="center"/>
          </w:tcPr>
          <w:p w14:paraId="636A982E">
            <w:pPr>
              <w:spacing w:line="240" w:lineRule="auto"/>
              <w:jc w:val="center"/>
              <w:rPr>
                <w:rFonts w:hint="eastAsia"/>
                <w:sz w:val="21"/>
                <w:szCs w:val="21"/>
              </w:rPr>
            </w:pPr>
            <w:r>
              <w:rPr>
                <w:rFonts w:hint="eastAsia"/>
                <w:sz w:val="21"/>
                <w:szCs w:val="21"/>
              </w:rPr>
              <w:t>三氯乙醛</w:t>
            </w:r>
          </w:p>
        </w:tc>
        <w:tc>
          <w:tcPr>
            <w:tcW w:w="1271" w:type="dxa"/>
            <w:shd w:val="clear" w:color="auto" w:fill="FFFFFF"/>
            <w:vAlign w:val="center"/>
          </w:tcPr>
          <w:p w14:paraId="74666BB4">
            <w:pPr>
              <w:spacing w:line="240" w:lineRule="auto"/>
              <w:jc w:val="center"/>
              <w:rPr>
                <w:sz w:val="21"/>
                <w:szCs w:val="21"/>
              </w:rPr>
            </w:pPr>
            <w:r>
              <w:rPr>
                <w:rFonts w:hint="eastAsia"/>
                <w:sz w:val="21"/>
                <w:szCs w:val="21"/>
              </w:rPr>
              <w:t>0.001L</w:t>
            </w:r>
          </w:p>
        </w:tc>
        <w:tc>
          <w:tcPr>
            <w:tcW w:w="1843" w:type="dxa"/>
            <w:gridSpan w:val="2"/>
            <w:shd w:val="solid" w:color="FFFFFF" w:fill="auto"/>
            <w:vAlign w:val="center"/>
          </w:tcPr>
          <w:p w14:paraId="11C8408C">
            <w:pPr>
              <w:spacing w:line="240" w:lineRule="auto"/>
              <w:jc w:val="center"/>
              <w:rPr>
                <w:rFonts w:hint="eastAsia"/>
                <w:sz w:val="21"/>
                <w:szCs w:val="21"/>
              </w:rPr>
            </w:pPr>
            <w:r>
              <w:rPr>
                <w:rFonts w:hint="eastAsia"/>
                <w:sz w:val="21"/>
                <w:szCs w:val="21"/>
              </w:rPr>
              <w:t>0.01</w:t>
            </w:r>
          </w:p>
        </w:tc>
        <w:tc>
          <w:tcPr>
            <w:tcW w:w="1122" w:type="dxa"/>
            <w:vAlign w:val="center"/>
          </w:tcPr>
          <w:p w14:paraId="36A33AED">
            <w:pPr>
              <w:spacing w:line="240" w:lineRule="auto"/>
              <w:jc w:val="center"/>
              <w:rPr>
                <w:rFonts w:hint="eastAsia"/>
                <w:sz w:val="21"/>
                <w:szCs w:val="21"/>
              </w:rPr>
            </w:pPr>
            <w:r>
              <w:rPr>
                <w:rFonts w:hint="eastAsia"/>
                <w:sz w:val="21"/>
                <w:szCs w:val="21"/>
              </w:rPr>
              <w:t>0</w:t>
            </w:r>
          </w:p>
        </w:tc>
        <w:tc>
          <w:tcPr>
            <w:tcW w:w="1111" w:type="dxa"/>
            <w:vAlign w:val="center"/>
          </w:tcPr>
          <w:p w14:paraId="083AECDA">
            <w:pPr>
              <w:spacing w:line="240" w:lineRule="auto"/>
              <w:jc w:val="center"/>
              <w:rPr>
                <w:rFonts w:hint="eastAsia"/>
                <w:sz w:val="21"/>
                <w:szCs w:val="21"/>
              </w:rPr>
            </w:pPr>
            <w:r>
              <w:rPr>
                <w:rFonts w:hint="eastAsia"/>
                <w:sz w:val="21"/>
                <w:szCs w:val="21"/>
              </w:rPr>
              <w:t>达标</w:t>
            </w:r>
          </w:p>
        </w:tc>
      </w:tr>
      <w:tr w14:paraId="57EEE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540E947">
            <w:pPr>
              <w:spacing w:line="240" w:lineRule="auto"/>
              <w:jc w:val="center"/>
              <w:rPr>
                <w:rFonts w:hint="eastAsia"/>
                <w:sz w:val="21"/>
                <w:szCs w:val="21"/>
              </w:rPr>
            </w:pPr>
          </w:p>
        </w:tc>
        <w:tc>
          <w:tcPr>
            <w:tcW w:w="2252" w:type="dxa"/>
            <w:shd w:val="clear" w:color="auto" w:fill="auto"/>
            <w:vAlign w:val="center"/>
          </w:tcPr>
          <w:p w14:paraId="36778186">
            <w:pPr>
              <w:spacing w:line="240" w:lineRule="auto"/>
              <w:jc w:val="center"/>
              <w:rPr>
                <w:rFonts w:hint="eastAsia"/>
                <w:sz w:val="21"/>
                <w:szCs w:val="21"/>
              </w:rPr>
            </w:pPr>
            <w:r>
              <w:rPr>
                <w:rFonts w:hint="eastAsia"/>
                <w:sz w:val="21"/>
                <w:szCs w:val="21"/>
              </w:rPr>
              <w:t>苯</w:t>
            </w:r>
          </w:p>
        </w:tc>
        <w:tc>
          <w:tcPr>
            <w:tcW w:w="1271" w:type="dxa"/>
            <w:shd w:val="clear" w:color="auto" w:fill="FFFFFF"/>
            <w:vAlign w:val="center"/>
          </w:tcPr>
          <w:p w14:paraId="0B7B0C8D">
            <w:pPr>
              <w:spacing w:line="240" w:lineRule="auto"/>
              <w:jc w:val="center"/>
              <w:rPr>
                <w:sz w:val="21"/>
                <w:szCs w:val="21"/>
              </w:rPr>
            </w:pPr>
            <w:r>
              <w:rPr>
                <w:sz w:val="21"/>
                <w:szCs w:val="21"/>
              </w:rPr>
              <w:t>0.0004L</w:t>
            </w:r>
          </w:p>
        </w:tc>
        <w:tc>
          <w:tcPr>
            <w:tcW w:w="1843" w:type="dxa"/>
            <w:gridSpan w:val="2"/>
            <w:shd w:val="solid" w:color="FFFFFF" w:fill="auto"/>
            <w:vAlign w:val="center"/>
          </w:tcPr>
          <w:p w14:paraId="45E860D0">
            <w:pPr>
              <w:spacing w:line="240" w:lineRule="auto"/>
              <w:jc w:val="center"/>
              <w:rPr>
                <w:rFonts w:hint="eastAsia"/>
                <w:sz w:val="21"/>
                <w:szCs w:val="21"/>
              </w:rPr>
            </w:pPr>
            <w:r>
              <w:rPr>
                <w:rFonts w:hint="eastAsia"/>
                <w:sz w:val="21"/>
                <w:szCs w:val="21"/>
              </w:rPr>
              <w:t>0.01</w:t>
            </w:r>
          </w:p>
        </w:tc>
        <w:tc>
          <w:tcPr>
            <w:tcW w:w="1122" w:type="dxa"/>
            <w:vAlign w:val="center"/>
          </w:tcPr>
          <w:p w14:paraId="7E873585">
            <w:pPr>
              <w:spacing w:line="240" w:lineRule="auto"/>
              <w:jc w:val="center"/>
              <w:rPr>
                <w:rFonts w:hint="eastAsia"/>
                <w:sz w:val="21"/>
                <w:szCs w:val="21"/>
              </w:rPr>
            </w:pPr>
            <w:r>
              <w:rPr>
                <w:rFonts w:hint="eastAsia"/>
                <w:sz w:val="21"/>
                <w:szCs w:val="21"/>
              </w:rPr>
              <w:t>0</w:t>
            </w:r>
          </w:p>
        </w:tc>
        <w:tc>
          <w:tcPr>
            <w:tcW w:w="1111" w:type="dxa"/>
            <w:vAlign w:val="center"/>
          </w:tcPr>
          <w:p w14:paraId="532CB129">
            <w:pPr>
              <w:spacing w:line="240" w:lineRule="auto"/>
              <w:jc w:val="center"/>
              <w:rPr>
                <w:rFonts w:hint="eastAsia"/>
                <w:sz w:val="21"/>
                <w:szCs w:val="21"/>
              </w:rPr>
            </w:pPr>
            <w:r>
              <w:rPr>
                <w:rFonts w:hint="eastAsia"/>
                <w:sz w:val="21"/>
                <w:szCs w:val="21"/>
              </w:rPr>
              <w:t>达标</w:t>
            </w:r>
          </w:p>
        </w:tc>
      </w:tr>
      <w:tr w14:paraId="72C08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0DC2E1C">
            <w:pPr>
              <w:spacing w:line="240" w:lineRule="auto"/>
              <w:jc w:val="center"/>
              <w:rPr>
                <w:rFonts w:hint="eastAsia"/>
                <w:sz w:val="21"/>
                <w:szCs w:val="21"/>
              </w:rPr>
            </w:pPr>
          </w:p>
        </w:tc>
        <w:tc>
          <w:tcPr>
            <w:tcW w:w="2252" w:type="dxa"/>
            <w:shd w:val="clear" w:color="auto" w:fill="auto"/>
            <w:vAlign w:val="center"/>
          </w:tcPr>
          <w:p w14:paraId="780279B5">
            <w:pPr>
              <w:spacing w:line="240" w:lineRule="auto"/>
              <w:jc w:val="center"/>
              <w:rPr>
                <w:rFonts w:hint="eastAsia"/>
                <w:sz w:val="21"/>
                <w:szCs w:val="21"/>
              </w:rPr>
            </w:pPr>
            <w:r>
              <w:rPr>
                <w:rFonts w:hint="eastAsia"/>
                <w:sz w:val="21"/>
                <w:szCs w:val="21"/>
              </w:rPr>
              <w:t>甲苯</w:t>
            </w:r>
          </w:p>
        </w:tc>
        <w:tc>
          <w:tcPr>
            <w:tcW w:w="1271" w:type="dxa"/>
            <w:shd w:val="clear" w:color="auto" w:fill="FFFFFF"/>
            <w:vAlign w:val="center"/>
          </w:tcPr>
          <w:p w14:paraId="3075F4C4">
            <w:pPr>
              <w:spacing w:line="240" w:lineRule="auto"/>
              <w:jc w:val="center"/>
              <w:rPr>
                <w:sz w:val="21"/>
                <w:szCs w:val="21"/>
              </w:rPr>
            </w:pPr>
            <w:r>
              <w:rPr>
                <w:sz w:val="21"/>
                <w:szCs w:val="21"/>
              </w:rPr>
              <w:t>0.000</w:t>
            </w:r>
            <w:r>
              <w:rPr>
                <w:rFonts w:hint="eastAsia"/>
                <w:sz w:val="21"/>
                <w:szCs w:val="21"/>
              </w:rPr>
              <w:t>3</w:t>
            </w:r>
            <w:r>
              <w:rPr>
                <w:sz w:val="21"/>
                <w:szCs w:val="21"/>
              </w:rPr>
              <w:t>L</w:t>
            </w:r>
          </w:p>
        </w:tc>
        <w:tc>
          <w:tcPr>
            <w:tcW w:w="1843" w:type="dxa"/>
            <w:gridSpan w:val="2"/>
            <w:shd w:val="solid" w:color="FFFFFF" w:fill="auto"/>
            <w:vAlign w:val="center"/>
          </w:tcPr>
          <w:p w14:paraId="159F808D">
            <w:pPr>
              <w:spacing w:line="240" w:lineRule="auto"/>
              <w:jc w:val="center"/>
              <w:rPr>
                <w:rFonts w:hint="eastAsia"/>
                <w:sz w:val="21"/>
                <w:szCs w:val="21"/>
              </w:rPr>
            </w:pPr>
            <w:r>
              <w:rPr>
                <w:rFonts w:hint="eastAsia"/>
                <w:sz w:val="21"/>
                <w:szCs w:val="21"/>
              </w:rPr>
              <w:t>0.7</w:t>
            </w:r>
          </w:p>
        </w:tc>
        <w:tc>
          <w:tcPr>
            <w:tcW w:w="1122" w:type="dxa"/>
            <w:vAlign w:val="center"/>
          </w:tcPr>
          <w:p w14:paraId="74F06043">
            <w:pPr>
              <w:spacing w:line="240" w:lineRule="auto"/>
              <w:jc w:val="center"/>
              <w:rPr>
                <w:rFonts w:hint="eastAsia"/>
                <w:sz w:val="21"/>
                <w:szCs w:val="21"/>
              </w:rPr>
            </w:pPr>
            <w:r>
              <w:rPr>
                <w:rFonts w:hint="eastAsia"/>
                <w:sz w:val="21"/>
                <w:szCs w:val="21"/>
              </w:rPr>
              <w:t>0</w:t>
            </w:r>
          </w:p>
        </w:tc>
        <w:tc>
          <w:tcPr>
            <w:tcW w:w="1111" w:type="dxa"/>
            <w:vAlign w:val="center"/>
          </w:tcPr>
          <w:p w14:paraId="3F958E43">
            <w:pPr>
              <w:spacing w:line="240" w:lineRule="auto"/>
              <w:jc w:val="center"/>
              <w:rPr>
                <w:rFonts w:hint="eastAsia"/>
                <w:sz w:val="21"/>
                <w:szCs w:val="21"/>
              </w:rPr>
            </w:pPr>
            <w:r>
              <w:rPr>
                <w:rFonts w:hint="eastAsia"/>
                <w:sz w:val="21"/>
                <w:szCs w:val="21"/>
              </w:rPr>
              <w:t>达标</w:t>
            </w:r>
          </w:p>
        </w:tc>
      </w:tr>
      <w:tr w14:paraId="3AB81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E7B9006">
            <w:pPr>
              <w:spacing w:line="240" w:lineRule="auto"/>
              <w:jc w:val="center"/>
              <w:rPr>
                <w:rFonts w:hint="eastAsia"/>
                <w:sz w:val="21"/>
                <w:szCs w:val="21"/>
              </w:rPr>
            </w:pPr>
          </w:p>
        </w:tc>
        <w:tc>
          <w:tcPr>
            <w:tcW w:w="2252" w:type="dxa"/>
            <w:shd w:val="clear" w:color="auto" w:fill="auto"/>
            <w:vAlign w:val="center"/>
          </w:tcPr>
          <w:p w14:paraId="62ADC5FC">
            <w:pPr>
              <w:spacing w:line="240" w:lineRule="auto"/>
              <w:jc w:val="center"/>
              <w:rPr>
                <w:rFonts w:hint="eastAsia"/>
                <w:sz w:val="21"/>
                <w:szCs w:val="21"/>
              </w:rPr>
            </w:pPr>
            <w:r>
              <w:rPr>
                <w:rFonts w:hint="eastAsia"/>
                <w:sz w:val="21"/>
                <w:szCs w:val="21"/>
              </w:rPr>
              <w:t>乙苯</w:t>
            </w:r>
          </w:p>
        </w:tc>
        <w:tc>
          <w:tcPr>
            <w:tcW w:w="1271" w:type="dxa"/>
            <w:shd w:val="clear" w:color="auto" w:fill="FFFFFF"/>
            <w:vAlign w:val="center"/>
          </w:tcPr>
          <w:p w14:paraId="2AA94BA9">
            <w:pPr>
              <w:spacing w:line="240" w:lineRule="auto"/>
              <w:jc w:val="center"/>
              <w:rPr>
                <w:sz w:val="21"/>
                <w:szCs w:val="21"/>
              </w:rPr>
            </w:pPr>
            <w:r>
              <w:rPr>
                <w:sz w:val="21"/>
                <w:szCs w:val="21"/>
              </w:rPr>
              <w:t>0.000</w:t>
            </w:r>
            <w:r>
              <w:rPr>
                <w:rFonts w:hint="eastAsia"/>
                <w:sz w:val="21"/>
                <w:szCs w:val="21"/>
              </w:rPr>
              <w:t>3</w:t>
            </w:r>
            <w:r>
              <w:rPr>
                <w:sz w:val="21"/>
                <w:szCs w:val="21"/>
              </w:rPr>
              <w:t>L</w:t>
            </w:r>
          </w:p>
        </w:tc>
        <w:tc>
          <w:tcPr>
            <w:tcW w:w="1843" w:type="dxa"/>
            <w:gridSpan w:val="2"/>
            <w:shd w:val="solid" w:color="FFFFFF" w:fill="auto"/>
            <w:vAlign w:val="center"/>
          </w:tcPr>
          <w:p w14:paraId="393E4DB5">
            <w:pPr>
              <w:spacing w:line="240" w:lineRule="auto"/>
              <w:jc w:val="center"/>
              <w:rPr>
                <w:rFonts w:hint="eastAsia"/>
                <w:sz w:val="21"/>
                <w:szCs w:val="21"/>
              </w:rPr>
            </w:pPr>
            <w:r>
              <w:rPr>
                <w:rFonts w:hint="eastAsia"/>
                <w:sz w:val="21"/>
                <w:szCs w:val="21"/>
              </w:rPr>
              <w:t>0.3</w:t>
            </w:r>
          </w:p>
        </w:tc>
        <w:tc>
          <w:tcPr>
            <w:tcW w:w="1122" w:type="dxa"/>
            <w:vAlign w:val="center"/>
          </w:tcPr>
          <w:p w14:paraId="150C2707">
            <w:pPr>
              <w:spacing w:line="240" w:lineRule="auto"/>
              <w:jc w:val="center"/>
              <w:rPr>
                <w:rFonts w:hint="eastAsia"/>
                <w:sz w:val="21"/>
                <w:szCs w:val="21"/>
              </w:rPr>
            </w:pPr>
            <w:r>
              <w:rPr>
                <w:rFonts w:hint="eastAsia"/>
                <w:sz w:val="21"/>
                <w:szCs w:val="21"/>
              </w:rPr>
              <w:t>0</w:t>
            </w:r>
          </w:p>
        </w:tc>
        <w:tc>
          <w:tcPr>
            <w:tcW w:w="1111" w:type="dxa"/>
            <w:vAlign w:val="center"/>
          </w:tcPr>
          <w:p w14:paraId="39857992">
            <w:pPr>
              <w:spacing w:line="240" w:lineRule="auto"/>
              <w:jc w:val="center"/>
              <w:rPr>
                <w:rFonts w:hint="eastAsia"/>
                <w:sz w:val="21"/>
                <w:szCs w:val="21"/>
              </w:rPr>
            </w:pPr>
            <w:r>
              <w:rPr>
                <w:rFonts w:hint="eastAsia"/>
                <w:sz w:val="21"/>
                <w:szCs w:val="21"/>
              </w:rPr>
              <w:t>达标</w:t>
            </w:r>
          </w:p>
        </w:tc>
      </w:tr>
      <w:tr w14:paraId="2B0BE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E91A401">
            <w:pPr>
              <w:spacing w:line="240" w:lineRule="auto"/>
              <w:jc w:val="center"/>
              <w:rPr>
                <w:rFonts w:hint="eastAsia"/>
                <w:sz w:val="21"/>
                <w:szCs w:val="21"/>
              </w:rPr>
            </w:pPr>
          </w:p>
        </w:tc>
        <w:tc>
          <w:tcPr>
            <w:tcW w:w="2252" w:type="dxa"/>
            <w:shd w:val="clear" w:color="auto" w:fill="auto"/>
            <w:vAlign w:val="center"/>
          </w:tcPr>
          <w:p w14:paraId="2F92439C">
            <w:pPr>
              <w:spacing w:line="240" w:lineRule="auto"/>
              <w:jc w:val="center"/>
              <w:rPr>
                <w:rFonts w:hint="eastAsia"/>
                <w:sz w:val="21"/>
                <w:szCs w:val="21"/>
              </w:rPr>
            </w:pPr>
            <w:r>
              <w:rPr>
                <w:rFonts w:hint="eastAsia"/>
                <w:sz w:val="21"/>
                <w:szCs w:val="21"/>
              </w:rPr>
              <w:t>二甲苯①</w:t>
            </w:r>
          </w:p>
        </w:tc>
        <w:tc>
          <w:tcPr>
            <w:tcW w:w="1271" w:type="dxa"/>
            <w:shd w:val="clear" w:color="auto" w:fill="FFFFFF"/>
            <w:vAlign w:val="center"/>
          </w:tcPr>
          <w:p w14:paraId="56FA30C8">
            <w:pPr>
              <w:spacing w:line="240" w:lineRule="auto"/>
              <w:jc w:val="center"/>
              <w:rPr>
                <w:sz w:val="21"/>
                <w:szCs w:val="21"/>
              </w:rPr>
            </w:pPr>
            <w:r>
              <w:rPr>
                <w:sz w:val="21"/>
                <w:szCs w:val="21"/>
              </w:rPr>
              <w:t>0.000</w:t>
            </w:r>
            <w:r>
              <w:rPr>
                <w:rFonts w:hint="eastAsia"/>
                <w:sz w:val="21"/>
                <w:szCs w:val="21"/>
              </w:rPr>
              <w:t>5</w:t>
            </w:r>
            <w:r>
              <w:rPr>
                <w:sz w:val="21"/>
                <w:szCs w:val="21"/>
              </w:rPr>
              <w:t>L</w:t>
            </w:r>
          </w:p>
        </w:tc>
        <w:tc>
          <w:tcPr>
            <w:tcW w:w="1843" w:type="dxa"/>
            <w:gridSpan w:val="2"/>
            <w:shd w:val="solid" w:color="FFFFFF" w:fill="auto"/>
            <w:vAlign w:val="center"/>
          </w:tcPr>
          <w:p w14:paraId="6CF568CA">
            <w:pPr>
              <w:spacing w:line="240" w:lineRule="auto"/>
              <w:jc w:val="center"/>
              <w:rPr>
                <w:rFonts w:hint="eastAsia"/>
                <w:sz w:val="21"/>
                <w:szCs w:val="21"/>
              </w:rPr>
            </w:pPr>
            <w:r>
              <w:rPr>
                <w:rFonts w:hint="eastAsia"/>
                <w:sz w:val="21"/>
                <w:szCs w:val="21"/>
              </w:rPr>
              <w:t>0.5</w:t>
            </w:r>
          </w:p>
        </w:tc>
        <w:tc>
          <w:tcPr>
            <w:tcW w:w="1122" w:type="dxa"/>
            <w:vAlign w:val="center"/>
          </w:tcPr>
          <w:p w14:paraId="2CABB54B">
            <w:pPr>
              <w:spacing w:line="240" w:lineRule="auto"/>
              <w:jc w:val="center"/>
              <w:rPr>
                <w:rFonts w:hint="eastAsia"/>
                <w:sz w:val="21"/>
                <w:szCs w:val="21"/>
              </w:rPr>
            </w:pPr>
            <w:r>
              <w:rPr>
                <w:rFonts w:hint="eastAsia"/>
                <w:sz w:val="21"/>
                <w:szCs w:val="21"/>
              </w:rPr>
              <w:t>0</w:t>
            </w:r>
          </w:p>
        </w:tc>
        <w:tc>
          <w:tcPr>
            <w:tcW w:w="1111" w:type="dxa"/>
            <w:vAlign w:val="center"/>
          </w:tcPr>
          <w:p w14:paraId="031D15EA">
            <w:pPr>
              <w:spacing w:line="240" w:lineRule="auto"/>
              <w:jc w:val="center"/>
              <w:rPr>
                <w:rFonts w:hint="eastAsia"/>
                <w:sz w:val="21"/>
                <w:szCs w:val="21"/>
              </w:rPr>
            </w:pPr>
            <w:r>
              <w:rPr>
                <w:rFonts w:hint="eastAsia"/>
                <w:sz w:val="21"/>
                <w:szCs w:val="21"/>
              </w:rPr>
              <w:t>达标</w:t>
            </w:r>
          </w:p>
        </w:tc>
      </w:tr>
      <w:tr w14:paraId="1E085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5A08080">
            <w:pPr>
              <w:spacing w:line="240" w:lineRule="auto"/>
              <w:jc w:val="center"/>
              <w:rPr>
                <w:rFonts w:hint="eastAsia"/>
                <w:sz w:val="21"/>
                <w:szCs w:val="21"/>
              </w:rPr>
            </w:pPr>
          </w:p>
        </w:tc>
        <w:tc>
          <w:tcPr>
            <w:tcW w:w="2252" w:type="dxa"/>
            <w:shd w:val="clear" w:color="auto" w:fill="auto"/>
            <w:vAlign w:val="center"/>
          </w:tcPr>
          <w:p w14:paraId="1B20C10B">
            <w:pPr>
              <w:spacing w:line="240" w:lineRule="auto"/>
              <w:jc w:val="center"/>
              <w:rPr>
                <w:rFonts w:hint="eastAsia"/>
                <w:sz w:val="21"/>
                <w:szCs w:val="21"/>
              </w:rPr>
            </w:pPr>
            <w:r>
              <w:rPr>
                <w:rFonts w:hint="eastAsia"/>
                <w:sz w:val="21"/>
                <w:szCs w:val="21"/>
              </w:rPr>
              <w:t>异丙苯</w:t>
            </w:r>
          </w:p>
        </w:tc>
        <w:tc>
          <w:tcPr>
            <w:tcW w:w="1271" w:type="dxa"/>
            <w:shd w:val="clear" w:color="auto" w:fill="FFFFFF"/>
            <w:vAlign w:val="center"/>
          </w:tcPr>
          <w:p w14:paraId="4F847ED8">
            <w:pPr>
              <w:spacing w:line="240" w:lineRule="auto"/>
              <w:jc w:val="center"/>
              <w:rPr>
                <w:sz w:val="21"/>
                <w:szCs w:val="21"/>
              </w:rPr>
            </w:pPr>
            <w:r>
              <w:rPr>
                <w:sz w:val="21"/>
                <w:szCs w:val="21"/>
              </w:rPr>
              <w:t>0.000</w:t>
            </w:r>
            <w:r>
              <w:rPr>
                <w:rFonts w:hint="eastAsia"/>
                <w:sz w:val="21"/>
                <w:szCs w:val="21"/>
              </w:rPr>
              <w:t>3</w:t>
            </w:r>
            <w:r>
              <w:rPr>
                <w:sz w:val="21"/>
                <w:szCs w:val="21"/>
              </w:rPr>
              <w:t>L</w:t>
            </w:r>
          </w:p>
        </w:tc>
        <w:tc>
          <w:tcPr>
            <w:tcW w:w="1843" w:type="dxa"/>
            <w:gridSpan w:val="2"/>
            <w:shd w:val="solid" w:color="FFFFFF" w:fill="auto"/>
            <w:vAlign w:val="center"/>
          </w:tcPr>
          <w:p w14:paraId="3C98153F">
            <w:pPr>
              <w:spacing w:line="240" w:lineRule="auto"/>
              <w:jc w:val="center"/>
              <w:rPr>
                <w:rFonts w:hint="eastAsia"/>
                <w:sz w:val="21"/>
                <w:szCs w:val="21"/>
              </w:rPr>
            </w:pPr>
            <w:r>
              <w:rPr>
                <w:rFonts w:hint="eastAsia"/>
                <w:sz w:val="21"/>
                <w:szCs w:val="21"/>
              </w:rPr>
              <w:t>0.25</w:t>
            </w:r>
          </w:p>
        </w:tc>
        <w:tc>
          <w:tcPr>
            <w:tcW w:w="1122" w:type="dxa"/>
            <w:vAlign w:val="center"/>
          </w:tcPr>
          <w:p w14:paraId="707F213F">
            <w:pPr>
              <w:spacing w:line="240" w:lineRule="auto"/>
              <w:jc w:val="center"/>
              <w:rPr>
                <w:rFonts w:hint="eastAsia"/>
                <w:sz w:val="21"/>
                <w:szCs w:val="21"/>
              </w:rPr>
            </w:pPr>
            <w:r>
              <w:rPr>
                <w:rFonts w:hint="eastAsia"/>
                <w:sz w:val="21"/>
                <w:szCs w:val="21"/>
              </w:rPr>
              <w:t>0</w:t>
            </w:r>
          </w:p>
        </w:tc>
        <w:tc>
          <w:tcPr>
            <w:tcW w:w="1111" w:type="dxa"/>
            <w:vAlign w:val="center"/>
          </w:tcPr>
          <w:p w14:paraId="38F9F250">
            <w:pPr>
              <w:spacing w:line="240" w:lineRule="auto"/>
              <w:jc w:val="center"/>
              <w:rPr>
                <w:rFonts w:hint="eastAsia"/>
                <w:sz w:val="21"/>
                <w:szCs w:val="21"/>
              </w:rPr>
            </w:pPr>
            <w:r>
              <w:rPr>
                <w:rFonts w:hint="eastAsia"/>
                <w:sz w:val="21"/>
                <w:szCs w:val="21"/>
              </w:rPr>
              <w:t>达标</w:t>
            </w:r>
          </w:p>
        </w:tc>
      </w:tr>
      <w:tr w14:paraId="164D2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45926FC">
            <w:pPr>
              <w:spacing w:line="240" w:lineRule="auto"/>
              <w:jc w:val="center"/>
              <w:rPr>
                <w:rFonts w:hint="eastAsia"/>
                <w:sz w:val="21"/>
                <w:szCs w:val="21"/>
              </w:rPr>
            </w:pPr>
          </w:p>
        </w:tc>
        <w:tc>
          <w:tcPr>
            <w:tcW w:w="2252" w:type="dxa"/>
            <w:shd w:val="clear" w:color="auto" w:fill="auto"/>
            <w:vAlign w:val="center"/>
          </w:tcPr>
          <w:p w14:paraId="0D15A6EC">
            <w:pPr>
              <w:spacing w:line="240" w:lineRule="auto"/>
              <w:jc w:val="center"/>
              <w:rPr>
                <w:rFonts w:hint="eastAsia"/>
                <w:sz w:val="21"/>
                <w:szCs w:val="21"/>
              </w:rPr>
            </w:pPr>
            <w:r>
              <w:rPr>
                <w:rFonts w:hint="eastAsia"/>
                <w:sz w:val="21"/>
                <w:szCs w:val="21"/>
              </w:rPr>
              <w:t>氯苯</w:t>
            </w:r>
          </w:p>
        </w:tc>
        <w:tc>
          <w:tcPr>
            <w:tcW w:w="1271" w:type="dxa"/>
            <w:shd w:val="clear" w:color="auto" w:fill="FFFFFF"/>
            <w:vAlign w:val="center"/>
          </w:tcPr>
          <w:p w14:paraId="4CDD14C3">
            <w:pPr>
              <w:spacing w:line="240" w:lineRule="auto"/>
              <w:jc w:val="center"/>
              <w:rPr>
                <w:sz w:val="21"/>
                <w:szCs w:val="21"/>
              </w:rPr>
            </w:pPr>
            <w:r>
              <w:rPr>
                <w:sz w:val="21"/>
                <w:szCs w:val="21"/>
              </w:rPr>
              <w:t>0.000</w:t>
            </w:r>
            <w:r>
              <w:rPr>
                <w:rFonts w:hint="eastAsia"/>
                <w:sz w:val="21"/>
                <w:szCs w:val="21"/>
              </w:rPr>
              <w:t>2</w:t>
            </w:r>
            <w:r>
              <w:rPr>
                <w:sz w:val="21"/>
                <w:szCs w:val="21"/>
              </w:rPr>
              <w:t>L</w:t>
            </w:r>
          </w:p>
        </w:tc>
        <w:tc>
          <w:tcPr>
            <w:tcW w:w="1843" w:type="dxa"/>
            <w:gridSpan w:val="2"/>
            <w:shd w:val="solid" w:color="FFFFFF" w:fill="auto"/>
            <w:vAlign w:val="center"/>
          </w:tcPr>
          <w:p w14:paraId="7012C3F7">
            <w:pPr>
              <w:spacing w:line="240" w:lineRule="auto"/>
              <w:jc w:val="center"/>
              <w:rPr>
                <w:rFonts w:hint="eastAsia"/>
                <w:sz w:val="21"/>
                <w:szCs w:val="21"/>
              </w:rPr>
            </w:pPr>
            <w:r>
              <w:rPr>
                <w:rFonts w:hint="eastAsia"/>
                <w:sz w:val="21"/>
                <w:szCs w:val="21"/>
              </w:rPr>
              <w:t>0.3</w:t>
            </w:r>
          </w:p>
        </w:tc>
        <w:tc>
          <w:tcPr>
            <w:tcW w:w="1122" w:type="dxa"/>
            <w:vAlign w:val="center"/>
          </w:tcPr>
          <w:p w14:paraId="1B1731F6">
            <w:pPr>
              <w:spacing w:line="240" w:lineRule="auto"/>
              <w:jc w:val="center"/>
              <w:rPr>
                <w:rFonts w:hint="eastAsia"/>
                <w:sz w:val="21"/>
                <w:szCs w:val="21"/>
              </w:rPr>
            </w:pPr>
            <w:r>
              <w:rPr>
                <w:rFonts w:hint="eastAsia"/>
                <w:sz w:val="21"/>
                <w:szCs w:val="21"/>
              </w:rPr>
              <w:t>0</w:t>
            </w:r>
          </w:p>
        </w:tc>
        <w:tc>
          <w:tcPr>
            <w:tcW w:w="1111" w:type="dxa"/>
            <w:vAlign w:val="center"/>
          </w:tcPr>
          <w:p w14:paraId="5B73000B">
            <w:pPr>
              <w:spacing w:line="240" w:lineRule="auto"/>
              <w:jc w:val="center"/>
              <w:rPr>
                <w:rFonts w:hint="eastAsia"/>
                <w:sz w:val="21"/>
                <w:szCs w:val="21"/>
              </w:rPr>
            </w:pPr>
            <w:r>
              <w:rPr>
                <w:rFonts w:hint="eastAsia"/>
                <w:sz w:val="21"/>
                <w:szCs w:val="21"/>
              </w:rPr>
              <w:t>达标</w:t>
            </w:r>
          </w:p>
        </w:tc>
      </w:tr>
      <w:tr w14:paraId="0EEF4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E8282B8">
            <w:pPr>
              <w:spacing w:line="240" w:lineRule="auto"/>
              <w:jc w:val="center"/>
              <w:rPr>
                <w:rFonts w:hint="eastAsia"/>
                <w:sz w:val="21"/>
                <w:szCs w:val="21"/>
              </w:rPr>
            </w:pPr>
          </w:p>
        </w:tc>
        <w:tc>
          <w:tcPr>
            <w:tcW w:w="2252" w:type="dxa"/>
            <w:shd w:val="clear" w:color="auto" w:fill="auto"/>
            <w:vAlign w:val="center"/>
          </w:tcPr>
          <w:p w14:paraId="147DE292">
            <w:pPr>
              <w:spacing w:line="240" w:lineRule="auto"/>
              <w:jc w:val="center"/>
              <w:rPr>
                <w:rFonts w:hint="eastAsia"/>
                <w:sz w:val="21"/>
                <w:szCs w:val="21"/>
              </w:rPr>
            </w:pPr>
            <w:r>
              <w:rPr>
                <w:rFonts w:hint="eastAsia"/>
                <w:sz w:val="21"/>
                <w:szCs w:val="21"/>
              </w:rPr>
              <w:t>1，2—二氯苯</w:t>
            </w:r>
          </w:p>
        </w:tc>
        <w:tc>
          <w:tcPr>
            <w:tcW w:w="1271" w:type="dxa"/>
            <w:shd w:val="clear" w:color="auto" w:fill="FFFFFF"/>
            <w:vAlign w:val="center"/>
          </w:tcPr>
          <w:p w14:paraId="646F843D">
            <w:pPr>
              <w:spacing w:line="240" w:lineRule="auto"/>
              <w:jc w:val="center"/>
              <w:rPr>
                <w:sz w:val="21"/>
                <w:szCs w:val="21"/>
              </w:rPr>
            </w:pPr>
            <w:r>
              <w:rPr>
                <w:sz w:val="21"/>
                <w:szCs w:val="21"/>
              </w:rPr>
              <w:t>0.0004L</w:t>
            </w:r>
          </w:p>
        </w:tc>
        <w:tc>
          <w:tcPr>
            <w:tcW w:w="1843" w:type="dxa"/>
            <w:gridSpan w:val="2"/>
            <w:shd w:val="solid" w:color="FFFFFF" w:fill="auto"/>
            <w:vAlign w:val="center"/>
          </w:tcPr>
          <w:p w14:paraId="3AF7E109">
            <w:pPr>
              <w:spacing w:line="240" w:lineRule="auto"/>
              <w:jc w:val="center"/>
              <w:rPr>
                <w:rFonts w:hint="eastAsia"/>
                <w:sz w:val="21"/>
                <w:szCs w:val="21"/>
              </w:rPr>
            </w:pPr>
            <w:r>
              <w:rPr>
                <w:rFonts w:hint="eastAsia"/>
                <w:sz w:val="21"/>
                <w:szCs w:val="21"/>
              </w:rPr>
              <w:t>1.0</w:t>
            </w:r>
          </w:p>
        </w:tc>
        <w:tc>
          <w:tcPr>
            <w:tcW w:w="1122" w:type="dxa"/>
            <w:vAlign w:val="center"/>
          </w:tcPr>
          <w:p w14:paraId="73175E93">
            <w:pPr>
              <w:spacing w:line="240" w:lineRule="auto"/>
              <w:jc w:val="center"/>
              <w:rPr>
                <w:rFonts w:hint="eastAsia"/>
                <w:sz w:val="21"/>
                <w:szCs w:val="21"/>
              </w:rPr>
            </w:pPr>
            <w:r>
              <w:rPr>
                <w:rFonts w:hint="eastAsia"/>
                <w:sz w:val="21"/>
                <w:szCs w:val="21"/>
              </w:rPr>
              <w:t>0</w:t>
            </w:r>
          </w:p>
        </w:tc>
        <w:tc>
          <w:tcPr>
            <w:tcW w:w="1111" w:type="dxa"/>
            <w:vAlign w:val="center"/>
          </w:tcPr>
          <w:p w14:paraId="0EAD05C0">
            <w:pPr>
              <w:spacing w:line="240" w:lineRule="auto"/>
              <w:jc w:val="center"/>
              <w:rPr>
                <w:rFonts w:hint="eastAsia"/>
                <w:sz w:val="21"/>
                <w:szCs w:val="21"/>
              </w:rPr>
            </w:pPr>
            <w:r>
              <w:rPr>
                <w:rFonts w:hint="eastAsia"/>
                <w:sz w:val="21"/>
                <w:szCs w:val="21"/>
              </w:rPr>
              <w:t>达标</w:t>
            </w:r>
          </w:p>
        </w:tc>
      </w:tr>
      <w:tr w14:paraId="04492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B3FD980">
            <w:pPr>
              <w:spacing w:line="240" w:lineRule="auto"/>
              <w:jc w:val="center"/>
              <w:rPr>
                <w:rFonts w:hint="eastAsia"/>
                <w:sz w:val="21"/>
                <w:szCs w:val="21"/>
              </w:rPr>
            </w:pPr>
          </w:p>
        </w:tc>
        <w:tc>
          <w:tcPr>
            <w:tcW w:w="2252" w:type="dxa"/>
            <w:shd w:val="clear" w:color="auto" w:fill="auto"/>
            <w:vAlign w:val="center"/>
          </w:tcPr>
          <w:p w14:paraId="015683AC">
            <w:pPr>
              <w:spacing w:line="240" w:lineRule="auto"/>
              <w:jc w:val="center"/>
              <w:rPr>
                <w:rFonts w:hint="eastAsia"/>
                <w:sz w:val="21"/>
                <w:szCs w:val="21"/>
              </w:rPr>
            </w:pPr>
            <w:r>
              <w:rPr>
                <w:rFonts w:hint="eastAsia"/>
                <w:sz w:val="21"/>
                <w:szCs w:val="21"/>
              </w:rPr>
              <w:t>1，4—二氯苯</w:t>
            </w:r>
          </w:p>
        </w:tc>
        <w:tc>
          <w:tcPr>
            <w:tcW w:w="1271" w:type="dxa"/>
            <w:shd w:val="clear" w:color="auto" w:fill="FFFFFF"/>
            <w:vAlign w:val="center"/>
          </w:tcPr>
          <w:p w14:paraId="0D0DA536">
            <w:pPr>
              <w:spacing w:line="240" w:lineRule="auto"/>
              <w:jc w:val="center"/>
              <w:rPr>
                <w:sz w:val="21"/>
                <w:szCs w:val="21"/>
              </w:rPr>
            </w:pPr>
            <w:r>
              <w:rPr>
                <w:sz w:val="21"/>
                <w:szCs w:val="21"/>
              </w:rPr>
              <w:t>0.0004L</w:t>
            </w:r>
          </w:p>
        </w:tc>
        <w:tc>
          <w:tcPr>
            <w:tcW w:w="1843" w:type="dxa"/>
            <w:gridSpan w:val="2"/>
            <w:shd w:val="solid" w:color="FFFFFF" w:fill="auto"/>
            <w:vAlign w:val="center"/>
          </w:tcPr>
          <w:p w14:paraId="3D13B0C8">
            <w:pPr>
              <w:spacing w:line="240" w:lineRule="auto"/>
              <w:jc w:val="center"/>
              <w:rPr>
                <w:rFonts w:hint="eastAsia"/>
                <w:sz w:val="21"/>
                <w:szCs w:val="21"/>
              </w:rPr>
            </w:pPr>
            <w:r>
              <w:rPr>
                <w:rFonts w:hint="eastAsia"/>
                <w:sz w:val="21"/>
                <w:szCs w:val="21"/>
              </w:rPr>
              <w:t>0.3</w:t>
            </w:r>
          </w:p>
        </w:tc>
        <w:tc>
          <w:tcPr>
            <w:tcW w:w="1122" w:type="dxa"/>
            <w:vAlign w:val="center"/>
          </w:tcPr>
          <w:p w14:paraId="364CB7C3">
            <w:pPr>
              <w:spacing w:line="240" w:lineRule="auto"/>
              <w:jc w:val="center"/>
              <w:rPr>
                <w:rFonts w:hint="eastAsia"/>
                <w:sz w:val="21"/>
                <w:szCs w:val="21"/>
              </w:rPr>
            </w:pPr>
            <w:r>
              <w:rPr>
                <w:rFonts w:hint="eastAsia"/>
                <w:sz w:val="21"/>
                <w:szCs w:val="21"/>
              </w:rPr>
              <w:t>0</w:t>
            </w:r>
          </w:p>
        </w:tc>
        <w:tc>
          <w:tcPr>
            <w:tcW w:w="1111" w:type="dxa"/>
            <w:vAlign w:val="center"/>
          </w:tcPr>
          <w:p w14:paraId="5B0A5E62">
            <w:pPr>
              <w:spacing w:line="240" w:lineRule="auto"/>
              <w:jc w:val="center"/>
              <w:rPr>
                <w:rFonts w:hint="eastAsia"/>
                <w:sz w:val="21"/>
                <w:szCs w:val="21"/>
              </w:rPr>
            </w:pPr>
            <w:r>
              <w:rPr>
                <w:rFonts w:hint="eastAsia"/>
                <w:sz w:val="21"/>
                <w:szCs w:val="21"/>
              </w:rPr>
              <w:t>达标</w:t>
            </w:r>
          </w:p>
        </w:tc>
      </w:tr>
      <w:tr w14:paraId="49F80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A66435D">
            <w:pPr>
              <w:spacing w:line="240" w:lineRule="auto"/>
              <w:jc w:val="center"/>
              <w:rPr>
                <w:rFonts w:hint="eastAsia"/>
                <w:sz w:val="21"/>
                <w:szCs w:val="21"/>
              </w:rPr>
            </w:pPr>
          </w:p>
        </w:tc>
        <w:tc>
          <w:tcPr>
            <w:tcW w:w="2252" w:type="dxa"/>
            <w:shd w:val="clear" w:color="auto" w:fill="auto"/>
            <w:vAlign w:val="center"/>
          </w:tcPr>
          <w:p w14:paraId="3EB98B94">
            <w:pPr>
              <w:spacing w:line="240" w:lineRule="auto"/>
              <w:jc w:val="center"/>
              <w:rPr>
                <w:rFonts w:hint="eastAsia"/>
                <w:sz w:val="21"/>
                <w:szCs w:val="21"/>
              </w:rPr>
            </w:pPr>
            <w:r>
              <w:rPr>
                <w:rFonts w:hint="eastAsia"/>
                <w:sz w:val="21"/>
                <w:szCs w:val="21"/>
              </w:rPr>
              <w:t>三氯苯②</w:t>
            </w:r>
          </w:p>
        </w:tc>
        <w:tc>
          <w:tcPr>
            <w:tcW w:w="1271" w:type="dxa"/>
            <w:shd w:val="clear" w:color="auto" w:fill="FFFFFF"/>
            <w:vAlign w:val="center"/>
          </w:tcPr>
          <w:p w14:paraId="5F2B180A">
            <w:pPr>
              <w:spacing w:line="240" w:lineRule="auto"/>
              <w:jc w:val="center"/>
              <w:rPr>
                <w:sz w:val="21"/>
                <w:szCs w:val="21"/>
              </w:rPr>
            </w:pPr>
            <w:r>
              <w:rPr>
                <w:sz w:val="21"/>
                <w:szCs w:val="21"/>
              </w:rPr>
              <w:t>0.000</w:t>
            </w:r>
            <w:r>
              <w:rPr>
                <w:rFonts w:hint="eastAsia"/>
                <w:sz w:val="21"/>
                <w:szCs w:val="21"/>
              </w:rPr>
              <w:t>0</w:t>
            </w:r>
            <w:r>
              <w:rPr>
                <w:sz w:val="21"/>
                <w:szCs w:val="21"/>
              </w:rPr>
              <w:t>4</w:t>
            </w:r>
            <w:r>
              <w:rPr>
                <w:rFonts w:hint="eastAsia"/>
                <w:sz w:val="21"/>
                <w:szCs w:val="21"/>
              </w:rPr>
              <w:t>2</w:t>
            </w:r>
            <w:r>
              <w:rPr>
                <w:sz w:val="21"/>
                <w:szCs w:val="21"/>
              </w:rPr>
              <w:t>L</w:t>
            </w:r>
          </w:p>
        </w:tc>
        <w:tc>
          <w:tcPr>
            <w:tcW w:w="1843" w:type="dxa"/>
            <w:gridSpan w:val="2"/>
            <w:shd w:val="solid" w:color="FFFFFF" w:fill="auto"/>
            <w:vAlign w:val="center"/>
          </w:tcPr>
          <w:p w14:paraId="2B648A2E">
            <w:pPr>
              <w:spacing w:line="240" w:lineRule="auto"/>
              <w:jc w:val="center"/>
              <w:rPr>
                <w:rFonts w:hint="eastAsia"/>
                <w:sz w:val="21"/>
                <w:szCs w:val="21"/>
              </w:rPr>
            </w:pPr>
            <w:r>
              <w:rPr>
                <w:rFonts w:hint="eastAsia"/>
                <w:sz w:val="21"/>
                <w:szCs w:val="21"/>
              </w:rPr>
              <w:t>0.02</w:t>
            </w:r>
          </w:p>
        </w:tc>
        <w:tc>
          <w:tcPr>
            <w:tcW w:w="1122" w:type="dxa"/>
            <w:vAlign w:val="center"/>
          </w:tcPr>
          <w:p w14:paraId="7E0B71F5">
            <w:pPr>
              <w:spacing w:line="240" w:lineRule="auto"/>
              <w:jc w:val="center"/>
              <w:rPr>
                <w:rFonts w:hint="eastAsia"/>
                <w:sz w:val="21"/>
                <w:szCs w:val="21"/>
              </w:rPr>
            </w:pPr>
            <w:r>
              <w:rPr>
                <w:rFonts w:hint="eastAsia"/>
                <w:sz w:val="21"/>
                <w:szCs w:val="21"/>
              </w:rPr>
              <w:t>0</w:t>
            </w:r>
          </w:p>
        </w:tc>
        <w:tc>
          <w:tcPr>
            <w:tcW w:w="1111" w:type="dxa"/>
            <w:vAlign w:val="center"/>
          </w:tcPr>
          <w:p w14:paraId="47270CBF">
            <w:pPr>
              <w:spacing w:line="240" w:lineRule="auto"/>
              <w:jc w:val="center"/>
              <w:rPr>
                <w:rFonts w:hint="eastAsia"/>
                <w:sz w:val="21"/>
                <w:szCs w:val="21"/>
              </w:rPr>
            </w:pPr>
            <w:r>
              <w:rPr>
                <w:rFonts w:hint="eastAsia"/>
                <w:sz w:val="21"/>
                <w:szCs w:val="21"/>
              </w:rPr>
              <w:t>达标</w:t>
            </w:r>
          </w:p>
        </w:tc>
      </w:tr>
      <w:tr w14:paraId="29804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1E8596F8">
            <w:pPr>
              <w:spacing w:line="240" w:lineRule="auto"/>
              <w:jc w:val="center"/>
              <w:rPr>
                <w:rFonts w:hint="eastAsia"/>
                <w:sz w:val="21"/>
                <w:szCs w:val="21"/>
              </w:rPr>
            </w:pPr>
          </w:p>
        </w:tc>
        <w:tc>
          <w:tcPr>
            <w:tcW w:w="2252" w:type="dxa"/>
            <w:shd w:val="clear" w:color="auto" w:fill="auto"/>
            <w:vAlign w:val="center"/>
          </w:tcPr>
          <w:p w14:paraId="07A6C45E">
            <w:pPr>
              <w:spacing w:line="240" w:lineRule="auto"/>
              <w:jc w:val="center"/>
              <w:rPr>
                <w:rFonts w:hint="eastAsia"/>
                <w:sz w:val="21"/>
                <w:szCs w:val="21"/>
              </w:rPr>
            </w:pPr>
            <w:r>
              <w:rPr>
                <w:rFonts w:hint="eastAsia"/>
                <w:sz w:val="21"/>
                <w:szCs w:val="21"/>
              </w:rPr>
              <w:t>四氯苯③</w:t>
            </w:r>
          </w:p>
        </w:tc>
        <w:tc>
          <w:tcPr>
            <w:tcW w:w="1271" w:type="dxa"/>
            <w:shd w:val="clear" w:color="auto" w:fill="FFFFFF"/>
            <w:vAlign w:val="center"/>
          </w:tcPr>
          <w:p w14:paraId="0D5D45B8">
            <w:pPr>
              <w:spacing w:line="240" w:lineRule="auto"/>
              <w:jc w:val="center"/>
              <w:rPr>
                <w:sz w:val="21"/>
                <w:szCs w:val="21"/>
              </w:rPr>
            </w:pPr>
            <w:r>
              <w:rPr>
                <w:sz w:val="21"/>
                <w:szCs w:val="21"/>
              </w:rPr>
              <w:t>0.000</w:t>
            </w:r>
            <w:r>
              <w:rPr>
                <w:rFonts w:hint="eastAsia"/>
                <w:sz w:val="21"/>
                <w:szCs w:val="21"/>
              </w:rPr>
              <w:t>0121</w:t>
            </w:r>
            <w:r>
              <w:rPr>
                <w:sz w:val="21"/>
                <w:szCs w:val="21"/>
              </w:rPr>
              <w:t>L</w:t>
            </w:r>
          </w:p>
        </w:tc>
        <w:tc>
          <w:tcPr>
            <w:tcW w:w="1843" w:type="dxa"/>
            <w:gridSpan w:val="2"/>
            <w:shd w:val="solid" w:color="FFFFFF" w:fill="auto"/>
            <w:vAlign w:val="center"/>
          </w:tcPr>
          <w:p w14:paraId="2E536EE9">
            <w:pPr>
              <w:spacing w:line="240" w:lineRule="auto"/>
              <w:jc w:val="center"/>
              <w:rPr>
                <w:rFonts w:hint="eastAsia"/>
                <w:sz w:val="21"/>
                <w:szCs w:val="21"/>
              </w:rPr>
            </w:pPr>
            <w:r>
              <w:rPr>
                <w:rFonts w:hint="eastAsia"/>
                <w:sz w:val="21"/>
                <w:szCs w:val="21"/>
              </w:rPr>
              <w:t>0.02</w:t>
            </w:r>
          </w:p>
        </w:tc>
        <w:tc>
          <w:tcPr>
            <w:tcW w:w="1122" w:type="dxa"/>
            <w:vAlign w:val="center"/>
          </w:tcPr>
          <w:p w14:paraId="0ACB2584">
            <w:pPr>
              <w:spacing w:line="240" w:lineRule="auto"/>
              <w:jc w:val="center"/>
              <w:rPr>
                <w:rFonts w:hint="eastAsia"/>
                <w:sz w:val="21"/>
                <w:szCs w:val="21"/>
              </w:rPr>
            </w:pPr>
            <w:r>
              <w:rPr>
                <w:rFonts w:hint="eastAsia"/>
                <w:sz w:val="21"/>
                <w:szCs w:val="21"/>
              </w:rPr>
              <w:t>0</w:t>
            </w:r>
          </w:p>
        </w:tc>
        <w:tc>
          <w:tcPr>
            <w:tcW w:w="1111" w:type="dxa"/>
            <w:vAlign w:val="center"/>
          </w:tcPr>
          <w:p w14:paraId="5E699BF3">
            <w:pPr>
              <w:spacing w:line="240" w:lineRule="auto"/>
              <w:jc w:val="center"/>
              <w:rPr>
                <w:rFonts w:hint="eastAsia"/>
                <w:sz w:val="21"/>
                <w:szCs w:val="21"/>
              </w:rPr>
            </w:pPr>
            <w:r>
              <w:rPr>
                <w:rFonts w:hint="eastAsia"/>
                <w:sz w:val="21"/>
                <w:szCs w:val="21"/>
              </w:rPr>
              <w:t>达标</w:t>
            </w:r>
          </w:p>
        </w:tc>
      </w:tr>
      <w:tr w14:paraId="3B850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0F318EF">
            <w:pPr>
              <w:spacing w:line="240" w:lineRule="auto"/>
              <w:jc w:val="center"/>
              <w:rPr>
                <w:rFonts w:hint="eastAsia"/>
                <w:sz w:val="21"/>
                <w:szCs w:val="21"/>
              </w:rPr>
            </w:pPr>
          </w:p>
        </w:tc>
        <w:tc>
          <w:tcPr>
            <w:tcW w:w="2252" w:type="dxa"/>
            <w:shd w:val="clear" w:color="auto" w:fill="auto"/>
            <w:vAlign w:val="center"/>
          </w:tcPr>
          <w:p w14:paraId="6137F37D">
            <w:pPr>
              <w:spacing w:line="240" w:lineRule="auto"/>
              <w:jc w:val="center"/>
              <w:rPr>
                <w:rFonts w:hint="eastAsia"/>
                <w:sz w:val="21"/>
                <w:szCs w:val="21"/>
              </w:rPr>
            </w:pPr>
            <w:r>
              <w:rPr>
                <w:rFonts w:hint="eastAsia"/>
                <w:sz w:val="21"/>
                <w:szCs w:val="21"/>
              </w:rPr>
              <w:t>六氯苯</w:t>
            </w:r>
          </w:p>
        </w:tc>
        <w:tc>
          <w:tcPr>
            <w:tcW w:w="1271" w:type="dxa"/>
            <w:shd w:val="clear" w:color="auto" w:fill="FFFFFF"/>
            <w:vAlign w:val="center"/>
          </w:tcPr>
          <w:p w14:paraId="07FA30D7">
            <w:pPr>
              <w:spacing w:line="240" w:lineRule="auto"/>
              <w:jc w:val="center"/>
              <w:rPr>
                <w:sz w:val="21"/>
                <w:szCs w:val="21"/>
              </w:rPr>
            </w:pPr>
            <w:r>
              <w:rPr>
                <w:rFonts w:hint="eastAsia"/>
                <w:sz w:val="21"/>
                <w:szCs w:val="21"/>
              </w:rPr>
              <w:t>0.0000539L</w:t>
            </w:r>
          </w:p>
        </w:tc>
        <w:tc>
          <w:tcPr>
            <w:tcW w:w="1843" w:type="dxa"/>
            <w:gridSpan w:val="2"/>
            <w:shd w:val="solid" w:color="FFFFFF" w:fill="auto"/>
            <w:vAlign w:val="center"/>
          </w:tcPr>
          <w:p w14:paraId="1C666984">
            <w:pPr>
              <w:spacing w:line="240" w:lineRule="auto"/>
              <w:jc w:val="center"/>
              <w:rPr>
                <w:rFonts w:hint="eastAsia"/>
                <w:sz w:val="21"/>
                <w:szCs w:val="21"/>
              </w:rPr>
            </w:pPr>
            <w:r>
              <w:rPr>
                <w:rFonts w:hint="eastAsia"/>
                <w:sz w:val="21"/>
                <w:szCs w:val="21"/>
              </w:rPr>
              <w:t>0.05</w:t>
            </w:r>
          </w:p>
        </w:tc>
        <w:tc>
          <w:tcPr>
            <w:tcW w:w="1122" w:type="dxa"/>
            <w:vAlign w:val="center"/>
          </w:tcPr>
          <w:p w14:paraId="4B181E43">
            <w:pPr>
              <w:spacing w:line="240" w:lineRule="auto"/>
              <w:jc w:val="center"/>
              <w:rPr>
                <w:rFonts w:hint="eastAsia"/>
                <w:sz w:val="21"/>
                <w:szCs w:val="21"/>
              </w:rPr>
            </w:pPr>
            <w:r>
              <w:rPr>
                <w:rFonts w:hint="eastAsia"/>
                <w:sz w:val="21"/>
                <w:szCs w:val="21"/>
              </w:rPr>
              <w:t>0</w:t>
            </w:r>
          </w:p>
        </w:tc>
        <w:tc>
          <w:tcPr>
            <w:tcW w:w="1111" w:type="dxa"/>
            <w:vAlign w:val="center"/>
          </w:tcPr>
          <w:p w14:paraId="4ED0508C">
            <w:pPr>
              <w:spacing w:line="240" w:lineRule="auto"/>
              <w:jc w:val="center"/>
              <w:rPr>
                <w:rFonts w:hint="eastAsia"/>
                <w:sz w:val="21"/>
                <w:szCs w:val="21"/>
              </w:rPr>
            </w:pPr>
            <w:r>
              <w:rPr>
                <w:rFonts w:hint="eastAsia"/>
                <w:sz w:val="21"/>
                <w:szCs w:val="21"/>
              </w:rPr>
              <w:t>达标</w:t>
            </w:r>
          </w:p>
        </w:tc>
      </w:tr>
      <w:tr w14:paraId="0C41F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2658A19D">
            <w:pPr>
              <w:spacing w:line="240" w:lineRule="auto"/>
              <w:jc w:val="center"/>
              <w:rPr>
                <w:rFonts w:hint="eastAsia"/>
                <w:sz w:val="21"/>
                <w:szCs w:val="21"/>
              </w:rPr>
            </w:pPr>
          </w:p>
        </w:tc>
        <w:tc>
          <w:tcPr>
            <w:tcW w:w="2252" w:type="dxa"/>
            <w:shd w:val="clear" w:color="auto" w:fill="auto"/>
            <w:vAlign w:val="center"/>
          </w:tcPr>
          <w:p w14:paraId="097ED1A7">
            <w:pPr>
              <w:spacing w:line="240" w:lineRule="auto"/>
              <w:jc w:val="center"/>
              <w:rPr>
                <w:rFonts w:hint="eastAsia"/>
                <w:sz w:val="21"/>
                <w:szCs w:val="21"/>
              </w:rPr>
            </w:pPr>
            <w:r>
              <w:rPr>
                <w:rFonts w:hint="eastAsia"/>
                <w:sz w:val="21"/>
                <w:szCs w:val="21"/>
              </w:rPr>
              <w:t>硝基苯</w:t>
            </w:r>
          </w:p>
        </w:tc>
        <w:tc>
          <w:tcPr>
            <w:tcW w:w="1271" w:type="dxa"/>
            <w:shd w:val="clear" w:color="auto" w:fill="FFFFFF"/>
            <w:vAlign w:val="center"/>
          </w:tcPr>
          <w:p w14:paraId="73FD7BF8">
            <w:pPr>
              <w:spacing w:line="240" w:lineRule="auto"/>
              <w:jc w:val="center"/>
              <w:rPr>
                <w:sz w:val="21"/>
                <w:szCs w:val="21"/>
              </w:rPr>
            </w:pPr>
            <w:r>
              <w:rPr>
                <w:rFonts w:hint="eastAsia"/>
                <w:sz w:val="21"/>
                <w:szCs w:val="21"/>
              </w:rPr>
              <w:t>0.0000183L</w:t>
            </w:r>
          </w:p>
        </w:tc>
        <w:tc>
          <w:tcPr>
            <w:tcW w:w="1843" w:type="dxa"/>
            <w:gridSpan w:val="2"/>
            <w:shd w:val="solid" w:color="FFFFFF" w:fill="auto"/>
            <w:vAlign w:val="center"/>
          </w:tcPr>
          <w:p w14:paraId="59426A62">
            <w:pPr>
              <w:spacing w:line="240" w:lineRule="auto"/>
              <w:jc w:val="center"/>
              <w:rPr>
                <w:rFonts w:hint="eastAsia"/>
                <w:sz w:val="21"/>
                <w:szCs w:val="21"/>
              </w:rPr>
            </w:pPr>
            <w:r>
              <w:rPr>
                <w:rFonts w:hint="eastAsia"/>
                <w:sz w:val="21"/>
                <w:szCs w:val="21"/>
              </w:rPr>
              <w:t>0.017</w:t>
            </w:r>
          </w:p>
        </w:tc>
        <w:tc>
          <w:tcPr>
            <w:tcW w:w="1122" w:type="dxa"/>
            <w:vAlign w:val="center"/>
          </w:tcPr>
          <w:p w14:paraId="522FE825">
            <w:pPr>
              <w:spacing w:line="240" w:lineRule="auto"/>
              <w:jc w:val="center"/>
              <w:rPr>
                <w:rFonts w:hint="eastAsia"/>
                <w:sz w:val="21"/>
                <w:szCs w:val="21"/>
              </w:rPr>
            </w:pPr>
            <w:r>
              <w:rPr>
                <w:rFonts w:hint="eastAsia"/>
                <w:sz w:val="21"/>
                <w:szCs w:val="21"/>
              </w:rPr>
              <w:t>0</w:t>
            </w:r>
          </w:p>
        </w:tc>
        <w:tc>
          <w:tcPr>
            <w:tcW w:w="1111" w:type="dxa"/>
            <w:vAlign w:val="center"/>
          </w:tcPr>
          <w:p w14:paraId="0EB5932C">
            <w:pPr>
              <w:spacing w:line="240" w:lineRule="auto"/>
              <w:jc w:val="center"/>
              <w:rPr>
                <w:rFonts w:hint="eastAsia"/>
                <w:sz w:val="21"/>
                <w:szCs w:val="21"/>
              </w:rPr>
            </w:pPr>
            <w:r>
              <w:rPr>
                <w:rFonts w:hint="eastAsia"/>
                <w:sz w:val="21"/>
                <w:szCs w:val="21"/>
              </w:rPr>
              <w:t>达标</w:t>
            </w:r>
          </w:p>
        </w:tc>
      </w:tr>
      <w:tr w14:paraId="50E57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BF13BAE">
            <w:pPr>
              <w:spacing w:line="240" w:lineRule="auto"/>
              <w:jc w:val="center"/>
              <w:rPr>
                <w:rFonts w:hint="eastAsia"/>
                <w:sz w:val="21"/>
                <w:szCs w:val="21"/>
              </w:rPr>
            </w:pPr>
          </w:p>
        </w:tc>
        <w:tc>
          <w:tcPr>
            <w:tcW w:w="2252" w:type="dxa"/>
            <w:shd w:val="clear" w:color="auto" w:fill="auto"/>
            <w:vAlign w:val="center"/>
          </w:tcPr>
          <w:p w14:paraId="643551B8">
            <w:pPr>
              <w:spacing w:line="240" w:lineRule="auto"/>
              <w:jc w:val="center"/>
              <w:rPr>
                <w:rFonts w:hint="eastAsia"/>
                <w:sz w:val="21"/>
                <w:szCs w:val="21"/>
              </w:rPr>
            </w:pPr>
            <w:r>
              <w:rPr>
                <w:rFonts w:hint="eastAsia"/>
                <w:sz w:val="21"/>
                <w:szCs w:val="21"/>
              </w:rPr>
              <w:t>二硝基苯④</w:t>
            </w:r>
          </w:p>
        </w:tc>
        <w:tc>
          <w:tcPr>
            <w:tcW w:w="1271" w:type="dxa"/>
            <w:shd w:val="clear" w:color="auto" w:fill="FFFFFF"/>
            <w:vAlign w:val="center"/>
          </w:tcPr>
          <w:p w14:paraId="2580F537">
            <w:pPr>
              <w:spacing w:line="240" w:lineRule="auto"/>
              <w:jc w:val="center"/>
              <w:rPr>
                <w:sz w:val="21"/>
                <w:szCs w:val="21"/>
              </w:rPr>
            </w:pPr>
            <w:r>
              <w:rPr>
                <w:rFonts w:hint="eastAsia"/>
                <w:sz w:val="21"/>
                <w:szCs w:val="21"/>
              </w:rPr>
              <w:t>0.000069L</w:t>
            </w:r>
          </w:p>
        </w:tc>
        <w:tc>
          <w:tcPr>
            <w:tcW w:w="1843" w:type="dxa"/>
            <w:gridSpan w:val="2"/>
            <w:shd w:val="solid" w:color="FFFFFF" w:fill="auto"/>
            <w:vAlign w:val="center"/>
          </w:tcPr>
          <w:p w14:paraId="0ADE319E">
            <w:pPr>
              <w:spacing w:line="240" w:lineRule="auto"/>
              <w:jc w:val="center"/>
              <w:rPr>
                <w:rFonts w:hint="eastAsia"/>
                <w:sz w:val="21"/>
                <w:szCs w:val="21"/>
              </w:rPr>
            </w:pPr>
            <w:r>
              <w:rPr>
                <w:rFonts w:hint="eastAsia"/>
                <w:sz w:val="21"/>
                <w:szCs w:val="21"/>
              </w:rPr>
              <w:t>0.5</w:t>
            </w:r>
          </w:p>
        </w:tc>
        <w:tc>
          <w:tcPr>
            <w:tcW w:w="1122" w:type="dxa"/>
            <w:vAlign w:val="center"/>
          </w:tcPr>
          <w:p w14:paraId="75A1DACE">
            <w:pPr>
              <w:spacing w:line="240" w:lineRule="auto"/>
              <w:jc w:val="center"/>
              <w:rPr>
                <w:rFonts w:hint="eastAsia"/>
                <w:sz w:val="21"/>
                <w:szCs w:val="21"/>
              </w:rPr>
            </w:pPr>
            <w:r>
              <w:rPr>
                <w:rFonts w:hint="eastAsia"/>
                <w:sz w:val="21"/>
                <w:szCs w:val="21"/>
              </w:rPr>
              <w:t>0</w:t>
            </w:r>
          </w:p>
        </w:tc>
        <w:tc>
          <w:tcPr>
            <w:tcW w:w="1111" w:type="dxa"/>
            <w:vAlign w:val="center"/>
          </w:tcPr>
          <w:p w14:paraId="6FACCA8A">
            <w:pPr>
              <w:spacing w:line="240" w:lineRule="auto"/>
              <w:jc w:val="center"/>
              <w:rPr>
                <w:rFonts w:hint="eastAsia"/>
                <w:sz w:val="21"/>
                <w:szCs w:val="21"/>
              </w:rPr>
            </w:pPr>
            <w:r>
              <w:rPr>
                <w:rFonts w:hint="eastAsia"/>
                <w:sz w:val="21"/>
                <w:szCs w:val="21"/>
              </w:rPr>
              <w:t>达标</w:t>
            </w:r>
          </w:p>
        </w:tc>
      </w:tr>
      <w:tr w14:paraId="34164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BC7E3E3">
            <w:pPr>
              <w:spacing w:line="240" w:lineRule="auto"/>
              <w:jc w:val="center"/>
              <w:rPr>
                <w:rFonts w:hint="eastAsia"/>
                <w:sz w:val="21"/>
                <w:szCs w:val="21"/>
              </w:rPr>
            </w:pPr>
          </w:p>
        </w:tc>
        <w:tc>
          <w:tcPr>
            <w:tcW w:w="2252" w:type="dxa"/>
            <w:shd w:val="clear" w:color="auto" w:fill="auto"/>
            <w:vAlign w:val="center"/>
          </w:tcPr>
          <w:p w14:paraId="6E87FC7F">
            <w:pPr>
              <w:spacing w:line="240" w:lineRule="auto"/>
              <w:jc w:val="center"/>
              <w:rPr>
                <w:rFonts w:hint="eastAsia"/>
                <w:sz w:val="21"/>
                <w:szCs w:val="21"/>
              </w:rPr>
            </w:pPr>
            <w:r>
              <w:rPr>
                <w:rFonts w:hint="eastAsia"/>
                <w:sz w:val="21"/>
                <w:szCs w:val="21"/>
              </w:rPr>
              <w:t>2，4—二硝基甲苯</w:t>
            </w:r>
          </w:p>
        </w:tc>
        <w:tc>
          <w:tcPr>
            <w:tcW w:w="1271" w:type="dxa"/>
            <w:shd w:val="clear" w:color="auto" w:fill="FFFFFF"/>
            <w:vAlign w:val="center"/>
          </w:tcPr>
          <w:p w14:paraId="1A4501FB">
            <w:pPr>
              <w:spacing w:line="240" w:lineRule="auto"/>
              <w:jc w:val="center"/>
              <w:rPr>
                <w:sz w:val="21"/>
                <w:szCs w:val="21"/>
              </w:rPr>
            </w:pPr>
            <w:r>
              <w:rPr>
                <w:rFonts w:hint="eastAsia"/>
                <w:sz w:val="21"/>
                <w:szCs w:val="21"/>
              </w:rPr>
              <w:t>0.0000386L</w:t>
            </w:r>
          </w:p>
        </w:tc>
        <w:tc>
          <w:tcPr>
            <w:tcW w:w="1843" w:type="dxa"/>
            <w:gridSpan w:val="2"/>
            <w:shd w:val="solid" w:color="FFFFFF" w:fill="auto"/>
            <w:vAlign w:val="center"/>
          </w:tcPr>
          <w:p w14:paraId="1F3E6977">
            <w:pPr>
              <w:spacing w:line="240" w:lineRule="auto"/>
              <w:jc w:val="center"/>
              <w:rPr>
                <w:rFonts w:hint="eastAsia"/>
                <w:sz w:val="21"/>
                <w:szCs w:val="21"/>
              </w:rPr>
            </w:pPr>
            <w:r>
              <w:rPr>
                <w:rFonts w:hint="eastAsia"/>
                <w:sz w:val="21"/>
                <w:szCs w:val="21"/>
              </w:rPr>
              <w:t>0.0003</w:t>
            </w:r>
          </w:p>
        </w:tc>
        <w:tc>
          <w:tcPr>
            <w:tcW w:w="1122" w:type="dxa"/>
            <w:vAlign w:val="center"/>
          </w:tcPr>
          <w:p w14:paraId="5E7F0298">
            <w:pPr>
              <w:spacing w:line="240" w:lineRule="auto"/>
              <w:jc w:val="center"/>
              <w:rPr>
                <w:rFonts w:hint="eastAsia"/>
                <w:sz w:val="21"/>
                <w:szCs w:val="21"/>
              </w:rPr>
            </w:pPr>
            <w:r>
              <w:rPr>
                <w:rFonts w:hint="eastAsia"/>
                <w:sz w:val="21"/>
                <w:szCs w:val="21"/>
              </w:rPr>
              <w:t>0</w:t>
            </w:r>
          </w:p>
        </w:tc>
        <w:tc>
          <w:tcPr>
            <w:tcW w:w="1111" w:type="dxa"/>
            <w:vAlign w:val="center"/>
          </w:tcPr>
          <w:p w14:paraId="72CBF3AC">
            <w:pPr>
              <w:spacing w:line="240" w:lineRule="auto"/>
              <w:jc w:val="center"/>
              <w:rPr>
                <w:rFonts w:hint="eastAsia"/>
                <w:sz w:val="21"/>
                <w:szCs w:val="21"/>
              </w:rPr>
            </w:pPr>
            <w:r>
              <w:rPr>
                <w:rFonts w:hint="eastAsia"/>
                <w:sz w:val="21"/>
                <w:szCs w:val="21"/>
              </w:rPr>
              <w:t>达标</w:t>
            </w:r>
          </w:p>
        </w:tc>
      </w:tr>
      <w:tr w14:paraId="35777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27DCD18">
            <w:pPr>
              <w:spacing w:line="240" w:lineRule="auto"/>
              <w:jc w:val="center"/>
              <w:rPr>
                <w:rFonts w:hint="eastAsia"/>
                <w:sz w:val="21"/>
                <w:szCs w:val="21"/>
              </w:rPr>
            </w:pPr>
          </w:p>
        </w:tc>
        <w:tc>
          <w:tcPr>
            <w:tcW w:w="2252" w:type="dxa"/>
            <w:shd w:val="clear" w:color="auto" w:fill="auto"/>
            <w:vAlign w:val="center"/>
          </w:tcPr>
          <w:p w14:paraId="3036E576">
            <w:pPr>
              <w:spacing w:line="240" w:lineRule="auto"/>
              <w:jc w:val="center"/>
              <w:rPr>
                <w:rFonts w:hint="eastAsia"/>
                <w:sz w:val="21"/>
                <w:szCs w:val="21"/>
              </w:rPr>
            </w:pPr>
            <w:r>
              <w:rPr>
                <w:rFonts w:hint="eastAsia"/>
                <w:sz w:val="21"/>
                <w:szCs w:val="21"/>
              </w:rPr>
              <w:t>2，4，6—三硝基甲苯</w:t>
            </w:r>
          </w:p>
        </w:tc>
        <w:tc>
          <w:tcPr>
            <w:tcW w:w="1271" w:type="dxa"/>
            <w:shd w:val="clear" w:color="auto" w:fill="FFFFFF"/>
            <w:vAlign w:val="center"/>
          </w:tcPr>
          <w:p w14:paraId="6EDBE715">
            <w:pPr>
              <w:spacing w:line="240" w:lineRule="auto"/>
              <w:jc w:val="center"/>
              <w:rPr>
                <w:sz w:val="21"/>
                <w:szCs w:val="21"/>
              </w:rPr>
            </w:pPr>
            <w:r>
              <w:rPr>
                <w:rFonts w:hint="eastAsia"/>
                <w:sz w:val="21"/>
                <w:szCs w:val="21"/>
              </w:rPr>
              <w:t>0.0000465L</w:t>
            </w:r>
          </w:p>
        </w:tc>
        <w:tc>
          <w:tcPr>
            <w:tcW w:w="1843" w:type="dxa"/>
            <w:gridSpan w:val="2"/>
            <w:shd w:val="solid" w:color="FFFFFF" w:fill="auto"/>
            <w:vAlign w:val="center"/>
          </w:tcPr>
          <w:p w14:paraId="30B62BBF">
            <w:pPr>
              <w:spacing w:line="240" w:lineRule="auto"/>
              <w:jc w:val="center"/>
              <w:rPr>
                <w:rFonts w:hint="eastAsia"/>
                <w:sz w:val="21"/>
                <w:szCs w:val="21"/>
              </w:rPr>
            </w:pPr>
            <w:r>
              <w:rPr>
                <w:rFonts w:hint="eastAsia"/>
                <w:sz w:val="21"/>
                <w:szCs w:val="21"/>
              </w:rPr>
              <w:t>0.5</w:t>
            </w:r>
          </w:p>
        </w:tc>
        <w:tc>
          <w:tcPr>
            <w:tcW w:w="1122" w:type="dxa"/>
            <w:vAlign w:val="center"/>
          </w:tcPr>
          <w:p w14:paraId="5A69FDD6">
            <w:pPr>
              <w:spacing w:line="240" w:lineRule="auto"/>
              <w:jc w:val="center"/>
              <w:rPr>
                <w:rFonts w:hint="eastAsia"/>
                <w:sz w:val="21"/>
                <w:szCs w:val="21"/>
              </w:rPr>
            </w:pPr>
            <w:r>
              <w:rPr>
                <w:rFonts w:hint="eastAsia"/>
                <w:sz w:val="21"/>
                <w:szCs w:val="21"/>
              </w:rPr>
              <w:t>0</w:t>
            </w:r>
          </w:p>
        </w:tc>
        <w:tc>
          <w:tcPr>
            <w:tcW w:w="1111" w:type="dxa"/>
            <w:vAlign w:val="center"/>
          </w:tcPr>
          <w:p w14:paraId="07AE9561">
            <w:pPr>
              <w:spacing w:line="240" w:lineRule="auto"/>
              <w:jc w:val="center"/>
              <w:rPr>
                <w:rFonts w:hint="eastAsia"/>
                <w:sz w:val="21"/>
                <w:szCs w:val="21"/>
              </w:rPr>
            </w:pPr>
            <w:r>
              <w:rPr>
                <w:rFonts w:hint="eastAsia"/>
                <w:sz w:val="21"/>
                <w:szCs w:val="21"/>
              </w:rPr>
              <w:t>达标</w:t>
            </w:r>
          </w:p>
        </w:tc>
      </w:tr>
      <w:tr w14:paraId="44136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54443C5">
            <w:pPr>
              <w:spacing w:line="240" w:lineRule="auto"/>
              <w:jc w:val="center"/>
              <w:rPr>
                <w:rFonts w:hint="eastAsia"/>
                <w:sz w:val="21"/>
                <w:szCs w:val="21"/>
              </w:rPr>
            </w:pPr>
          </w:p>
        </w:tc>
        <w:tc>
          <w:tcPr>
            <w:tcW w:w="2252" w:type="dxa"/>
            <w:shd w:val="clear" w:color="auto" w:fill="auto"/>
            <w:vAlign w:val="center"/>
          </w:tcPr>
          <w:p w14:paraId="4ED0C076">
            <w:pPr>
              <w:spacing w:line="240" w:lineRule="auto"/>
              <w:jc w:val="center"/>
              <w:rPr>
                <w:rFonts w:hint="eastAsia"/>
                <w:sz w:val="21"/>
                <w:szCs w:val="21"/>
              </w:rPr>
            </w:pPr>
            <w:r>
              <w:rPr>
                <w:rFonts w:hint="eastAsia"/>
                <w:sz w:val="21"/>
                <w:szCs w:val="21"/>
              </w:rPr>
              <w:t>硝基氯苯⑤</w:t>
            </w:r>
          </w:p>
        </w:tc>
        <w:tc>
          <w:tcPr>
            <w:tcW w:w="1271" w:type="dxa"/>
            <w:shd w:val="clear" w:color="auto" w:fill="FFFFFF"/>
            <w:vAlign w:val="center"/>
          </w:tcPr>
          <w:p w14:paraId="437513F1">
            <w:pPr>
              <w:spacing w:line="240" w:lineRule="auto"/>
              <w:jc w:val="center"/>
              <w:rPr>
                <w:sz w:val="21"/>
                <w:szCs w:val="21"/>
              </w:rPr>
            </w:pPr>
            <w:r>
              <w:rPr>
                <w:rFonts w:hint="eastAsia"/>
                <w:sz w:val="21"/>
                <w:szCs w:val="21"/>
              </w:rPr>
              <w:t>0.0000716L</w:t>
            </w:r>
          </w:p>
        </w:tc>
        <w:tc>
          <w:tcPr>
            <w:tcW w:w="1843" w:type="dxa"/>
            <w:gridSpan w:val="2"/>
            <w:shd w:val="solid" w:color="FFFFFF" w:fill="auto"/>
            <w:vAlign w:val="center"/>
          </w:tcPr>
          <w:p w14:paraId="7C6F49D6">
            <w:pPr>
              <w:spacing w:line="240" w:lineRule="auto"/>
              <w:jc w:val="center"/>
              <w:rPr>
                <w:rFonts w:hint="eastAsia"/>
                <w:sz w:val="21"/>
                <w:szCs w:val="21"/>
              </w:rPr>
            </w:pPr>
            <w:r>
              <w:rPr>
                <w:rFonts w:hint="eastAsia"/>
                <w:sz w:val="21"/>
                <w:szCs w:val="21"/>
              </w:rPr>
              <w:t>0.05</w:t>
            </w:r>
          </w:p>
        </w:tc>
        <w:tc>
          <w:tcPr>
            <w:tcW w:w="1122" w:type="dxa"/>
            <w:vAlign w:val="center"/>
          </w:tcPr>
          <w:p w14:paraId="0DA955A2">
            <w:pPr>
              <w:spacing w:line="240" w:lineRule="auto"/>
              <w:jc w:val="center"/>
              <w:rPr>
                <w:rFonts w:hint="eastAsia"/>
                <w:sz w:val="21"/>
                <w:szCs w:val="21"/>
              </w:rPr>
            </w:pPr>
            <w:r>
              <w:rPr>
                <w:rFonts w:hint="eastAsia"/>
                <w:sz w:val="21"/>
                <w:szCs w:val="21"/>
              </w:rPr>
              <w:t>0</w:t>
            </w:r>
          </w:p>
        </w:tc>
        <w:tc>
          <w:tcPr>
            <w:tcW w:w="1111" w:type="dxa"/>
            <w:vAlign w:val="center"/>
          </w:tcPr>
          <w:p w14:paraId="7CCD9CD8">
            <w:pPr>
              <w:spacing w:line="240" w:lineRule="auto"/>
              <w:jc w:val="center"/>
              <w:rPr>
                <w:rFonts w:hint="eastAsia"/>
                <w:sz w:val="21"/>
                <w:szCs w:val="21"/>
              </w:rPr>
            </w:pPr>
            <w:r>
              <w:rPr>
                <w:rFonts w:hint="eastAsia"/>
                <w:sz w:val="21"/>
                <w:szCs w:val="21"/>
              </w:rPr>
              <w:t>达标</w:t>
            </w:r>
          </w:p>
        </w:tc>
      </w:tr>
      <w:tr w14:paraId="604EA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A0FE3D6">
            <w:pPr>
              <w:spacing w:line="240" w:lineRule="auto"/>
              <w:jc w:val="center"/>
              <w:rPr>
                <w:rFonts w:hint="eastAsia"/>
                <w:sz w:val="21"/>
                <w:szCs w:val="21"/>
              </w:rPr>
            </w:pPr>
          </w:p>
        </w:tc>
        <w:tc>
          <w:tcPr>
            <w:tcW w:w="2252" w:type="dxa"/>
            <w:shd w:val="clear" w:color="auto" w:fill="auto"/>
            <w:vAlign w:val="center"/>
          </w:tcPr>
          <w:p w14:paraId="2754E483">
            <w:pPr>
              <w:spacing w:line="240" w:lineRule="auto"/>
              <w:jc w:val="center"/>
              <w:rPr>
                <w:rFonts w:hint="eastAsia"/>
                <w:sz w:val="21"/>
                <w:szCs w:val="21"/>
              </w:rPr>
            </w:pPr>
            <w:r>
              <w:rPr>
                <w:rFonts w:hint="eastAsia"/>
                <w:sz w:val="21"/>
                <w:szCs w:val="21"/>
              </w:rPr>
              <w:t>2，4—二硝基氯苯</w:t>
            </w:r>
          </w:p>
        </w:tc>
        <w:tc>
          <w:tcPr>
            <w:tcW w:w="1271" w:type="dxa"/>
            <w:shd w:val="clear" w:color="auto" w:fill="FFFFFF"/>
            <w:vAlign w:val="center"/>
          </w:tcPr>
          <w:p w14:paraId="1F83A758">
            <w:pPr>
              <w:spacing w:line="240" w:lineRule="auto"/>
              <w:jc w:val="center"/>
              <w:rPr>
                <w:sz w:val="21"/>
                <w:szCs w:val="21"/>
              </w:rPr>
            </w:pPr>
            <w:r>
              <w:rPr>
                <w:sz w:val="21"/>
                <w:szCs w:val="21"/>
              </w:rPr>
              <w:t>0.000</w:t>
            </w:r>
            <w:r>
              <w:rPr>
                <w:rFonts w:hint="eastAsia"/>
                <w:sz w:val="21"/>
                <w:szCs w:val="21"/>
              </w:rPr>
              <w:t>03</w:t>
            </w:r>
            <w:r>
              <w:rPr>
                <w:sz w:val="21"/>
                <w:szCs w:val="21"/>
              </w:rPr>
              <w:t>L</w:t>
            </w:r>
          </w:p>
        </w:tc>
        <w:tc>
          <w:tcPr>
            <w:tcW w:w="1843" w:type="dxa"/>
            <w:gridSpan w:val="2"/>
            <w:shd w:val="solid" w:color="FFFFFF" w:fill="auto"/>
            <w:vAlign w:val="center"/>
          </w:tcPr>
          <w:p w14:paraId="3CFDCE0E">
            <w:pPr>
              <w:spacing w:line="240" w:lineRule="auto"/>
              <w:jc w:val="center"/>
              <w:rPr>
                <w:rFonts w:hint="eastAsia"/>
                <w:sz w:val="21"/>
                <w:szCs w:val="21"/>
              </w:rPr>
            </w:pPr>
            <w:r>
              <w:rPr>
                <w:rFonts w:hint="eastAsia"/>
                <w:sz w:val="21"/>
                <w:szCs w:val="21"/>
              </w:rPr>
              <w:t>0.5</w:t>
            </w:r>
          </w:p>
        </w:tc>
        <w:tc>
          <w:tcPr>
            <w:tcW w:w="1122" w:type="dxa"/>
            <w:vAlign w:val="center"/>
          </w:tcPr>
          <w:p w14:paraId="307F815C">
            <w:pPr>
              <w:spacing w:line="240" w:lineRule="auto"/>
              <w:jc w:val="center"/>
              <w:rPr>
                <w:rFonts w:hint="eastAsia"/>
                <w:sz w:val="21"/>
                <w:szCs w:val="21"/>
              </w:rPr>
            </w:pPr>
            <w:r>
              <w:rPr>
                <w:rFonts w:hint="eastAsia"/>
                <w:sz w:val="21"/>
                <w:szCs w:val="21"/>
              </w:rPr>
              <w:t>0</w:t>
            </w:r>
          </w:p>
        </w:tc>
        <w:tc>
          <w:tcPr>
            <w:tcW w:w="1111" w:type="dxa"/>
            <w:vAlign w:val="center"/>
          </w:tcPr>
          <w:p w14:paraId="54172377">
            <w:pPr>
              <w:spacing w:line="240" w:lineRule="auto"/>
              <w:jc w:val="center"/>
              <w:rPr>
                <w:rFonts w:hint="eastAsia"/>
                <w:sz w:val="21"/>
                <w:szCs w:val="21"/>
              </w:rPr>
            </w:pPr>
            <w:r>
              <w:rPr>
                <w:rFonts w:hint="eastAsia"/>
                <w:sz w:val="21"/>
                <w:szCs w:val="21"/>
              </w:rPr>
              <w:t>达标</w:t>
            </w:r>
          </w:p>
        </w:tc>
      </w:tr>
      <w:tr w14:paraId="7D7F5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C7B32C2">
            <w:pPr>
              <w:spacing w:line="240" w:lineRule="auto"/>
              <w:jc w:val="center"/>
              <w:rPr>
                <w:rFonts w:hint="eastAsia"/>
                <w:sz w:val="21"/>
                <w:szCs w:val="21"/>
              </w:rPr>
            </w:pPr>
          </w:p>
        </w:tc>
        <w:tc>
          <w:tcPr>
            <w:tcW w:w="2252" w:type="dxa"/>
            <w:shd w:val="clear" w:color="auto" w:fill="auto"/>
            <w:vAlign w:val="center"/>
          </w:tcPr>
          <w:p w14:paraId="122D6AD0">
            <w:pPr>
              <w:spacing w:line="240" w:lineRule="auto"/>
              <w:jc w:val="center"/>
              <w:rPr>
                <w:rFonts w:hint="eastAsia"/>
                <w:sz w:val="21"/>
                <w:szCs w:val="21"/>
              </w:rPr>
            </w:pPr>
            <w:r>
              <w:rPr>
                <w:rFonts w:hint="eastAsia"/>
                <w:sz w:val="21"/>
                <w:szCs w:val="21"/>
              </w:rPr>
              <w:t>2，4—二氯苯酚</w:t>
            </w:r>
          </w:p>
        </w:tc>
        <w:tc>
          <w:tcPr>
            <w:tcW w:w="1271" w:type="dxa"/>
            <w:shd w:val="clear" w:color="auto" w:fill="FFFFFF"/>
            <w:vAlign w:val="center"/>
          </w:tcPr>
          <w:p w14:paraId="62AD33D7">
            <w:pPr>
              <w:spacing w:line="240" w:lineRule="auto"/>
              <w:jc w:val="center"/>
              <w:rPr>
                <w:sz w:val="21"/>
                <w:szCs w:val="21"/>
              </w:rPr>
            </w:pPr>
            <w:r>
              <w:rPr>
                <w:rFonts w:hint="eastAsia"/>
                <w:sz w:val="21"/>
                <w:szCs w:val="21"/>
              </w:rPr>
              <w:t>0.0000105L</w:t>
            </w:r>
          </w:p>
        </w:tc>
        <w:tc>
          <w:tcPr>
            <w:tcW w:w="1843" w:type="dxa"/>
            <w:gridSpan w:val="2"/>
            <w:shd w:val="solid" w:color="FFFFFF" w:fill="auto"/>
            <w:vAlign w:val="center"/>
          </w:tcPr>
          <w:p w14:paraId="19EE6E25">
            <w:pPr>
              <w:spacing w:line="240" w:lineRule="auto"/>
              <w:jc w:val="center"/>
              <w:rPr>
                <w:rFonts w:hint="eastAsia"/>
                <w:sz w:val="21"/>
                <w:szCs w:val="21"/>
              </w:rPr>
            </w:pPr>
            <w:r>
              <w:rPr>
                <w:rFonts w:hint="eastAsia"/>
                <w:sz w:val="21"/>
                <w:szCs w:val="21"/>
              </w:rPr>
              <w:t>0.093</w:t>
            </w:r>
          </w:p>
        </w:tc>
        <w:tc>
          <w:tcPr>
            <w:tcW w:w="1122" w:type="dxa"/>
            <w:vAlign w:val="center"/>
          </w:tcPr>
          <w:p w14:paraId="50A45D45">
            <w:pPr>
              <w:spacing w:line="240" w:lineRule="auto"/>
              <w:jc w:val="center"/>
              <w:rPr>
                <w:rFonts w:hint="eastAsia"/>
                <w:sz w:val="21"/>
                <w:szCs w:val="21"/>
              </w:rPr>
            </w:pPr>
            <w:r>
              <w:rPr>
                <w:rFonts w:hint="eastAsia"/>
                <w:sz w:val="21"/>
                <w:szCs w:val="21"/>
              </w:rPr>
              <w:t>0</w:t>
            </w:r>
          </w:p>
        </w:tc>
        <w:tc>
          <w:tcPr>
            <w:tcW w:w="1111" w:type="dxa"/>
            <w:vAlign w:val="center"/>
          </w:tcPr>
          <w:p w14:paraId="4F058511">
            <w:pPr>
              <w:spacing w:line="240" w:lineRule="auto"/>
              <w:jc w:val="center"/>
              <w:rPr>
                <w:rFonts w:hint="eastAsia"/>
                <w:sz w:val="21"/>
                <w:szCs w:val="21"/>
              </w:rPr>
            </w:pPr>
            <w:r>
              <w:rPr>
                <w:rFonts w:hint="eastAsia"/>
                <w:sz w:val="21"/>
                <w:szCs w:val="21"/>
              </w:rPr>
              <w:t>达标</w:t>
            </w:r>
          </w:p>
        </w:tc>
      </w:tr>
      <w:tr w14:paraId="07274C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BB87582">
            <w:pPr>
              <w:spacing w:line="240" w:lineRule="auto"/>
              <w:jc w:val="center"/>
              <w:rPr>
                <w:rFonts w:hint="eastAsia"/>
                <w:sz w:val="21"/>
                <w:szCs w:val="21"/>
              </w:rPr>
            </w:pPr>
          </w:p>
        </w:tc>
        <w:tc>
          <w:tcPr>
            <w:tcW w:w="2252" w:type="dxa"/>
            <w:shd w:val="clear" w:color="auto" w:fill="auto"/>
            <w:vAlign w:val="center"/>
          </w:tcPr>
          <w:p w14:paraId="197FB930">
            <w:pPr>
              <w:spacing w:line="240" w:lineRule="auto"/>
              <w:jc w:val="center"/>
              <w:rPr>
                <w:rFonts w:hint="eastAsia"/>
                <w:sz w:val="21"/>
                <w:szCs w:val="21"/>
              </w:rPr>
            </w:pPr>
            <w:r>
              <w:rPr>
                <w:rFonts w:hint="eastAsia"/>
                <w:sz w:val="21"/>
                <w:szCs w:val="21"/>
              </w:rPr>
              <w:t>2，4，6—三氯苯酚</w:t>
            </w:r>
          </w:p>
        </w:tc>
        <w:tc>
          <w:tcPr>
            <w:tcW w:w="1271" w:type="dxa"/>
            <w:shd w:val="clear" w:color="auto" w:fill="FFFFFF"/>
            <w:vAlign w:val="center"/>
          </w:tcPr>
          <w:p w14:paraId="07103062">
            <w:pPr>
              <w:spacing w:line="240" w:lineRule="auto"/>
              <w:jc w:val="center"/>
              <w:rPr>
                <w:sz w:val="21"/>
                <w:szCs w:val="21"/>
              </w:rPr>
            </w:pPr>
            <w:r>
              <w:rPr>
                <w:rFonts w:hint="eastAsia"/>
                <w:sz w:val="21"/>
                <w:szCs w:val="21"/>
              </w:rPr>
              <w:t>0.0000387L</w:t>
            </w:r>
          </w:p>
        </w:tc>
        <w:tc>
          <w:tcPr>
            <w:tcW w:w="1843" w:type="dxa"/>
            <w:gridSpan w:val="2"/>
            <w:shd w:val="solid" w:color="FFFFFF" w:fill="auto"/>
            <w:vAlign w:val="center"/>
          </w:tcPr>
          <w:p w14:paraId="621C6E5E">
            <w:pPr>
              <w:spacing w:line="240" w:lineRule="auto"/>
              <w:jc w:val="center"/>
              <w:rPr>
                <w:rFonts w:hint="eastAsia"/>
                <w:sz w:val="21"/>
                <w:szCs w:val="21"/>
              </w:rPr>
            </w:pPr>
            <w:r>
              <w:rPr>
                <w:rFonts w:hint="eastAsia"/>
                <w:sz w:val="21"/>
                <w:szCs w:val="21"/>
              </w:rPr>
              <w:t>0.2</w:t>
            </w:r>
          </w:p>
        </w:tc>
        <w:tc>
          <w:tcPr>
            <w:tcW w:w="1122" w:type="dxa"/>
            <w:vAlign w:val="center"/>
          </w:tcPr>
          <w:p w14:paraId="580107F7">
            <w:pPr>
              <w:spacing w:line="240" w:lineRule="auto"/>
              <w:jc w:val="center"/>
              <w:rPr>
                <w:rFonts w:hint="eastAsia"/>
                <w:sz w:val="21"/>
                <w:szCs w:val="21"/>
              </w:rPr>
            </w:pPr>
            <w:r>
              <w:rPr>
                <w:rFonts w:hint="eastAsia"/>
                <w:sz w:val="21"/>
                <w:szCs w:val="21"/>
              </w:rPr>
              <w:t>0</w:t>
            </w:r>
          </w:p>
        </w:tc>
        <w:tc>
          <w:tcPr>
            <w:tcW w:w="1111" w:type="dxa"/>
            <w:vAlign w:val="center"/>
          </w:tcPr>
          <w:p w14:paraId="16E81AFF">
            <w:pPr>
              <w:spacing w:line="240" w:lineRule="auto"/>
              <w:jc w:val="center"/>
              <w:rPr>
                <w:rFonts w:hint="eastAsia"/>
                <w:sz w:val="21"/>
                <w:szCs w:val="21"/>
              </w:rPr>
            </w:pPr>
            <w:r>
              <w:rPr>
                <w:rFonts w:hint="eastAsia"/>
                <w:sz w:val="21"/>
                <w:szCs w:val="21"/>
              </w:rPr>
              <w:t>达标</w:t>
            </w:r>
          </w:p>
        </w:tc>
      </w:tr>
      <w:tr w14:paraId="3E0DCD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3CCEE755">
            <w:pPr>
              <w:spacing w:line="240" w:lineRule="auto"/>
              <w:jc w:val="center"/>
              <w:rPr>
                <w:rFonts w:hint="eastAsia"/>
                <w:sz w:val="21"/>
                <w:szCs w:val="21"/>
              </w:rPr>
            </w:pPr>
          </w:p>
        </w:tc>
        <w:tc>
          <w:tcPr>
            <w:tcW w:w="2252" w:type="dxa"/>
            <w:shd w:val="clear" w:color="auto" w:fill="auto"/>
            <w:vAlign w:val="center"/>
          </w:tcPr>
          <w:p w14:paraId="77B2F788">
            <w:pPr>
              <w:spacing w:line="240" w:lineRule="auto"/>
              <w:jc w:val="center"/>
              <w:rPr>
                <w:rFonts w:hint="eastAsia"/>
                <w:sz w:val="21"/>
                <w:szCs w:val="21"/>
              </w:rPr>
            </w:pPr>
            <w:r>
              <w:rPr>
                <w:rFonts w:hint="eastAsia"/>
                <w:sz w:val="21"/>
                <w:szCs w:val="21"/>
              </w:rPr>
              <w:t>五氯酚</w:t>
            </w:r>
          </w:p>
        </w:tc>
        <w:tc>
          <w:tcPr>
            <w:tcW w:w="1271" w:type="dxa"/>
            <w:shd w:val="clear" w:color="auto" w:fill="FFFFFF"/>
            <w:vAlign w:val="center"/>
          </w:tcPr>
          <w:p w14:paraId="54D3A909">
            <w:pPr>
              <w:spacing w:line="240" w:lineRule="auto"/>
              <w:jc w:val="center"/>
              <w:rPr>
                <w:sz w:val="21"/>
                <w:szCs w:val="21"/>
              </w:rPr>
            </w:pPr>
            <w:r>
              <w:rPr>
                <w:rFonts w:hint="eastAsia"/>
                <w:sz w:val="21"/>
                <w:szCs w:val="21"/>
              </w:rPr>
              <w:t>0.0000304L</w:t>
            </w:r>
          </w:p>
        </w:tc>
        <w:tc>
          <w:tcPr>
            <w:tcW w:w="1843" w:type="dxa"/>
            <w:gridSpan w:val="2"/>
            <w:shd w:val="solid" w:color="FFFFFF" w:fill="auto"/>
            <w:vAlign w:val="center"/>
          </w:tcPr>
          <w:p w14:paraId="6CDBF180">
            <w:pPr>
              <w:spacing w:line="240" w:lineRule="auto"/>
              <w:jc w:val="center"/>
              <w:rPr>
                <w:rFonts w:hint="eastAsia"/>
                <w:sz w:val="21"/>
                <w:szCs w:val="21"/>
              </w:rPr>
            </w:pPr>
            <w:r>
              <w:rPr>
                <w:rFonts w:hint="eastAsia"/>
                <w:sz w:val="21"/>
                <w:szCs w:val="21"/>
              </w:rPr>
              <w:t>0.009</w:t>
            </w:r>
          </w:p>
        </w:tc>
        <w:tc>
          <w:tcPr>
            <w:tcW w:w="1122" w:type="dxa"/>
            <w:vAlign w:val="center"/>
          </w:tcPr>
          <w:p w14:paraId="63302793">
            <w:pPr>
              <w:spacing w:line="240" w:lineRule="auto"/>
              <w:jc w:val="center"/>
              <w:rPr>
                <w:rFonts w:hint="eastAsia"/>
                <w:sz w:val="21"/>
                <w:szCs w:val="21"/>
              </w:rPr>
            </w:pPr>
            <w:r>
              <w:rPr>
                <w:rFonts w:hint="eastAsia"/>
                <w:sz w:val="21"/>
                <w:szCs w:val="21"/>
              </w:rPr>
              <w:t>0</w:t>
            </w:r>
          </w:p>
        </w:tc>
        <w:tc>
          <w:tcPr>
            <w:tcW w:w="1111" w:type="dxa"/>
            <w:vAlign w:val="center"/>
          </w:tcPr>
          <w:p w14:paraId="307A4EDD">
            <w:pPr>
              <w:spacing w:line="240" w:lineRule="auto"/>
              <w:jc w:val="center"/>
              <w:rPr>
                <w:rFonts w:hint="eastAsia"/>
                <w:sz w:val="21"/>
                <w:szCs w:val="21"/>
              </w:rPr>
            </w:pPr>
            <w:r>
              <w:rPr>
                <w:rFonts w:hint="eastAsia"/>
                <w:sz w:val="21"/>
                <w:szCs w:val="21"/>
              </w:rPr>
              <w:t>达标</w:t>
            </w:r>
          </w:p>
        </w:tc>
      </w:tr>
      <w:tr w14:paraId="37E5D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4825352">
            <w:pPr>
              <w:spacing w:line="240" w:lineRule="auto"/>
              <w:jc w:val="center"/>
              <w:rPr>
                <w:rFonts w:hint="eastAsia"/>
                <w:sz w:val="21"/>
                <w:szCs w:val="21"/>
              </w:rPr>
            </w:pPr>
          </w:p>
        </w:tc>
        <w:tc>
          <w:tcPr>
            <w:tcW w:w="2252" w:type="dxa"/>
            <w:shd w:val="clear" w:color="auto" w:fill="auto"/>
            <w:vAlign w:val="center"/>
          </w:tcPr>
          <w:p w14:paraId="4277558D">
            <w:pPr>
              <w:spacing w:line="240" w:lineRule="auto"/>
              <w:jc w:val="center"/>
              <w:rPr>
                <w:rFonts w:hint="eastAsia"/>
                <w:sz w:val="21"/>
                <w:szCs w:val="21"/>
              </w:rPr>
            </w:pPr>
            <w:r>
              <w:rPr>
                <w:rFonts w:hint="eastAsia"/>
                <w:sz w:val="21"/>
                <w:szCs w:val="21"/>
              </w:rPr>
              <w:t>苯胺</w:t>
            </w:r>
          </w:p>
        </w:tc>
        <w:tc>
          <w:tcPr>
            <w:tcW w:w="1271" w:type="dxa"/>
            <w:shd w:val="clear" w:color="auto" w:fill="FFFFFF"/>
            <w:vAlign w:val="center"/>
          </w:tcPr>
          <w:p w14:paraId="2D81EDB4">
            <w:pPr>
              <w:spacing w:line="240" w:lineRule="auto"/>
              <w:jc w:val="center"/>
              <w:rPr>
                <w:sz w:val="21"/>
                <w:szCs w:val="21"/>
              </w:rPr>
            </w:pPr>
            <w:r>
              <w:rPr>
                <w:rFonts w:hint="eastAsia"/>
                <w:sz w:val="21"/>
                <w:szCs w:val="21"/>
              </w:rPr>
              <w:t>0.0000501L</w:t>
            </w:r>
          </w:p>
        </w:tc>
        <w:tc>
          <w:tcPr>
            <w:tcW w:w="1843" w:type="dxa"/>
            <w:gridSpan w:val="2"/>
            <w:shd w:val="solid" w:color="FFFFFF" w:fill="auto"/>
            <w:vAlign w:val="center"/>
          </w:tcPr>
          <w:p w14:paraId="3AF3523B">
            <w:pPr>
              <w:spacing w:line="240" w:lineRule="auto"/>
              <w:jc w:val="center"/>
              <w:rPr>
                <w:rFonts w:hint="eastAsia"/>
                <w:sz w:val="21"/>
                <w:szCs w:val="21"/>
              </w:rPr>
            </w:pPr>
            <w:r>
              <w:rPr>
                <w:rFonts w:hint="eastAsia"/>
                <w:sz w:val="21"/>
                <w:szCs w:val="21"/>
              </w:rPr>
              <w:t>0.1</w:t>
            </w:r>
          </w:p>
        </w:tc>
        <w:tc>
          <w:tcPr>
            <w:tcW w:w="1122" w:type="dxa"/>
            <w:vAlign w:val="center"/>
          </w:tcPr>
          <w:p w14:paraId="40546497">
            <w:pPr>
              <w:spacing w:line="240" w:lineRule="auto"/>
              <w:jc w:val="center"/>
              <w:rPr>
                <w:rFonts w:hint="eastAsia"/>
                <w:sz w:val="21"/>
                <w:szCs w:val="21"/>
              </w:rPr>
            </w:pPr>
            <w:r>
              <w:rPr>
                <w:rFonts w:hint="eastAsia"/>
                <w:sz w:val="21"/>
                <w:szCs w:val="21"/>
              </w:rPr>
              <w:t>0</w:t>
            </w:r>
          </w:p>
        </w:tc>
        <w:tc>
          <w:tcPr>
            <w:tcW w:w="1111" w:type="dxa"/>
            <w:vAlign w:val="center"/>
          </w:tcPr>
          <w:p w14:paraId="5949AA71">
            <w:pPr>
              <w:spacing w:line="240" w:lineRule="auto"/>
              <w:jc w:val="center"/>
              <w:rPr>
                <w:rFonts w:hint="eastAsia"/>
                <w:sz w:val="21"/>
                <w:szCs w:val="21"/>
              </w:rPr>
            </w:pPr>
            <w:r>
              <w:rPr>
                <w:rFonts w:hint="eastAsia"/>
                <w:sz w:val="21"/>
                <w:szCs w:val="21"/>
              </w:rPr>
              <w:t>达标</w:t>
            </w:r>
          </w:p>
        </w:tc>
      </w:tr>
      <w:tr w14:paraId="777DD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B214223">
            <w:pPr>
              <w:spacing w:line="240" w:lineRule="auto"/>
              <w:jc w:val="center"/>
              <w:rPr>
                <w:rFonts w:hint="eastAsia"/>
                <w:sz w:val="21"/>
                <w:szCs w:val="21"/>
              </w:rPr>
            </w:pPr>
          </w:p>
        </w:tc>
        <w:tc>
          <w:tcPr>
            <w:tcW w:w="2252" w:type="dxa"/>
            <w:shd w:val="clear" w:color="auto" w:fill="auto"/>
            <w:vAlign w:val="center"/>
          </w:tcPr>
          <w:p w14:paraId="15FEE0C5">
            <w:pPr>
              <w:spacing w:line="240" w:lineRule="auto"/>
              <w:jc w:val="center"/>
              <w:rPr>
                <w:rFonts w:hint="eastAsia"/>
                <w:sz w:val="21"/>
                <w:szCs w:val="21"/>
              </w:rPr>
            </w:pPr>
            <w:r>
              <w:rPr>
                <w:rFonts w:hint="eastAsia"/>
                <w:sz w:val="21"/>
                <w:szCs w:val="21"/>
              </w:rPr>
              <w:t>联苯胺</w:t>
            </w:r>
          </w:p>
        </w:tc>
        <w:tc>
          <w:tcPr>
            <w:tcW w:w="1271" w:type="dxa"/>
            <w:shd w:val="clear" w:color="auto" w:fill="FFFFFF"/>
            <w:vAlign w:val="center"/>
          </w:tcPr>
          <w:p w14:paraId="33C3EA55">
            <w:pPr>
              <w:spacing w:line="240" w:lineRule="auto"/>
              <w:jc w:val="center"/>
              <w:rPr>
                <w:sz w:val="21"/>
                <w:szCs w:val="21"/>
              </w:rPr>
            </w:pPr>
            <w:r>
              <w:rPr>
                <w:rFonts w:hint="eastAsia"/>
                <w:sz w:val="21"/>
                <w:szCs w:val="21"/>
              </w:rPr>
              <w:t>0.000073L</w:t>
            </w:r>
          </w:p>
        </w:tc>
        <w:tc>
          <w:tcPr>
            <w:tcW w:w="1843" w:type="dxa"/>
            <w:gridSpan w:val="2"/>
            <w:shd w:val="solid" w:color="FFFFFF" w:fill="auto"/>
            <w:vAlign w:val="center"/>
          </w:tcPr>
          <w:p w14:paraId="1A995166">
            <w:pPr>
              <w:spacing w:line="240" w:lineRule="auto"/>
              <w:jc w:val="center"/>
              <w:rPr>
                <w:rFonts w:hint="eastAsia"/>
                <w:sz w:val="21"/>
                <w:szCs w:val="21"/>
              </w:rPr>
            </w:pPr>
            <w:r>
              <w:rPr>
                <w:rFonts w:hint="eastAsia"/>
                <w:sz w:val="21"/>
                <w:szCs w:val="21"/>
              </w:rPr>
              <w:t>0.0002</w:t>
            </w:r>
          </w:p>
        </w:tc>
        <w:tc>
          <w:tcPr>
            <w:tcW w:w="1122" w:type="dxa"/>
            <w:vAlign w:val="center"/>
          </w:tcPr>
          <w:p w14:paraId="29AFA6E3">
            <w:pPr>
              <w:spacing w:line="240" w:lineRule="auto"/>
              <w:jc w:val="center"/>
              <w:rPr>
                <w:rFonts w:hint="eastAsia"/>
                <w:sz w:val="21"/>
                <w:szCs w:val="21"/>
              </w:rPr>
            </w:pPr>
            <w:r>
              <w:rPr>
                <w:rFonts w:hint="eastAsia"/>
                <w:sz w:val="21"/>
                <w:szCs w:val="21"/>
              </w:rPr>
              <w:t>0</w:t>
            </w:r>
          </w:p>
        </w:tc>
        <w:tc>
          <w:tcPr>
            <w:tcW w:w="1111" w:type="dxa"/>
            <w:vAlign w:val="center"/>
          </w:tcPr>
          <w:p w14:paraId="206A8086">
            <w:pPr>
              <w:spacing w:line="240" w:lineRule="auto"/>
              <w:jc w:val="center"/>
              <w:rPr>
                <w:rFonts w:hint="eastAsia"/>
                <w:sz w:val="21"/>
                <w:szCs w:val="21"/>
              </w:rPr>
            </w:pPr>
            <w:r>
              <w:rPr>
                <w:rFonts w:hint="eastAsia"/>
                <w:sz w:val="21"/>
                <w:szCs w:val="21"/>
              </w:rPr>
              <w:t>达标</w:t>
            </w:r>
          </w:p>
        </w:tc>
      </w:tr>
      <w:tr w14:paraId="02F1F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4607608">
            <w:pPr>
              <w:spacing w:line="240" w:lineRule="auto"/>
              <w:jc w:val="center"/>
              <w:rPr>
                <w:rFonts w:hint="eastAsia"/>
                <w:sz w:val="21"/>
                <w:szCs w:val="21"/>
              </w:rPr>
            </w:pPr>
          </w:p>
        </w:tc>
        <w:tc>
          <w:tcPr>
            <w:tcW w:w="2252" w:type="dxa"/>
            <w:shd w:val="clear" w:color="auto" w:fill="auto"/>
            <w:vAlign w:val="center"/>
          </w:tcPr>
          <w:p w14:paraId="1D410877">
            <w:pPr>
              <w:spacing w:line="240" w:lineRule="auto"/>
              <w:jc w:val="center"/>
              <w:rPr>
                <w:rFonts w:hint="eastAsia"/>
                <w:sz w:val="21"/>
                <w:szCs w:val="21"/>
              </w:rPr>
            </w:pPr>
            <w:r>
              <w:rPr>
                <w:rFonts w:hint="eastAsia"/>
                <w:sz w:val="21"/>
                <w:szCs w:val="21"/>
              </w:rPr>
              <w:t>丙烯酰胺</w:t>
            </w:r>
          </w:p>
        </w:tc>
        <w:tc>
          <w:tcPr>
            <w:tcW w:w="1271" w:type="dxa"/>
            <w:shd w:val="clear" w:color="auto" w:fill="FFFFFF"/>
            <w:vAlign w:val="center"/>
          </w:tcPr>
          <w:p w14:paraId="5143C609">
            <w:pPr>
              <w:spacing w:line="240" w:lineRule="auto"/>
              <w:jc w:val="center"/>
              <w:rPr>
                <w:sz w:val="21"/>
                <w:szCs w:val="21"/>
              </w:rPr>
            </w:pPr>
            <w:r>
              <w:rPr>
                <w:rFonts w:hint="eastAsia"/>
                <w:sz w:val="21"/>
                <w:szCs w:val="21"/>
              </w:rPr>
              <w:t>0.00005L</w:t>
            </w:r>
          </w:p>
        </w:tc>
        <w:tc>
          <w:tcPr>
            <w:tcW w:w="1843" w:type="dxa"/>
            <w:gridSpan w:val="2"/>
            <w:shd w:val="solid" w:color="FFFFFF" w:fill="auto"/>
            <w:vAlign w:val="center"/>
          </w:tcPr>
          <w:p w14:paraId="2977FD33">
            <w:pPr>
              <w:spacing w:line="240" w:lineRule="auto"/>
              <w:jc w:val="center"/>
              <w:rPr>
                <w:rFonts w:hint="eastAsia"/>
                <w:sz w:val="21"/>
                <w:szCs w:val="21"/>
              </w:rPr>
            </w:pPr>
            <w:r>
              <w:rPr>
                <w:rFonts w:hint="eastAsia"/>
                <w:sz w:val="21"/>
                <w:szCs w:val="21"/>
              </w:rPr>
              <w:t>0.0005</w:t>
            </w:r>
          </w:p>
        </w:tc>
        <w:tc>
          <w:tcPr>
            <w:tcW w:w="1122" w:type="dxa"/>
            <w:vAlign w:val="center"/>
          </w:tcPr>
          <w:p w14:paraId="2CC89856">
            <w:pPr>
              <w:spacing w:line="240" w:lineRule="auto"/>
              <w:jc w:val="center"/>
              <w:rPr>
                <w:rFonts w:hint="eastAsia"/>
                <w:sz w:val="21"/>
                <w:szCs w:val="21"/>
              </w:rPr>
            </w:pPr>
            <w:r>
              <w:rPr>
                <w:rFonts w:hint="eastAsia"/>
                <w:sz w:val="21"/>
                <w:szCs w:val="21"/>
              </w:rPr>
              <w:t>0</w:t>
            </w:r>
          </w:p>
        </w:tc>
        <w:tc>
          <w:tcPr>
            <w:tcW w:w="1111" w:type="dxa"/>
            <w:vAlign w:val="center"/>
          </w:tcPr>
          <w:p w14:paraId="15D2AC78">
            <w:pPr>
              <w:spacing w:line="240" w:lineRule="auto"/>
              <w:jc w:val="center"/>
              <w:rPr>
                <w:rFonts w:hint="eastAsia"/>
                <w:sz w:val="21"/>
                <w:szCs w:val="21"/>
              </w:rPr>
            </w:pPr>
            <w:r>
              <w:rPr>
                <w:rFonts w:hint="eastAsia"/>
                <w:sz w:val="21"/>
                <w:szCs w:val="21"/>
              </w:rPr>
              <w:t>达标</w:t>
            </w:r>
          </w:p>
        </w:tc>
      </w:tr>
      <w:tr w14:paraId="62310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14475E3">
            <w:pPr>
              <w:spacing w:line="240" w:lineRule="auto"/>
              <w:jc w:val="center"/>
              <w:rPr>
                <w:rFonts w:hint="eastAsia"/>
                <w:sz w:val="21"/>
                <w:szCs w:val="21"/>
              </w:rPr>
            </w:pPr>
          </w:p>
        </w:tc>
        <w:tc>
          <w:tcPr>
            <w:tcW w:w="2252" w:type="dxa"/>
            <w:shd w:val="clear" w:color="auto" w:fill="auto"/>
            <w:vAlign w:val="center"/>
          </w:tcPr>
          <w:p w14:paraId="0188EF8C">
            <w:pPr>
              <w:spacing w:line="240" w:lineRule="auto"/>
              <w:jc w:val="center"/>
              <w:rPr>
                <w:rFonts w:hint="eastAsia"/>
                <w:sz w:val="21"/>
                <w:szCs w:val="21"/>
              </w:rPr>
            </w:pPr>
            <w:r>
              <w:rPr>
                <w:rFonts w:hint="eastAsia"/>
                <w:sz w:val="21"/>
                <w:szCs w:val="21"/>
              </w:rPr>
              <w:t>丙烯腈</w:t>
            </w:r>
          </w:p>
        </w:tc>
        <w:tc>
          <w:tcPr>
            <w:tcW w:w="1271" w:type="dxa"/>
            <w:shd w:val="clear" w:color="auto" w:fill="FFFFFF"/>
            <w:vAlign w:val="center"/>
          </w:tcPr>
          <w:p w14:paraId="6594A5C8">
            <w:pPr>
              <w:spacing w:line="240" w:lineRule="auto"/>
              <w:jc w:val="center"/>
              <w:rPr>
                <w:sz w:val="21"/>
                <w:szCs w:val="21"/>
              </w:rPr>
            </w:pPr>
            <w:r>
              <w:rPr>
                <w:rFonts w:hint="eastAsia"/>
                <w:sz w:val="21"/>
                <w:szCs w:val="21"/>
              </w:rPr>
              <w:t>0.025L</w:t>
            </w:r>
          </w:p>
        </w:tc>
        <w:tc>
          <w:tcPr>
            <w:tcW w:w="1843" w:type="dxa"/>
            <w:gridSpan w:val="2"/>
            <w:shd w:val="solid" w:color="FFFFFF" w:fill="auto"/>
            <w:vAlign w:val="center"/>
          </w:tcPr>
          <w:p w14:paraId="0661F270">
            <w:pPr>
              <w:spacing w:line="240" w:lineRule="auto"/>
              <w:jc w:val="center"/>
              <w:rPr>
                <w:rFonts w:hint="eastAsia"/>
                <w:sz w:val="21"/>
                <w:szCs w:val="21"/>
              </w:rPr>
            </w:pPr>
            <w:r>
              <w:rPr>
                <w:rFonts w:hint="eastAsia"/>
                <w:sz w:val="21"/>
                <w:szCs w:val="21"/>
              </w:rPr>
              <w:t>0.1</w:t>
            </w:r>
          </w:p>
        </w:tc>
        <w:tc>
          <w:tcPr>
            <w:tcW w:w="1122" w:type="dxa"/>
            <w:vAlign w:val="center"/>
          </w:tcPr>
          <w:p w14:paraId="69509C0A">
            <w:pPr>
              <w:spacing w:line="240" w:lineRule="auto"/>
              <w:jc w:val="center"/>
              <w:rPr>
                <w:rFonts w:hint="eastAsia"/>
                <w:sz w:val="21"/>
                <w:szCs w:val="21"/>
              </w:rPr>
            </w:pPr>
            <w:r>
              <w:rPr>
                <w:rFonts w:hint="eastAsia"/>
                <w:sz w:val="21"/>
                <w:szCs w:val="21"/>
              </w:rPr>
              <w:t>0</w:t>
            </w:r>
          </w:p>
        </w:tc>
        <w:tc>
          <w:tcPr>
            <w:tcW w:w="1111" w:type="dxa"/>
            <w:vAlign w:val="center"/>
          </w:tcPr>
          <w:p w14:paraId="09289384">
            <w:pPr>
              <w:spacing w:line="240" w:lineRule="auto"/>
              <w:jc w:val="center"/>
              <w:rPr>
                <w:rFonts w:hint="eastAsia"/>
                <w:sz w:val="21"/>
                <w:szCs w:val="21"/>
              </w:rPr>
            </w:pPr>
            <w:r>
              <w:rPr>
                <w:rFonts w:hint="eastAsia"/>
                <w:sz w:val="21"/>
                <w:szCs w:val="21"/>
              </w:rPr>
              <w:t>达标</w:t>
            </w:r>
          </w:p>
        </w:tc>
      </w:tr>
      <w:tr w14:paraId="2D4E41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69601DE8">
            <w:pPr>
              <w:spacing w:line="240" w:lineRule="auto"/>
              <w:jc w:val="center"/>
              <w:rPr>
                <w:rFonts w:hint="eastAsia"/>
                <w:sz w:val="21"/>
                <w:szCs w:val="21"/>
              </w:rPr>
            </w:pPr>
          </w:p>
        </w:tc>
        <w:tc>
          <w:tcPr>
            <w:tcW w:w="2252" w:type="dxa"/>
            <w:shd w:val="clear" w:color="auto" w:fill="auto"/>
            <w:vAlign w:val="center"/>
          </w:tcPr>
          <w:p w14:paraId="199974EF">
            <w:pPr>
              <w:spacing w:line="240" w:lineRule="auto"/>
              <w:jc w:val="center"/>
              <w:rPr>
                <w:rFonts w:hint="eastAsia"/>
                <w:sz w:val="21"/>
                <w:szCs w:val="21"/>
              </w:rPr>
            </w:pPr>
            <w:r>
              <w:rPr>
                <w:rFonts w:hint="eastAsia"/>
                <w:sz w:val="21"/>
                <w:szCs w:val="21"/>
              </w:rPr>
              <w:t>邻苯二甲酸二丁酯</w:t>
            </w:r>
          </w:p>
        </w:tc>
        <w:tc>
          <w:tcPr>
            <w:tcW w:w="1271" w:type="dxa"/>
            <w:shd w:val="clear" w:color="auto" w:fill="FFFFFF"/>
            <w:vAlign w:val="center"/>
          </w:tcPr>
          <w:p w14:paraId="11290BC4">
            <w:pPr>
              <w:spacing w:line="240" w:lineRule="auto"/>
              <w:jc w:val="center"/>
              <w:rPr>
                <w:sz w:val="21"/>
                <w:szCs w:val="21"/>
              </w:rPr>
            </w:pPr>
            <w:r>
              <w:rPr>
                <w:rFonts w:hint="eastAsia"/>
                <w:sz w:val="21"/>
                <w:szCs w:val="21"/>
              </w:rPr>
              <w:t>0.000320</w:t>
            </w:r>
          </w:p>
        </w:tc>
        <w:tc>
          <w:tcPr>
            <w:tcW w:w="1843" w:type="dxa"/>
            <w:gridSpan w:val="2"/>
            <w:shd w:val="solid" w:color="FFFFFF" w:fill="auto"/>
            <w:vAlign w:val="center"/>
          </w:tcPr>
          <w:p w14:paraId="6DFA39A1">
            <w:pPr>
              <w:spacing w:line="240" w:lineRule="auto"/>
              <w:jc w:val="center"/>
              <w:rPr>
                <w:rFonts w:hint="eastAsia"/>
                <w:sz w:val="21"/>
                <w:szCs w:val="21"/>
              </w:rPr>
            </w:pPr>
            <w:r>
              <w:rPr>
                <w:rFonts w:hint="eastAsia"/>
                <w:sz w:val="21"/>
                <w:szCs w:val="21"/>
              </w:rPr>
              <w:t>0.003</w:t>
            </w:r>
          </w:p>
        </w:tc>
        <w:tc>
          <w:tcPr>
            <w:tcW w:w="1122" w:type="dxa"/>
            <w:vAlign w:val="center"/>
          </w:tcPr>
          <w:p w14:paraId="1E89A234">
            <w:pPr>
              <w:spacing w:line="240" w:lineRule="auto"/>
              <w:jc w:val="center"/>
              <w:rPr>
                <w:rFonts w:hint="eastAsia"/>
                <w:sz w:val="21"/>
                <w:szCs w:val="21"/>
              </w:rPr>
            </w:pPr>
            <w:r>
              <w:rPr>
                <w:rFonts w:hint="eastAsia"/>
                <w:sz w:val="21"/>
                <w:szCs w:val="21"/>
              </w:rPr>
              <w:t>0</w:t>
            </w:r>
          </w:p>
        </w:tc>
        <w:tc>
          <w:tcPr>
            <w:tcW w:w="1111" w:type="dxa"/>
            <w:vAlign w:val="center"/>
          </w:tcPr>
          <w:p w14:paraId="154EDE56">
            <w:pPr>
              <w:spacing w:line="240" w:lineRule="auto"/>
              <w:jc w:val="center"/>
              <w:rPr>
                <w:rFonts w:hint="eastAsia"/>
                <w:sz w:val="21"/>
                <w:szCs w:val="21"/>
              </w:rPr>
            </w:pPr>
            <w:r>
              <w:rPr>
                <w:rFonts w:hint="eastAsia"/>
                <w:sz w:val="21"/>
                <w:szCs w:val="21"/>
              </w:rPr>
              <w:t>达标</w:t>
            </w:r>
          </w:p>
        </w:tc>
      </w:tr>
      <w:tr w14:paraId="548B383E">
        <w:tblPrEx>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52AAA1D">
            <w:pPr>
              <w:spacing w:line="240" w:lineRule="auto"/>
              <w:jc w:val="center"/>
              <w:rPr>
                <w:rFonts w:hint="eastAsia"/>
                <w:sz w:val="21"/>
                <w:szCs w:val="21"/>
              </w:rPr>
            </w:pPr>
          </w:p>
        </w:tc>
        <w:tc>
          <w:tcPr>
            <w:tcW w:w="2252" w:type="dxa"/>
            <w:shd w:val="clear" w:color="auto" w:fill="auto"/>
            <w:vAlign w:val="center"/>
          </w:tcPr>
          <w:p w14:paraId="00440915">
            <w:pPr>
              <w:spacing w:line="240" w:lineRule="auto"/>
              <w:jc w:val="center"/>
              <w:rPr>
                <w:rFonts w:hint="eastAsia"/>
                <w:sz w:val="21"/>
                <w:szCs w:val="21"/>
              </w:rPr>
            </w:pPr>
            <w:r>
              <w:rPr>
                <w:rFonts w:hint="eastAsia"/>
                <w:sz w:val="21"/>
                <w:szCs w:val="21"/>
              </w:rPr>
              <w:t>邻苯二甲酸二(2—乙基己基)酯</w:t>
            </w:r>
          </w:p>
        </w:tc>
        <w:tc>
          <w:tcPr>
            <w:tcW w:w="1271" w:type="dxa"/>
            <w:shd w:val="clear" w:color="auto" w:fill="FFFFFF"/>
            <w:vAlign w:val="center"/>
          </w:tcPr>
          <w:p w14:paraId="72D46C07">
            <w:pPr>
              <w:spacing w:line="240" w:lineRule="auto"/>
              <w:jc w:val="center"/>
              <w:rPr>
                <w:sz w:val="21"/>
                <w:szCs w:val="21"/>
              </w:rPr>
            </w:pPr>
            <w:r>
              <w:rPr>
                <w:rFonts w:hint="eastAsia"/>
                <w:sz w:val="21"/>
                <w:szCs w:val="21"/>
              </w:rPr>
              <w:t>0.000580</w:t>
            </w:r>
          </w:p>
        </w:tc>
        <w:tc>
          <w:tcPr>
            <w:tcW w:w="1843" w:type="dxa"/>
            <w:gridSpan w:val="2"/>
            <w:shd w:val="solid" w:color="FFFFFF" w:fill="auto"/>
            <w:vAlign w:val="center"/>
          </w:tcPr>
          <w:p w14:paraId="1014634D">
            <w:pPr>
              <w:spacing w:line="240" w:lineRule="auto"/>
              <w:jc w:val="center"/>
              <w:rPr>
                <w:rFonts w:hint="eastAsia"/>
                <w:sz w:val="21"/>
                <w:szCs w:val="21"/>
              </w:rPr>
            </w:pPr>
            <w:r>
              <w:rPr>
                <w:rFonts w:hint="eastAsia"/>
                <w:sz w:val="21"/>
                <w:szCs w:val="21"/>
              </w:rPr>
              <w:t>0.008</w:t>
            </w:r>
          </w:p>
        </w:tc>
        <w:tc>
          <w:tcPr>
            <w:tcW w:w="1122" w:type="dxa"/>
            <w:vAlign w:val="center"/>
          </w:tcPr>
          <w:p w14:paraId="74EF835A">
            <w:pPr>
              <w:spacing w:line="240" w:lineRule="auto"/>
              <w:jc w:val="center"/>
              <w:rPr>
                <w:rFonts w:hint="eastAsia"/>
                <w:sz w:val="21"/>
                <w:szCs w:val="21"/>
              </w:rPr>
            </w:pPr>
            <w:r>
              <w:rPr>
                <w:rFonts w:hint="eastAsia"/>
                <w:sz w:val="21"/>
                <w:szCs w:val="21"/>
              </w:rPr>
              <w:t>0</w:t>
            </w:r>
          </w:p>
        </w:tc>
        <w:tc>
          <w:tcPr>
            <w:tcW w:w="1111" w:type="dxa"/>
            <w:vAlign w:val="center"/>
          </w:tcPr>
          <w:p w14:paraId="5042B79B">
            <w:pPr>
              <w:spacing w:line="240" w:lineRule="auto"/>
              <w:jc w:val="center"/>
              <w:rPr>
                <w:rFonts w:hint="eastAsia"/>
                <w:sz w:val="21"/>
                <w:szCs w:val="21"/>
              </w:rPr>
            </w:pPr>
            <w:r>
              <w:rPr>
                <w:rFonts w:hint="eastAsia"/>
                <w:sz w:val="21"/>
                <w:szCs w:val="21"/>
              </w:rPr>
              <w:t>达标</w:t>
            </w:r>
          </w:p>
        </w:tc>
      </w:tr>
      <w:tr w14:paraId="7FAECC6A">
        <w:tblPrEx>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CB9F3E0">
            <w:pPr>
              <w:spacing w:line="240" w:lineRule="auto"/>
              <w:jc w:val="center"/>
              <w:rPr>
                <w:rFonts w:hint="eastAsia"/>
                <w:sz w:val="21"/>
                <w:szCs w:val="21"/>
              </w:rPr>
            </w:pPr>
          </w:p>
        </w:tc>
        <w:tc>
          <w:tcPr>
            <w:tcW w:w="2252" w:type="dxa"/>
            <w:shd w:val="clear" w:color="auto" w:fill="auto"/>
            <w:vAlign w:val="center"/>
          </w:tcPr>
          <w:p w14:paraId="1C387A27">
            <w:pPr>
              <w:spacing w:line="240" w:lineRule="auto"/>
              <w:jc w:val="center"/>
              <w:rPr>
                <w:rFonts w:hint="eastAsia"/>
                <w:sz w:val="21"/>
                <w:szCs w:val="21"/>
              </w:rPr>
            </w:pPr>
            <w:r>
              <w:rPr>
                <w:rFonts w:hint="eastAsia"/>
                <w:sz w:val="21"/>
                <w:szCs w:val="21"/>
              </w:rPr>
              <w:t>水合阱</w:t>
            </w:r>
          </w:p>
        </w:tc>
        <w:tc>
          <w:tcPr>
            <w:tcW w:w="1271" w:type="dxa"/>
            <w:shd w:val="clear" w:color="auto" w:fill="FFFFFF"/>
            <w:vAlign w:val="center"/>
          </w:tcPr>
          <w:p w14:paraId="55F5D1F7">
            <w:pPr>
              <w:spacing w:line="240" w:lineRule="auto"/>
              <w:jc w:val="center"/>
              <w:rPr>
                <w:sz w:val="21"/>
                <w:szCs w:val="21"/>
              </w:rPr>
            </w:pPr>
            <w:r>
              <w:rPr>
                <w:rFonts w:hint="eastAsia"/>
                <w:sz w:val="21"/>
                <w:szCs w:val="21"/>
              </w:rPr>
              <w:t>0.005L</w:t>
            </w:r>
          </w:p>
        </w:tc>
        <w:tc>
          <w:tcPr>
            <w:tcW w:w="1843" w:type="dxa"/>
            <w:gridSpan w:val="2"/>
            <w:shd w:val="solid" w:color="FFFFFF" w:fill="auto"/>
            <w:vAlign w:val="center"/>
          </w:tcPr>
          <w:p w14:paraId="23BB7020">
            <w:pPr>
              <w:spacing w:line="240" w:lineRule="auto"/>
              <w:jc w:val="center"/>
              <w:rPr>
                <w:rFonts w:hint="eastAsia"/>
                <w:sz w:val="21"/>
                <w:szCs w:val="21"/>
              </w:rPr>
            </w:pPr>
            <w:r>
              <w:rPr>
                <w:rFonts w:hint="eastAsia"/>
                <w:sz w:val="21"/>
                <w:szCs w:val="21"/>
              </w:rPr>
              <w:t>0.01</w:t>
            </w:r>
          </w:p>
        </w:tc>
        <w:tc>
          <w:tcPr>
            <w:tcW w:w="1122" w:type="dxa"/>
            <w:vAlign w:val="center"/>
          </w:tcPr>
          <w:p w14:paraId="7987E025">
            <w:pPr>
              <w:spacing w:line="240" w:lineRule="auto"/>
              <w:jc w:val="center"/>
              <w:rPr>
                <w:rFonts w:hint="eastAsia"/>
                <w:sz w:val="21"/>
                <w:szCs w:val="21"/>
              </w:rPr>
            </w:pPr>
            <w:r>
              <w:rPr>
                <w:rFonts w:hint="eastAsia"/>
                <w:sz w:val="21"/>
                <w:szCs w:val="21"/>
              </w:rPr>
              <w:t>0</w:t>
            </w:r>
          </w:p>
        </w:tc>
        <w:tc>
          <w:tcPr>
            <w:tcW w:w="1111" w:type="dxa"/>
            <w:vAlign w:val="center"/>
          </w:tcPr>
          <w:p w14:paraId="44B23A61">
            <w:pPr>
              <w:spacing w:line="240" w:lineRule="auto"/>
              <w:jc w:val="center"/>
              <w:rPr>
                <w:rFonts w:hint="eastAsia"/>
                <w:sz w:val="21"/>
                <w:szCs w:val="21"/>
              </w:rPr>
            </w:pPr>
            <w:r>
              <w:rPr>
                <w:rFonts w:hint="eastAsia"/>
                <w:sz w:val="21"/>
                <w:szCs w:val="21"/>
              </w:rPr>
              <w:t>达标</w:t>
            </w:r>
          </w:p>
        </w:tc>
      </w:tr>
      <w:tr w14:paraId="088B6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D99270C">
            <w:pPr>
              <w:spacing w:line="240" w:lineRule="auto"/>
              <w:jc w:val="center"/>
              <w:rPr>
                <w:rFonts w:hint="eastAsia"/>
                <w:sz w:val="21"/>
                <w:szCs w:val="21"/>
              </w:rPr>
            </w:pPr>
          </w:p>
        </w:tc>
        <w:tc>
          <w:tcPr>
            <w:tcW w:w="2252" w:type="dxa"/>
            <w:shd w:val="clear" w:color="auto" w:fill="auto"/>
            <w:vAlign w:val="center"/>
          </w:tcPr>
          <w:p w14:paraId="15E20E16">
            <w:pPr>
              <w:spacing w:line="240" w:lineRule="auto"/>
              <w:jc w:val="center"/>
              <w:rPr>
                <w:rFonts w:hint="eastAsia"/>
                <w:sz w:val="21"/>
                <w:szCs w:val="21"/>
              </w:rPr>
            </w:pPr>
            <w:r>
              <w:rPr>
                <w:rFonts w:hint="eastAsia"/>
                <w:sz w:val="21"/>
                <w:szCs w:val="21"/>
              </w:rPr>
              <w:t>四乙基铅</w:t>
            </w:r>
          </w:p>
        </w:tc>
        <w:tc>
          <w:tcPr>
            <w:tcW w:w="1271" w:type="dxa"/>
            <w:shd w:val="clear" w:color="auto" w:fill="FFFFFF"/>
            <w:vAlign w:val="center"/>
          </w:tcPr>
          <w:p w14:paraId="0720EDF8">
            <w:pPr>
              <w:spacing w:line="240" w:lineRule="auto"/>
              <w:jc w:val="center"/>
              <w:rPr>
                <w:sz w:val="21"/>
                <w:szCs w:val="21"/>
              </w:rPr>
            </w:pPr>
            <w:r>
              <w:rPr>
                <w:rFonts w:hint="eastAsia"/>
                <w:sz w:val="21"/>
                <w:szCs w:val="21"/>
              </w:rPr>
              <w:t>0.00003L</w:t>
            </w:r>
          </w:p>
        </w:tc>
        <w:tc>
          <w:tcPr>
            <w:tcW w:w="1843" w:type="dxa"/>
            <w:gridSpan w:val="2"/>
            <w:shd w:val="solid" w:color="FFFFFF" w:fill="auto"/>
            <w:vAlign w:val="center"/>
          </w:tcPr>
          <w:p w14:paraId="6A46B9EB">
            <w:pPr>
              <w:spacing w:line="240" w:lineRule="auto"/>
              <w:jc w:val="center"/>
              <w:rPr>
                <w:rFonts w:hint="eastAsia"/>
                <w:sz w:val="21"/>
                <w:szCs w:val="21"/>
              </w:rPr>
            </w:pPr>
            <w:r>
              <w:rPr>
                <w:rFonts w:hint="eastAsia"/>
                <w:sz w:val="21"/>
                <w:szCs w:val="21"/>
              </w:rPr>
              <w:t>0.0001</w:t>
            </w:r>
          </w:p>
        </w:tc>
        <w:tc>
          <w:tcPr>
            <w:tcW w:w="1122" w:type="dxa"/>
            <w:vAlign w:val="center"/>
          </w:tcPr>
          <w:p w14:paraId="31D399A4">
            <w:pPr>
              <w:spacing w:line="240" w:lineRule="auto"/>
              <w:jc w:val="center"/>
              <w:rPr>
                <w:rFonts w:hint="eastAsia"/>
                <w:sz w:val="21"/>
                <w:szCs w:val="21"/>
              </w:rPr>
            </w:pPr>
            <w:r>
              <w:rPr>
                <w:rFonts w:hint="eastAsia"/>
                <w:sz w:val="21"/>
                <w:szCs w:val="21"/>
              </w:rPr>
              <w:t>0</w:t>
            </w:r>
          </w:p>
        </w:tc>
        <w:tc>
          <w:tcPr>
            <w:tcW w:w="1111" w:type="dxa"/>
            <w:vAlign w:val="center"/>
          </w:tcPr>
          <w:p w14:paraId="08DC2E8F">
            <w:pPr>
              <w:spacing w:line="240" w:lineRule="auto"/>
              <w:jc w:val="center"/>
              <w:rPr>
                <w:rFonts w:hint="eastAsia"/>
                <w:sz w:val="21"/>
                <w:szCs w:val="21"/>
              </w:rPr>
            </w:pPr>
            <w:r>
              <w:rPr>
                <w:rFonts w:hint="eastAsia"/>
                <w:sz w:val="21"/>
                <w:szCs w:val="21"/>
              </w:rPr>
              <w:t>达标</w:t>
            </w:r>
          </w:p>
        </w:tc>
      </w:tr>
      <w:tr w14:paraId="18862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C5D33D9">
            <w:pPr>
              <w:spacing w:line="240" w:lineRule="auto"/>
              <w:jc w:val="center"/>
              <w:rPr>
                <w:rFonts w:hint="eastAsia"/>
                <w:sz w:val="21"/>
                <w:szCs w:val="21"/>
              </w:rPr>
            </w:pPr>
          </w:p>
        </w:tc>
        <w:tc>
          <w:tcPr>
            <w:tcW w:w="2252" w:type="dxa"/>
            <w:shd w:val="clear" w:color="auto" w:fill="auto"/>
            <w:vAlign w:val="center"/>
          </w:tcPr>
          <w:p w14:paraId="312F3F09">
            <w:pPr>
              <w:spacing w:line="240" w:lineRule="auto"/>
              <w:jc w:val="center"/>
              <w:rPr>
                <w:rFonts w:hint="eastAsia"/>
                <w:sz w:val="21"/>
                <w:szCs w:val="21"/>
              </w:rPr>
            </w:pPr>
            <w:r>
              <w:rPr>
                <w:rFonts w:hint="eastAsia"/>
                <w:sz w:val="21"/>
                <w:szCs w:val="21"/>
              </w:rPr>
              <w:t>吡啶</w:t>
            </w:r>
          </w:p>
        </w:tc>
        <w:tc>
          <w:tcPr>
            <w:tcW w:w="1271" w:type="dxa"/>
            <w:shd w:val="clear" w:color="auto" w:fill="FFFFFF"/>
            <w:vAlign w:val="center"/>
          </w:tcPr>
          <w:p w14:paraId="2262F181">
            <w:pPr>
              <w:spacing w:line="240" w:lineRule="auto"/>
              <w:jc w:val="center"/>
              <w:rPr>
                <w:sz w:val="21"/>
                <w:szCs w:val="21"/>
              </w:rPr>
            </w:pPr>
            <w:r>
              <w:rPr>
                <w:rFonts w:hint="eastAsia"/>
                <w:sz w:val="21"/>
                <w:szCs w:val="21"/>
              </w:rPr>
              <w:t>0.0000246L</w:t>
            </w:r>
          </w:p>
        </w:tc>
        <w:tc>
          <w:tcPr>
            <w:tcW w:w="1843" w:type="dxa"/>
            <w:gridSpan w:val="2"/>
            <w:shd w:val="solid" w:color="FFFFFF" w:fill="auto"/>
            <w:vAlign w:val="center"/>
          </w:tcPr>
          <w:p w14:paraId="10515217">
            <w:pPr>
              <w:spacing w:line="240" w:lineRule="auto"/>
              <w:jc w:val="center"/>
              <w:rPr>
                <w:rFonts w:hint="eastAsia"/>
                <w:sz w:val="21"/>
                <w:szCs w:val="21"/>
              </w:rPr>
            </w:pPr>
            <w:r>
              <w:rPr>
                <w:rFonts w:hint="eastAsia"/>
                <w:sz w:val="21"/>
                <w:szCs w:val="21"/>
              </w:rPr>
              <w:t>0.2</w:t>
            </w:r>
          </w:p>
        </w:tc>
        <w:tc>
          <w:tcPr>
            <w:tcW w:w="1122" w:type="dxa"/>
            <w:vAlign w:val="center"/>
          </w:tcPr>
          <w:p w14:paraId="34E3B50F">
            <w:pPr>
              <w:spacing w:line="240" w:lineRule="auto"/>
              <w:jc w:val="center"/>
              <w:rPr>
                <w:rFonts w:hint="eastAsia"/>
                <w:sz w:val="21"/>
                <w:szCs w:val="21"/>
              </w:rPr>
            </w:pPr>
            <w:r>
              <w:rPr>
                <w:rFonts w:hint="eastAsia"/>
                <w:sz w:val="21"/>
                <w:szCs w:val="21"/>
              </w:rPr>
              <w:t>0</w:t>
            </w:r>
          </w:p>
        </w:tc>
        <w:tc>
          <w:tcPr>
            <w:tcW w:w="1111" w:type="dxa"/>
            <w:vAlign w:val="center"/>
          </w:tcPr>
          <w:p w14:paraId="0254E90A">
            <w:pPr>
              <w:spacing w:line="240" w:lineRule="auto"/>
              <w:jc w:val="center"/>
              <w:rPr>
                <w:rFonts w:hint="eastAsia"/>
                <w:sz w:val="21"/>
                <w:szCs w:val="21"/>
              </w:rPr>
            </w:pPr>
            <w:r>
              <w:rPr>
                <w:rFonts w:hint="eastAsia"/>
                <w:sz w:val="21"/>
                <w:szCs w:val="21"/>
              </w:rPr>
              <w:t>达标</w:t>
            </w:r>
          </w:p>
        </w:tc>
      </w:tr>
      <w:tr w14:paraId="1C9F78EE">
        <w:tblPrEx>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4855213">
            <w:pPr>
              <w:spacing w:line="240" w:lineRule="auto"/>
              <w:jc w:val="center"/>
              <w:rPr>
                <w:rFonts w:hint="eastAsia"/>
                <w:sz w:val="21"/>
                <w:szCs w:val="21"/>
              </w:rPr>
            </w:pPr>
          </w:p>
        </w:tc>
        <w:tc>
          <w:tcPr>
            <w:tcW w:w="2252" w:type="dxa"/>
            <w:shd w:val="clear" w:color="auto" w:fill="auto"/>
            <w:vAlign w:val="center"/>
          </w:tcPr>
          <w:p w14:paraId="4D0F980B">
            <w:pPr>
              <w:spacing w:line="240" w:lineRule="auto"/>
              <w:jc w:val="center"/>
              <w:rPr>
                <w:rFonts w:hint="eastAsia"/>
                <w:sz w:val="21"/>
                <w:szCs w:val="21"/>
              </w:rPr>
            </w:pPr>
            <w:r>
              <w:rPr>
                <w:rFonts w:hint="eastAsia"/>
                <w:sz w:val="21"/>
                <w:szCs w:val="21"/>
              </w:rPr>
              <w:t>松节油</w:t>
            </w:r>
          </w:p>
        </w:tc>
        <w:tc>
          <w:tcPr>
            <w:tcW w:w="1271" w:type="dxa"/>
            <w:shd w:val="clear" w:color="auto" w:fill="FFFFFF"/>
            <w:vAlign w:val="center"/>
          </w:tcPr>
          <w:p w14:paraId="791491E9">
            <w:pPr>
              <w:spacing w:line="240" w:lineRule="auto"/>
              <w:jc w:val="center"/>
              <w:rPr>
                <w:sz w:val="21"/>
                <w:szCs w:val="21"/>
              </w:rPr>
            </w:pPr>
            <w:r>
              <w:rPr>
                <w:rFonts w:hint="eastAsia"/>
                <w:sz w:val="21"/>
                <w:szCs w:val="21"/>
              </w:rPr>
              <w:t>0.0000756L</w:t>
            </w:r>
          </w:p>
        </w:tc>
        <w:tc>
          <w:tcPr>
            <w:tcW w:w="1843" w:type="dxa"/>
            <w:gridSpan w:val="2"/>
            <w:shd w:val="solid" w:color="FFFFFF" w:fill="auto"/>
            <w:vAlign w:val="center"/>
          </w:tcPr>
          <w:p w14:paraId="32571FCF">
            <w:pPr>
              <w:spacing w:line="240" w:lineRule="auto"/>
              <w:jc w:val="center"/>
              <w:rPr>
                <w:rFonts w:hint="eastAsia"/>
                <w:sz w:val="21"/>
                <w:szCs w:val="21"/>
              </w:rPr>
            </w:pPr>
            <w:r>
              <w:rPr>
                <w:rFonts w:hint="eastAsia"/>
                <w:sz w:val="21"/>
                <w:szCs w:val="21"/>
              </w:rPr>
              <w:t>0.2</w:t>
            </w:r>
          </w:p>
        </w:tc>
        <w:tc>
          <w:tcPr>
            <w:tcW w:w="1122" w:type="dxa"/>
            <w:vAlign w:val="center"/>
          </w:tcPr>
          <w:p w14:paraId="69A6ED69">
            <w:pPr>
              <w:spacing w:line="240" w:lineRule="auto"/>
              <w:jc w:val="center"/>
              <w:rPr>
                <w:rFonts w:hint="eastAsia"/>
                <w:sz w:val="21"/>
                <w:szCs w:val="21"/>
              </w:rPr>
            </w:pPr>
            <w:r>
              <w:rPr>
                <w:rFonts w:hint="eastAsia"/>
                <w:sz w:val="21"/>
                <w:szCs w:val="21"/>
              </w:rPr>
              <w:t>0</w:t>
            </w:r>
          </w:p>
        </w:tc>
        <w:tc>
          <w:tcPr>
            <w:tcW w:w="1111" w:type="dxa"/>
            <w:vAlign w:val="center"/>
          </w:tcPr>
          <w:p w14:paraId="2B2E29FE">
            <w:pPr>
              <w:spacing w:line="240" w:lineRule="auto"/>
              <w:jc w:val="center"/>
              <w:rPr>
                <w:rFonts w:hint="eastAsia"/>
                <w:sz w:val="21"/>
                <w:szCs w:val="21"/>
              </w:rPr>
            </w:pPr>
            <w:r>
              <w:rPr>
                <w:rFonts w:hint="eastAsia"/>
                <w:sz w:val="21"/>
                <w:szCs w:val="21"/>
              </w:rPr>
              <w:t>达标</w:t>
            </w:r>
          </w:p>
        </w:tc>
      </w:tr>
      <w:tr w14:paraId="7CA15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11E2133C">
            <w:pPr>
              <w:spacing w:line="240" w:lineRule="auto"/>
              <w:jc w:val="center"/>
              <w:rPr>
                <w:rFonts w:hint="eastAsia"/>
                <w:sz w:val="21"/>
                <w:szCs w:val="21"/>
              </w:rPr>
            </w:pPr>
          </w:p>
        </w:tc>
        <w:tc>
          <w:tcPr>
            <w:tcW w:w="2252" w:type="dxa"/>
            <w:shd w:val="clear" w:color="auto" w:fill="auto"/>
            <w:vAlign w:val="center"/>
          </w:tcPr>
          <w:p w14:paraId="077E3DDF">
            <w:pPr>
              <w:spacing w:line="240" w:lineRule="auto"/>
              <w:jc w:val="center"/>
              <w:rPr>
                <w:rFonts w:hint="eastAsia"/>
                <w:sz w:val="21"/>
                <w:szCs w:val="21"/>
              </w:rPr>
            </w:pPr>
            <w:r>
              <w:rPr>
                <w:rFonts w:hint="eastAsia"/>
                <w:sz w:val="21"/>
                <w:szCs w:val="21"/>
              </w:rPr>
              <w:t>苦味酸</w:t>
            </w:r>
          </w:p>
        </w:tc>
        <w:tc>
          <w:tcPr>
            <w:tcW w:w="1271" w:type="dxa"/>
            <w:shd w:val="clear" w:color="auto" w:fill="FFFFFF"/>
            <w:vAlign w:val="center"/>
          </w:tcPr>
          <w:p w14:paraId="51DD1C1B">
            <w:pPr>
              <w:spacing w:line="240" w:lineRule="auto"/>
              <w:jc w:val="center"/>
              <w:rPr>
                <w:sz w:val="21"/>
                <w:szCs w:val="21"/>
              </w:rPr>
            </w:pPr>
            <w:r>
              <w:rPr>
                <w:rFonts w:hint="eastAsia"/>
                <w:sz w:val="21"/>
                <w:szCs w:val="21"/>
              </w:rPr>
              <w:t>0.001L</w:t>
            </w:r>
          </w:p>
        </w:tc>
        <w:tc>
          <w:tcPr>
            <w:tcW w:w="1843" w:type="dxa"/>
            <w:gridSpan w:val="2"/>
            <w:shd w:val="solid" w:color="FFFFFF" w:fill="auto"/>
            <w:vAlign w:val="center"/>
          </w:tcPr>
          <w:p w14:paraId="75254966">
            <w:pPr>
              <w:spacing w:line="240" w:lineRule="auto"/>
              <w:jc w:val="center"/>
              <w:rPr>
                <w:rFonts w:hint="eastAsia"/>
                <w:sz w:val="21"/>
                <w:szCs w:val="21"/>
              </w:rPr>
            </w:pPr>
            <w:r>
              <w:rPr>
                <w:rFonts w:hint="eastAsia"/>
                <w:sz w:val="21"/>
                <w:szCs w:val="21"/>
              </w:rPr>
              <w:t>0.5</w:t>
            </w:r>
          </w:p>
        </w:tc>
        <w:tc>
          <w:tcPr>
            <w:tcW w:w="1122" w:type="dxa"/>
            <w:vAlign w:val="center"/>
          </w:tcPr>
          <w:p w14:paraId="08FE40AF">
            <w:pPr>
              <w:spacing w:line="240" w:lineRule="auto"/>
              <w:jc w:val="center"/>
              <w:rPr>
                <w:rFonts w:hint="eastAsia"/>
                <w:sz w:val="21"/>
                <w:szCs w:val="21"/>
              </w:rPr>
            </w:pPr>
            <w:r>
              <w:rPr>
                <w:rFonts w:hint="eastAsia"/>
                <w:sz w:val="21"/>
                <w:szCs w:val="21"/>
              </w:rPr>
              <w:t>0</w:t>
            </w:r>
          </w:p>
        </w:tc>
        <w:tc>
          <w:tcPr>
            <w:tcW w:w="1111" w:type="dxa"/>
            <w:vAlign w:val="center"/>
          </w:tcPr>
          <w:p w14:paraId="657A3B4E">
            <w:pPr>
              <w:spacing w:line="240" w:lineRule="auto"/>
              <w:jc w:val="center"/>
              <w:rPr>
                <w:rFonts w:hint="eastAsia"/>
                <w:sz w:val="21"/>
                <w:szCs w:val="21"/>
              </w:rPr>
            </w:pPr>
            <w:r>
              <w:rPr>
                <w:rFonts w:hint="eastAsia"/>
                <w:sz w:val="21"/>
                <w:szCs w:val="21"/>
              </w:rPr>
              <w:t>达标</w:t>
            </w:r>
          </w:p>
        </w:tc>
      </w:tr>
      <w:tr w14:paraId="1341A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3923D62">
            <w:pPr>
              <w:spacing w:line="240" w:lineRule="auto"/>
              <w:jc w:val="center"/>
              <w:rPr>
                <w:rFonts w:hint="eastAsia"/>
                <w:sz w:val="21"/>
                <w:szCs w:val="21"/>
              </w:rPr>
            </w:pPr>
          </w:p>
        </w:tc>
        <w:tc>
          <w:tcPr>
            <w:tcW w:w="2252" w:type="dxa"/>
            <w:shd w:val="clear" w:color="auto" w:fill="auto"/>
            <w:vAlign w:val="center"/>
          </w:tcPr>
          <w:p w14:paraId="6729AA8F">
            <w:pPr>
              <w:spacing w:line="240" w:lineRule="auto"/>
              <w:jc w:val="center"/>
              <w:rPr>
                <w:rFonts w:hint="eastAsia"/>
                <w:sz w:val="21"/>
                <w:szCs w:val="21"/>
              </w:rPr>
            </w:pPr>
            <w:r>
              <w:rPr>
                <w:rFonts w:hint="eastAsia"/>
                <w:sz w:val="21"/>
                <w:szCs w:val="21"/>
              </w:rPr>
              <w:t>丁基黄原酸</w:t>
            </w:r>
          </w:p>
        </w:tc>
        <w:tc>
          <w:tcPr>
            <w:tcW w:w="1271" w:type="dxa"/>
            <w:shd w:val="clear" w:color="auto" w:fill="FFFFFF"/>
            <w:vAlign w:val="center"/>
          </w:tcPr>
          <w:p w14:paraId="47AD6963">
            <w:pPr>
              <w:spacing w:line="240" w:lineRule="auto"/>
              <w:jc w:val="center"/>
              <w:rPr>
                <w:sz w:val="21"/>
                <w:szCs w:val="21"/>
              </w:rPr>
            </w:pPr>
            <w:r>
              <w:rPr>
                <w:rFonts w:hint="eastAsia"/>
                <w:sz w:val="21"/>
                <w:szCs w:val="21"/>
              </w:rPr>
              <w:t>0.002L</w:t>
            </w:r>
          </w:p>
        </w:tc>
        <w:tc>
          <w:tcPr>
            <w:tcW w:w="1843" w:type="dxa"/>
            <w:gridSpan w:val="2"/>
            <w:shd w:val="solid" w:color="FFFFFF" w:fill="auto"/>
            <w:vAlign w:val="center"/>
          </w:tcPr>
          <w:p w14:paraId="56558CA6">
            <w:pPr>
              <w:spacing w:line="240" w:lineRule="auto"/>
              <w:jc w:val="center"/>
              <w:rPr>
                <w:rFonts w:hint="eastAsia"/>
                <w:sz w:val="21"/>
                <w:szCs w:val="21"/>
              </w:rPr>
            </w:pPr>
            <w:r>
              <w:rPr>
                <w:rFonts w:hint="eastAsia"/>
                <w:sz w:val="21"/>
                <w:szCs w:val="21"/>
              </w:rPr>
              <w:t>0.005</w:t>
            </w:r>
          </w:p>
        </w:tc>
        <w:tc>
          <w:tcPr>
            <w:tcW w:w="1122" w:type="dxa"/>
            <w:vAlign w:val="center"/>
          </w:tcPr>
          <w:p w14:paraId="3893C888">
            <w:pPr>
              <w:spacing w:line="240" w:lineRule="auto"/>
              <w:jc w:val="center"/>
              <w:rPr>
                <w:rFonts w:hint="eastAsia"/>
                <w:sz w:val="21"/>
                <w:szCs w:val="21"/>
              </w:rPr>
            </w:pPr>
            <w:r>
              <w:rPr>
                <w:rFonts w:hint="eastAsia"/>
                <w:sz w:val="21"/>
                <w:szCs w:val="21"/>
              </w:rPr>
              <w:t>0</w:t>
            </w:r>
          </w:p>
        </w:tc>
        <w:tc>
          <w:tcPr>
            <w:tcW w:w="1111" w:type="dxa"/>
            <w:vAlign w:val="center"/>
          </w:tcPr>
          <w:p w14:paraId="4ED65F8A">
            <w:pPr>
              <w:spacing w:line="240" w:lineRule="auto"/>
              <w:jc w:val="center"/>
              <w:rPr>
                <w:rFonts w:hint="eastAsia"/>
                <w:sz w:val="21"/>
                <w:szCs w:val="21"/>
              </w:rPr>
            </w:pPr>
            <w:r>
              <w:rPr>
                <w:rFonts w:hint="eastAsia"/>
                <w:sz w:val="21"/>
                <w:szCs w:val="21"/>
              </w:rPr>
              <w:t>达标</w:t>
            </w:r>
          </w:p>
        </w:tc>
      </w:tr>
      <w:tr w14:paraId="00BC2E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3D4FD715">
            <w:pPr>
              <w:spacing w:line="240" w:lineRule="auto"/>
              <w:jc w:val="center"/>
              <w:rPr>
                <w:rFonts w:hint="eastAsia"/>
                <w:sz w:val="21"/>
                <w:szCs w:val="21"/>
              </w:rPr>
            </w:pPr>
          </w:p>
        </w:tc>
        <w:tc>
          <w:tcPr>
            <w:tcW w:w="2252" w:type="dxa"/>
            <w:shd w:val="clear" w:color="auto" w:fill="auto"/>
            <w:vAlign w:val="center"/>
          </w:tcPr>
          <w:p w14:paraId="74628FC1">
            <w:pPr>
              <w:spacing w:line="240" w:lineRule="auto"/>
              <w:jc w:val="center"/>
              <w:rPr>
                <w:rFonts w:hint="eastAsia"/>
                <w:sz w:val="21"/>
                <w:szCs w:val="21"/>
              </w:rPr>
            </w:pPr>
            <w:r>
              <w:rPr>
                <w:rFonts w:hint="eastAsia"/>
                <w:sz w:val="21"/>
                <w:szCs w:val="21"/>
              </w:rPr>
              <w:t>活性氯</w:t>
            </w:r>
          </w:p>
        </w:tc>
        <w:tc>
          <w:tcPr>
            <w:tcW w:w="1271" w:type="dxa"/>
            <w:shd w:val="clear" w:color="auto" w:fill="FFFFFF"/>
            <w:vAlign w:val="center"/>
          </w:tcPr>
          <w:p w14:paraId="45A17DD7">
            <w:pPr>
              <w:spacing w:line="240" w:lineRule="auto"/>
              <w:jc w:val="center"/>
              <w:rPr>
                <w:sz w:val="21"/>
                <w:szCs w:val="21"/>
              </w:rPr>
            </w:pPr>
            <w:r>
              <w:rPr>
                <w:rFonts w:hint="eastAsia"/>
                <w:sz w:val="21"/>
                <w:szCs w:val="21"/>
              </w:rPr>
              <w:t>0.005L</w:t>
            </w:r>
          </w:p>
        </w:tc>
        <w:tc>
          <w:tcPr>
            <w:tcW w:w="1843" w:type="dxa"/>
            <w:gridSpan w:val="2"/>
            <w:shd w:val="solid" w:color="FFFFFF" w:fill="auto"/>
            <w:vAlign w:val="center"/>
          </w:tcPr>
          <w:p w14:paraId="7DF35C5B">
            <w:pPr>
              <w:spacing w:line="240" w:lineRule="auto"/>
              <w:jc w:val="center"/>
              <w:rPr>
                <w:rFonts w:hint="eastAsia"/>
                <w:sz w:val="21"/>
                <w:szCs w:val="21"/>
              </w:rPr>
            </w:pPr>
            <w:r>
              <w:rPr>
                <w:rFonts w:hint="eastAsia"/>
                <w:sz w:val="21"/>
                <w:szCs w:val="21"/>
              </w:rPr>
              <w:t>0.01</w:t>
            </w:r>
          </w:p>
        </w:tc>
        <w:tc>
          <w:tcPr>
            <w:tcW w:w="1122" w:type="dxa"/>
            <w:vAlign w:val="center"/>
          </w:tcPr>
          <w:p w14:paraId="499BD617">
            <w:pPr>
              <w:spacing w:line="240" w:lineRule="auto"/>
              <w:jc w:val="center"/>
              <w:rPr>
                <w:rFonts w:hint="eastAsia"/>
                <w:sz w:val="21"/>
                <w:szCs w:val="21"/>
              </w:rPr>
            </w:pPr>
            <w:r>
              <w:rPr>
                <w:rFonts w:hint="eastAsia"/>
                <w:sz w:val="21"/>
                <w:szCs w:val="21"/>
              </w:rPr>
              <w:t>0</w:t>
            </w:r>
          </w:p>
        </w:tc>
        <w:tc>
          <w:tcPr>
            <w:tcW w:w="1111" w:type="dxa"/>
            <w:vAlign w:val="center"/>
          </w:tcPr>
          <w:p w14:paraId="4EE97A8D">
            <w:pPr>
              <w:spacing w:line="240" w:lineRule="auto"/>
              <w:jc w:val="center"/>
              <w:rPr>
                <w:rFonts w:hint="eastAsia"/>
                <w:sz w:val="21"/>
                <w:szCs w:val="21"/>
              </w:rPr>
            </w:pPr>
            <w:r>
              <w:rPr>
                <w:rFonts w:hint="eastAsia"/>
                <w:sz w:val="21"/>
                <w:szCs w:val="21"/>
              </w:rPr>
              <w:t>达标</w:t>
            </w:r>
          </w:p>
        </w:tc>
      </w:tr>
      <w:tr w14:paraId="4C97C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5954A4C">
            <w:pPr>
              <w:spacing w:line="240" w:lineRule="auto"/>
              <w:jc w:val="center"/>
              <w:rPr>
                <w:rFonts w:hint="eastAsia"/>
                <w:sz w:val="21"/>
                <w:szCs w:val="21"/>
              </w:rPr>
            </w:pPr>
          </w:p>
        </w:tc>
        <w:tc>
          <w:tcPr>
            <w:tcW w:w="2252" w:type="dxa"/>
            <w:shd w:val="clear" w:color="auto" w:fill="auto"/>
            <w:vAlign w:val="center"/>
          </w:tcPr>
          <w:p w14:paraId="4CCD1E1D">
            <w:pPr>
              <w:spacing w:line="240" w:lineRule="auto"/>
              <w:jc w:val="center"/>
              <w:rPr>
                <w:rFonts w:hint="eastAsia"/>
                <w:sz w:val="21"/>
                <w:szCs w:val="21"/>
              </w:rPr>
            </w:pPr>
            <w:r>
              <w:rPr>
                <w:rFonts w:hint="eastAsia"/>
                <w:sz w:val="21"/>
                <w:szCs w:val="21"/>
              </w:rPr>
              <w:t>滴滴涕</w:t>
            </w:r>
          </w:p>
        </w:tc>
        <w:tc>
          <w:tcPr>
            <w:tcW w:w="1271" w:type="dxa"/>
            <w:shd w:val="clear" w:color="auto" w:fill="FFFFFF"/>
            <w:vAlign w:val="center"/>
          </w:tcPr>
          <w:p w14:paraId="139D4C5D">
            <w:pPr>
              <w:spacing w:line="240" w:lineRule="auto"/>
              <w:jc w:val="center"/>
              <w:rPr>
                <w:sz w:val="21"/>
                <w:szCs w:val="21"/>
              </w:rPr>
            </w:pPr>
            <w:r>
              <w:rPr>
                <w:rFonts w:hint="eastAsia"/>
                <w:sz w:val="21"/>
                <w:szCs w:val="21"/>
              </w:rPr>
              <w:t>0.0000313L</w:t>
            </w:r>
          </w:p>
        </w:tc>
        <w:tc>
          <w:tcPr>
            <w:tcW w:w="1843" w:type="dxa"/>
            <w:gridSpan w:val="2"/>
            <w:shd w:val="solid" w:color="FFFFFF" w:fill="auto"/>
            <w:vAlign w:val="center"/>
          </w:tcPr>
          <w:p w14:paraId="2BB050CF">
            <w:pPr>
              <w:spacing w:line="240" w:lineRule="auto"/>
              <w:jc w:val="center"/>
              <w:rPr>
                <w:rFonts w:hint="eastAsia"/>
                <w:sz w:val="21"/>
                <w:szCs w:val="21"/>
              </w:rPr>
            </w:pPr>
            <w:r>
              <w:rPr>
                <w:rFonts w:hint="eastAsia"/>
                <w:sz w:val="21"/>
                <w:szCs w:val="21"/>
              </w:rPr>
              <w:t>0.001</w:t>
            </w:r>
          </w:p>
        </w:tc>
        <w:tc>
          <w:tcPr>
            <w:tcW w:w="1122" w:type="dxa"/>
            <w:vAlign w:val="center"/>
          </w:tcPr>
          <w:p w14:paraId="2E4AE422">
            <w:pPr>
              <w:spacing w:line="240" w:lineRule="auto"/>
              <w:jc w:val="center"/>
              <w:rPr>
                <w:rFonts w:hint="eastAsia"/>
                <w:sz w:val="21"/>
                <w:szCs w:val="21"/>
              </w:rPr>
            </w:pPr>
            <w:r>
              <w:rPr>
                <w:rFonts w:hint="eastAsia"/>
                <w:sz w:val="21"/>
                <w:szCs w:val="21"/>
              </w:rPr>
              <w:t>0</w:t>
            </w:r>
          </w:p>
        </w:tc>
        <w:tc>
          <w:tcPr>
            <w:tcW w:w="1111" w:type="dxa"/>
            <w:vAlign w:val="center"/>
          </w:tcPr>
          <w:p w14:paraId="0BBE89DD">
            <w:pPr>
              <w:spacing w:line="240" w:lineRule="auto"/>
              <w:jc w:val="center"/>
              <w:rPr>
                <w:rFonts w:hint="eastAsia"/>
                <w:sz w:val="21"/>
                <w:szCs w:val="21"/>
              </w:rPr>
            </w:pPr>
            <w:r>
              <w:rPr>
                <w:rFonts w:hint="eastAsia"/>
                <w:sz w:val="21"/>
                <w:szCs w:val="21"/>
              </w:rPr>
              <w:t>达标</w:t>
            </w:r>
          </w:p>
        </w:tc>
      </w:tr>
      <w:tr w14:paraId="5951D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DD93788">
            <w:pPr>
              <w:spacing w:line="240" w:lineRule="auto"/>
              <w:jc w:val="center"/>
              <w:rPr>
                <w:rFonts w:hint="eastAsia"/>
                <w:sz w:val="21"/>
                <w:szCs w:val="21"/>
              </w:rPr>
            </w:pPr>
          </w:p>
        </w:tc>
        <w:tc>
          <w:tcPr>
            <w:tcW w:w="2252" w:type="dxa"/>
            <w:shd w:val="clear" w:color="auto" w:fill="auto"/>
            <w:vAlign w:val="center"/>
          </w:tcPr>
          <w:p w14:paraId="14398F17">
            <w:pPr>
              <w:spacing w:line="240" w:lineRule="auto"/>
              <w:jc w:val="center"/>
              <w:rPr>
                <w:rFonts w:hint="eastAsia"/>
                <w:sz w:val="21"/>
                <w:szCs w:val="21"/>
              </w:rPr>
            </w:pPr>
            <w:r>
              <w:rPr>
                <w:rFonts w:hint="eastAsia"/>
                <w:sz w:val="21"/>
                <w:szCs w:val="21"/>
              </w:rPr>
              <w:t>林丹</w:t>
            </w:r>
          </w:p>
        </w:tc>
        <w:tc>
          <w:tcPr>
            <w:tcW w:w="1271" w:type="dxa"/>
            <w:shd w:val="clear" w:color="auto" w:fill="FFFFFF"/>
            <w:vAlign w:val="center"/>
          </w:tcPr>
          <w:p w14:paraId="05EA14E4">
            <w:pPr>
              <w:spacing w:line="240" w:lineRule="auto"/>
              <w:jc w:val="center"/>
              <w:rPr>
                <w:sz w:val="21"/>
                <w:szCs w:val="21"/>
              </w:rPr>
            </w:pPr>
            <w:r>
              <w:rPr>
                <w:rFonts w:hint="eastAsia"/>
                <w:sz w:val="21"/>
                <w:szCs w:val="21"/>
              </w:rPr>
              <w:t>0.0000182L</w:t>
            </w:r>
          </w:p>
        </w:tc>
        <w:tc>
          <w:tcPr>
            <w:tcW w:w="1843" w:type="dxa"/>
            <w:gridSpan w:val="2"/>
            <w:shd w:val="solid" w:color="FFFFFF" w:fill="auto"/>
            <w:vAlign w:val="center"/>
          </w:tcPr>
          <w:p w14:paraId="57481B02">
            <w:pPr>
              <w:spacing w:line="240" w:lineRule="auto"/>
              <w:jc w:val="center"/>
              <w:rPr>
                <w:rFonts w:hint="eastAsia"/>
                <w:sz w:val="21"/>
                <w:szCs w:val="21"/>
              </w:rPr>
            </w:pPr>
            <w:r>
              <w:rPr>
                <w:rFonts w:hint="eastAsia"/>
                <w:sz w:val="21"/>
                <w:szCs w:val="21"/>
              </w:rPr>
              <w:t>0.002</w:t>
            </w:r>
          </w:p>
        </w:tc>
        <w:tc>
          <w:tcPr>
            <w:tcW w:w="1122" w:type="dxa"/>
            <w:vAlign w:val="center"/>
          </w:tcPr>
          <w:p w14:paraId="3D5694BD">
            <w:pPr>
              <w:spacing w:line="240" w:lineRule="auto"/>
              <w:jc w:val="center"/>
              <w:rPr>
                <w:rFonts w:hint="eastAsia"/>
                <w:sz w:val="21"/>
                <w:szCs w:val="21"/>
              </w:rPr>
            </w:pPr>
            <w:r>
              <w:rPr>
                <w:rFonts w:hint="eastAsia"/>
                <w:sz w:val="21"/>
                <w:szCs w:val="21"/>
              </w:rPr>
              <w:t>0</w:t>
            </w:r>
          </w:p>
        </w:tc>
        <w:tc>
          <w:tcPr>
            <w:tcW w:w="1111" w:type="dxa"/>
            <w:vAlign w:val="center"/>
          </w:tcPr>
          <w:p w14:paraId="1FE41A95">
            <w:pPr>
              <w:spacing w:line="240" w:lineRule="auto"/>
              <w:jc w:val="center"/>
              <w:rPr>
                <w:rFonts w:hint="eastAsia"/>
                <w:sz w:val="21"/>
                <w:szCs w:val="21"/>
              </w:rPr>
            </w:pPr>
            <w:r>
              <w:rPr>
                <w:rFonts w:hint="eastAsia"/>
                <w:sz w:val="21"/>
                <w:szCs w:val="21"/>
              </w:rPr>
              <w:t>达标</w:t>
            </w:r>
          </w:p>
        </w:tc>
      </w:tr>
      <w:tr w14:paraId="40CED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AB57563">
            <w:pPr>
              <w:spacing w:line="240" w:lineRule="auto"/>
              <w:jc w:val="center"/>
              <w:rPr>
                <w:rFonts w:hint="eastAsia"/>
                <w:sz w:val="21"/>
                <w:szCs w:val="21"/>
              </w:rPr>
            </w:pPr>
          </w:p>
        </w:tc>
        <w:tc>
          <w:tcPr>
            <w:tcW w:w="2252" w:type="dxa"/>
            <w:shd w:val="clear" w:color="auto" w:fill="auto"/>
            <w:vAlign w:val="center"/>
          </w:tcPr>
          <w:p w14:paraId="368326CD">
            <w:pPr>
              <w:spacing w:line="240" w:lineRule="auto"/>
              <w:jc w:val="center"/>
              <w:rPr>
                <w:rFonts w:hint="eastAsia"/>
                <w:sz w:val="21"/>
                <w:szCs w:val="21"/>
              </w:rPr>
            </w:pPr>
            <w:r>
              <w:rPr>
                <w:rFonts w:hint="eastAsia"/>
                <w:sz w:val="21"/>
                <w:szCs w:val="21"/>
              </w:rPr>
              <w:t>环氧七氯</w:t>
            </w:r>
          </w:p>
        </w:tc>
        <w:tc>
          <w:tcPr>
            <w:tcW w:w="1271" w:type="dxa"/>
            <w:shd w:val="clear" w:color="auto" w:fill="FFFFFF"/>
            <w:vAlign w:val="center"/>
          </w:tcPr>
          <w:p w14:paraId="45533B60">
            <w:pPr>
              <w:spacing w:line="240" w:lineRule="auto"/>
              <w:jc w:val="center"/>
              <w:rPr>
                <w:sz w:val="21"/>
                <w:szCs w:val="21"/>
              </w:rPr>
            </w:pPr>
            <w:r>
              <w:rPr>
                <w:rFonts w:hint="eastAsia"/>
                <w:sz w:val="21"/>
                <w:szCs w:val="21"/>
              </w:rPr>
              <w:t>0.0000563L</w:t>
            </w:r>
          </w:p>
        </w:tc>
        <w:tc>
          <w:tcPr>
            <w:tcW w:w="1843" w:type="dxa"/>
            <w:gridSpan w:val="2"/>
            <w:shd w:val="solid" w:color="FFFFFF" w:fill="auto"/>
            <w:vAlign w:val="center"/>
          </w:tcPr>
          <w:p w14:paraId="4F0CD71E">
            <w:pPr>
              <w:spacing w:line="240" w:lineRule="auto"/>
              <w:jc w:val="center"/>
              <w:rPr>
                <w:rFonts w:hint="eastAsia"/>
                <w:sz w:val="21"/>
                <w:szCs w:val="21"/>
              </w:rPr>
            </w:pPr>
            <w:r>
              <w:rPr>
                <w:rFonts w:hint="eastAsia"/>
                <w:sz w:val="21"/>
                <w:szCs w:val="21"/>
              </w:rPr>
              <w:t>0.0002</w:t>
            </w:r>
          </w:p>
        </w:tc>
        <w:tc>
          <w:tcPr>
            <w:tcW w:w="1122" w:type="dxa"/>
            <w:vAlign w:val="center"/>
          </w:tcPr>
          <w:p w14:paraId="391BDF45">
            <w:pPr>
              <w:spacing w:line="240" w:lineRule="auto"/>
              <w:jc w:val="center"/>
              <w:rPr>
                <w:rFonts w:hint="eastAsia"/>
                <w:sz w:val="21"/>
                <w:szCs w:val="21"/>
              </w:rPr>
            </w:pPr>
            <w:r>
              <w:rPr>
                <w:rFonts w:hint="eastAsia"/>
                <w:sz w:val="21"/>
                <w:szCs w:val="21"/>
              </w:rPr>
              <w:t>0</w:t>
            </w:r>
          </w:p>
        </w:tc>
        <w:tc>
          <w:tcPr>
            <w:tcW w:w="1111" w:type="dxa"/>
            <w:vAlign w:val="center"/>
          </w:tcPr>
          <w:p w14:paraId="49BF3391">
            <w:pPr>
              <w:spacing w:line="240" w:lineRule="auto"/>
              <w:jc w:val="center"/>
              <w:rPr>
                <w:rFonts w:hint="eastAsia"/>
                <w:sz w:val="21"/>
                <w:szCs w:val="21"/>
              </w:rPr>
            </w:pPr>
            <w:r>
              <w:rPr>
                <w:rFonts w:hint="eastAsia"/>
                <w:sz w:val="21"/>
                <w:szCs w:val="21"/>
              </w:rPr>
              <w:t>达标</w:t>
            </w:r>
          </w:p>
        </w:tc>
      </w:tr>
      <w:tr w14:paraId="5E37C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34AF1151">
            <w:pPr>
              <w:spacing w:line="240" w:lineRule="auto"/>
              <w:jc w:val="center"/>
              <w:rPr>
                <w:rFonts w:hint="eastAsia"/>
                <w:sz w:val="21"/>
                <w:szCs w:val="21"/>
              </w:rPr>
            </w:pPr>
          </w:p>
        </w:tc>
        <w:tc>
          <w:tcPr>
            <w:tcW w:w="2252" w:type="dxa"/>
            <w:shd w:val="clear" w:color="auto" w:fill="auto"/>
            <w:vAlign w:val="center"/>
          </w:tcPr>
          <w:p w14:paraId="482522AE">
            <w:pPr>
              <w:spacing w:line="240" w:lineRule="auto"/>
              <w:jc w:val="center"/>
              <w:rPr>
                <w:rFonts w:hint="eastAsia"/>
                <w:sz w:val="21"/>
                <w:szCs w:val="21"/>
              </w:rPr>
            </w:pPr>
            <w:r>
              <w:rPr>
                <w:rFonts w:hint="eastAsia"/>
                <w:sz w:val="21"/>
                <w:szCs w:val="21"/>
              </w:rPr>
              <w:t>对硫磷</w:t>
            </w:r>
          </w:p>
        </w:tc>
        <w:tc>
          <w:tcPr>
            <w:tcW w:w="1271" w:type="dxa"/>
            <w:shd w:val="clear" w:color="auto" w:fill="FFFFFF"/>
            <w:vAlign w:val="center"/>
          </w:tcPr>
          <w:p w14:paraId="0C06732E">
            <w:pPr>
              <w:spacing w:line="240" w:lineRule="auto"/>
              <w:jc w:val="center"/>
              <w:rPr>
                <w:sz w:val="21"/>
                <w:szCs w:val="21"/>
              </w:rPr>
            </w:pPr>
            <w:r>
              <w:rPr>
                <w:rFonts w:hint="eastAsia"/>
                <w:sz w:val="21"/>
                <w:szCs w:val="21"/>
              </w:rPr>
              <w:t>0.0001L</w:t>
            </w:r>
          </w:p>
        </w:tc>
        <w:tc>
          <w:tcPr>
            <w:tcW w:w="1843" w:type="dxa"/>
            <w:gridSpan w:val="2"/>
            <w:shd w:val="solid" w:color="FFFFFF" w:fill="auto"/>
            <w:vAlign w:val="center"/>
          </w:tcPr>
          <w:p w14:paraId="168F0D7B">
            <w:pPr>
              <w:spacing w:line="240" w:lineRule="auto"/>
              <w:jc w:val="center"/>
              <w:rPr>
                <w:rFonts w:hint="eastAsia"/>
                <w:sz w:val="21"/>
                <w:szCs w:val="21"/>
              </w:rPr>
            </w:pPr>
            <w:r>
              <w:rPr>
                <w:rFonts w:hint="eastAsia"/>
                <w:sz w:val="21"/>
                <w:szCs w:val="21"/>
              </w:rPr>
              <w:t>0.003</w:t>
            </w:r>
          </w:p>
        </w:tc>
        <w:tc>
          <w:tcPr>
            <w:tcW w:w="1122" w:type="dxa"/>
            <w:vAlign w:val="center"/>
          </w:tcPr>
          <w:p w14:paraId="1FD54999">
            <w:pPr>
              <w:spacing w:line="240" w:lineRule="auto"/>
              <w:jc w:val="center"/>
              <w:rPr>
                <w:rFonts w:hint="eastAsia"/>
                <w:sz w:val="21"/>
                <w:szCs w:val="21"/>
              </w:rPr>
            </w:pPr>
            <w:r>
              <w:rPr>
                <w:rFonts w:hint="eastAsia"/>
                <w:sz w:val="21"/>
                <w:szCs w:val="21"/>
              </w:rPr>
              <w:t>0</w:t>
            </w:r>
          </w:p>
        </w:tc>
        <w:tc>
          <w:tcPr>
            <w:tcW w:w="1111" w:type="dxa"/>
            <w:vAlign w:val="center"/>
          </w:tcPr>
          <w:p w14:paraId="0AE891F3">
            <w:pPr>
              <w:spacing w:line="240" w:lineRule="auto"/>
              <w:jc w:val="center"/>
              <w:rPr>
                <w:rFonts w:hint="eastAsia"/>
                <w:sz w:val="21"/>
                <w:szCs w:val="21"/>
              </w:rPr>
            </w:pPr>
            <w:r>
              <w:rPr>
                <w:rFonts w:hint="eastAsia"/>
                <w:sz w:val="21"/>
                <w:szCs w:val="21"/>
              </w:rPr>
              <w:t>达标</w:t>
            </w:r>
          </w:p>
        </w:tc>
      </w:tr>
      <w:tr w14:paraId="56BF6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8D2552B">
            <w:pPr>
              <w:spacing w:line="240" w:lineRule="auto"/>
              <w:jc w:val="center"/>
              <w:rPr>
                <w:rFonts w:hint="eastAsia"/>
                <w:sz w:val="21"/>
                <w:szCs w:val="21"/>
              </w:rPr>
            </w:pPr>
          </w:p>
        </w:tc>
        <w:tc>
          <w:tcPr>
            <w:tcW w:w="2252" w:type="dxa"/>
            <w:shd w:val="clear" w:color="auto" w:fill="auto"/>
            <w:vAlign w:val="center"/>
          </w:tcPr>
          <w:p w14:paraId="635C72E4">
            <w:pPr>
              <w:spacing w:line="240" w:lineRule="auto"/>
              <w:jc w:val="center"/>
              <w:rPr>
                <w:rFonts w:hint="eastAsia"/>
                <w:sz w:val="21"/>
                <w:szCs w:val="21"/>
              </w:rPr>
            </w:pPr>
            <w:r>
              <w:rPr>
                <w:rFonts w:hint="eastAsia"/>
                <w:sz w:val="21"/>
                <w:szCs w:val="21"/>
              </w:rPr>
              <w:t>甲基对硫磷</w:t>
            </w:r>
          </w:p>
        </w:tc>
        <w:tc>
          <w:tcPr>
            <w:tcW w:w="1344" w:type="dxa"/>
            <w:gridSpan w:val="2"/>
            <w:shd w:val="clear" w:color="auto" w:fill="FFFFFF"/>
            <w:vAlign w:val="center"/>
          </w:tcPr>
          <w:p w14:paraId="24AE157E">
            <w:pPr>
              <w:spacing w:line="240" w:lineRule="auto"/>
              <w:jc w:val="center"/>
              <w:rPr>
                <w:sz w:val="21"/>
                <w:szCs w:val="21"/>
              </w:rPr>
            </w:pPr>
            <w:r>
              <w:rPr>
                <w:sz w:val="21"/>
                <w:szCs w:val="21"/>
              </w:rPr>
              <w:t>0.0001L</w:t>
            </w:r>
          </w:p>
        </w:tc>
        <w:tc>
          <w:tcPr>
            <w:tcW w:w="1770" w:type="dxa"/>
            <w:shd w:val="solid" w:color="FFFFFF" w:fill="auto"/>
            <w:vAlign w:val="center"/>
          </w:tcPr>
          <w:p w14:paraId="67F0FD7E">
            <w:pPr>
              <w:spacing w:line="240" w:lineRule="auto"/>
              <w:jc w:val="center"/>
              <w:rPr>
                <w:rFonts w:hint="eastAsia"/>
                <w:sz w:val="21"/>
                <w:szCs w:val="21"/>
              </w:rPr>
            </w:pPr>
            <w:r>
              <w:rPr>
                <w:rFonts w:hint="eastAsia"/>
                <w:sz w:val="21"/>
                <w:szCs w:val="21"/>
              </w:rPr>
              <w:t>0.002</w:t>
            </w:r>
          </w:p>
        </w:tc>
        <w:tc>
          <w:tcPr>
            <w:tcW w:w="1122" w:type="dxa"/>
            <w:vAlign w:val="center"/>
          </w:tcPr>
          <w:p w14:paraId="032B604B">
            <w:pPr>
              <w:spacing w:line="240" w:lineRule="auto"/>
              <w:jc w:val="center"/>
              <w:rPr>
                <w:rFonts w:hint="eastAsia"/>
                <w:sz w:val="21"/>
                <w:szCs w:val="21"/>
              </w:rPr>
            </w:pPr>
            <w:r>
              <w:rPr>
                <w:rFonts w:hint="eastAsia"/>
                <w:sz w:val="21"/>
                <w:szCs w:val="21"/>
              </w:rPr>
              <w:t>0</w:t>
            </w:r>
          </w:p>
        </w:tc>
        <w:tc>
          <w:tcPr>
            <w:tcW w:w="1111" w:type="dxa"/>
            <w:vAlign w:val="center"/>
          </w:tcPr>
          <w:p w14:paraId="7046AEE7">
            <w:pPr>
              <w:spacing w:line="240" w:lineRule="auto"/>
              <w:jc w:val="center"/>
              <w:rPr>
                <w:rFonts w:hint="eastAsia"/>
                <w:sz w:val="21"/>
                <w:szCs w:val="21"/>
              </w:rPr>
            </w:pPr>
            <w:r>
              <w:rPr>
                <w:rFonts w:hint="eastAsia"/>
                <w:sz w:val="21"/>
                <w:szCs w:val="21"/>
              </w:rPr>
              <w:t>达标</w:t>
            </w:r>
          </w:p>
        </w:tc>
      </w:tr>
      <w:tr w14:paraId="15869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3BAFEB5">
            <w:pPr>
              <w:spacing w:line="240" w:lineRule="auto"/>
              <w:jc w:val="center"/>
              <w:rPr>
                <w:rFonts w:hint="eastAsia"/>
                <w:sz w:val="21"/>
                <w:szCs w:val="21"/>
              </w:rPr>
            </w:pPr>
          </w:p>
        </w:tc>
        <w:tc>
          <w:tcPr>
            <w:tcW w:w="2252" w:type="dxa"/>
            <w:shd w:val="clear" w:color="auto" w:fill="auto"/>
            <w:vAlign w:val="center"/>
          </w:tcPr>
          <w:p w14:paraId="7D685AC2">
            <w:pPr>
              <w:spacing w:line="240" w:lineRule="auto"/>
              <w:jc w:val="center"/>
              <w:rPr>
                <w:rFonts w:hint="eastAsia"/>
                <w:sz w:val="21"/>
                <w:szCs w:val="21"/>
              </w:rPr>
            </w:pPr>
            <w:r>
              <w:rPr>
                <w:rFonts w:hint="eastAsia"/>
                <w:sz w:val="21"/>
                <w:szCs w:val="21"/>
              </w:rPr>
              <w:t>马拉硫磷</w:t>
            </w:r>
          </w:p>
        </w:tc>
        <w:tc>
          <w:tcPr>
            <w:tcW w:w="1344" w:type="dxa"/>
            <w:gridSpan w:val="2"/>
            <w:shd w:val="clear" w:color="auto" w:fill="FFFFFF"/>
            <w:vAlign w:val="center"/>
          </w:tcPr>
          <w:p w14:paraId="2307036A">
            <w:pPr>
              <w:spacing w:line="240" w:lineRule="auto"/>
              <w:jc w:val="center"/>
              <w:rPr>
                <w:sz w:val="21"/>
                <w:szCs w:val="21"/>
              </w:rPr>
            </w:pPr>
            <w:r>
              <w:rPr>
                <w:sz w:val="21"/>
                <w:szCs w:val="21"/>
              </w:rPr>
              <w:t>0.0001L</w:t>
            </w:r>
          </w:p>
        </w:tc>
        <w:tc>
          <w:tcPr>
            <w:tcW w:w="1770" w:type="dxa"/>
            <w:shd w:val="solid" w:color="FFFFFF" w:fill="auto"/>
            <w:vAlign w:val="center"/>
          </w:tcPr>
          <w:p w14:paraId="066C91D1">
            <w:pPr>
              <w:spacing w:line="240" w:lineRule="auto"/>
              <w:jc w:val="center"/>
              <w:rPr>
                <w:rFonts w:hint="eastAsia"/>
                <w:sz w:val="21"/>
                <w:szCs w:val="21"/>
              </w:rPr>
            </w:pPr>
            <w:r>
              <w:rPr>
                <w:rFonts w:hint="eastAsia"/>
                <w:sz w:val="21"/>
                <w:szCs w:val="21"/>
              </w:rPr>
              <w:t>0.05</w:t>
            </w:r>
          </w:p>
        </w:tc>
        <w:tc>
          <w:tcPr>
            <w:tcW w:w="1122" w:type="dxa"/>
            <w:vAlign w:val="center"/>
          </w:tcPr>
          <w:p w14:paraId="6767EF84">
            <w:pPr>
              <w:spacing w:line="240" w:lineRule="auto"/>
              <w:jc w:val="center"/>
              <w:rPr>
                <w:rFonts w:hint="eastAsia"/>
                <w:sz w:val="21"/>
                <w:szCs w:val="21"/>
              </w:rPr>
            </w:pPr>
            <w:r>
              <w:rPr>
                <w:rFonts w:hint="eastAsia"/>
                <w:sz w:val="21"/>
                <w:szCs w:val="21"/>
              </w:rPr>
              <w:t>0</w:t>
            </w:r>
          </w:p>
        </w:tc>
        <w:tc>
          <w:tcPr>
            <w:tcW w:w="1111" w:type="dxa"/>
            <w:vAlign w:val="center"/>
          </w:tcPr>
          <w:p w14:paraId="0B099174">
            <w:pPr>
              <w:spacing w:line="240" w:lineRule="auto"/>
              <w:jc w:val="center"/>
              <w:rPr>
                <w:rFonts w:hint="eastAsia"/>
                <w:sz w:val="21"/>
                <w:szCs w:val="21"/>
              </w:rPr>
            </w:pPr>
            <w:r>
              <w:rPr>
                <w:rFonts w:hint="eastAsia"/>
                <w:sz w:val="21"/>
                <w:szCs w:val="21"/>
              </w:rPr>
              <w:t>达标</w:t>
            </w:r>
          </w:p>
        </w:tc>
      </w:tr>
      <w:tr w14:paraId="18C7F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861498F">
            <w:pPr>
              <w:spacing w:line="240" w:lineRule="auto"/>
              <w:jc w:val="center"/>
              <w:rPr>
                <w:rFonts w:hint="eastAsia"/>
                <w:sz w:val="21"/>
                <w:szCs w:val="21"/>
              </w:rPr>
            </w:pPr>
          </w:p>
        </w:tc>
        <w:tc>
          <w:tcPr>
            <w:tcW w:w="2252" w:type="dxa"/>
            <w:shd w:val="clear" w:color="auto" w:fill="auto"/>
            <w:vAlign w:val="center"/>
          </w:tcPr>
          <w:p w14:paraId="64563756">
            <w:pPr>
              <w:spacing w:line="240" w:lineRule="auto"/>
              <w:jc w:val="center"/>
              <w:rPr>
                <w:rFonts w:hint="eastAsia"/>
                <w:sz w:val="21"/>
                <w:szCs w:val="21"/>
              </w:rPr>
            </w:pPr>
            <w:r>
              <w:rPr>
                <w:rFonts w:hint="eastAsia"/>
                <w:sz w:val="21"/>
                <w:szCs w:val="21"/>
              </w:rPr>
              <w:t>乐果</w:t>
            </w:r>
          </w:p>
        </w:tc>
        <w:tc>
          <w:tcPr>
            <w:tcW w:w="1344" w:type="dxa"/>
            <w:gridSpan w:val="2"/>
            <w:shd w:val="clear" w:color="auto" w:fill="FFFFFF"/>
            <w:vAlign w:val="center"/>
          </w:tcPr>
          <w:p w14:paraId="33F9911B">
            <w:pPr>
              <w:spacing w:line="240" w:lineRule="auto"/>
              <w:jc w:val="center"/>
              <w:rPr>
                <w:sz w:val="21"/>
                <w:szCs w:val="21"/>
              </w:rPr>
            </w:pPr>
            <w:r>
              <w:rPr>
                <w:sz w:val="21"/>
                <w:szCs w:val="21"/>
              </w:rPr>
              <w:t>0.0001L</w:t>
            </w:r>
          </w:p>
        </w:tc>
        <w:tc>
          <w:tcPr>
            <w:tcW w:w="1770" w:type="dxa"/>
            <w:shd w:val="solid" w:color="FFFFFF" w:fill="auto"/>
            <w:vAlign w:val="center"/>
          </w:tcPr>
          <w:p w14:paraId="51DD1FC1">
            <w:pPr>
              <w:spacing w:line="240" w:lineRule="auto"/>
              <w:jc w:val="center"/>
              <w:rPr>
                <w:rFonts w:hint="eastAsia"/>
                <w:sz w:val="21"/>
                <w:szCs w:val="21"/>
              </w:rPr>
            </w:pPr>
            <w:r>
              <w:rPr>
                <w:rFonts w:hint="eastAsia"/>
                <w:sz w:val="21"/>
                <w:szCs w:val="21"/>
              </w:rPr>
              <w:t>0.08</w:t>
            </w:r>
          </w:p>
        </w:tc>
        <w:tc>
          <w:tcPr>
            <w:tcW w:w="1122" w:type="dxa"/>
            <w:vAlign w:val="center"/>
          </w:tcPr>
          <w:p w14:paraId="21721E62">
            <w:pPr>
              <w:spacing w:line="240" w:lineRule="auto"/>
              <w:jc w:val="center"/>
              <w:rPr>
                <w:rFonts w:hint="eastAsia"/>
                <w:sz w:val="21"/>
                <w:szCs w:val="21"/>
              </w:rPr>
            </w:pPr>
            <w:r>
              <w:rPr>
                <w:rFonts w:hint="eastAsia"/>
                <w:sz w:val="21"/>
                <w:szCs w:val="21"/>
              </w:rPr>
              <w:t>0</w:t>
            </w:r>
          </w:p>
        </w:tc>
        <w:tc>
          <w:tcPr>
            <w:tcW w:w="1111" w:type="dxa"/>
            <w:vAlign w:val="center"/>
          </w:tcPr>
          <w:p w14:paraId="22261489">
            <w:pPr>
              <w:spacing w:line="240" w:lineRule="auto"/>
              <w:jc w:val="center"/>
              <w:rPr>
                <w:rFonts w:hint="eastAsia"/>
                <w:sz w:val="21"/>
                <w:szCs w:val="21"/>
              </w:rPr>
            </w:pPr>
            <w:r>
              <w:rPr>
                <w:rFonts w:hint="eastAsia"/>
                <w:sz w:val="21"/>
                <w:szCs w:val="21"/>
              </w:rPr>
              <w:t>达标</w:t>
            </w:r>
          </w:p>
        </w:tc>
      </w:tr>
      <w:tr w14:paraId="5C8E9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393CE224">
            <w:pPr>
              <w:spacing w:line="240" w:lineRule="auto"/>
              <w:jc w:val="center"/>
              <w:rPr>
                <w:rFonts w:hint="eastAsia"/>
                <w:sz w:val="21"/>
                <w:szCs w:val="21"/>
              </w:rPr>
            </w:pPr>
          </w:p>
        </w:tc>
        <w:tc>
          <w:tcPr>
            <w:tcW w:w="2252" w:type="dxa"/>
            <w:shd w:val="clear" w:color="auto" w:fill="auto"/>
            <w:vAlign w:val="center"/>
          </w:tcPr>
          <w:p w14:paraId="1CB536C4">
            <w:pPr>
              <w:spacing w:line="240" w:lineRule="auto"/>
              <w:jc w:val="center"/>
              <w:rPr>
                <w:rFonts w:hint="eastAsia"/>
                <w:sz w:val="21"/>
                <w:szCs w:val="21"/>
              </w:rPr>
            </w:pPr>
            <w:r>
              <w:rPr>
                <w:rFonts w:hint="eastAsia"/>
                <w:sz w:val="21"/>
                <w:szCs w:val="21"/>
              </w:rPr>
              <w:t>敌敌畏</w:t>
            </w:r>
          </w:p>
        </w:tc>
        <w:tc>
          <w:tcPr>
            <w:tcW w:w="1344" w:type="dxa"/>
            <w:gridSpan w:val="2"/>
            <w:shd w:val="clear" w:color="auto" w:fill="FFFFFF"/>
            <w:vAlign w:val="center"/>
          </w:tcPr>
          <w:p w14:paraId="611166E5">
            <w:pPr>
              <w:spacing w:line="240" w:lineRule="auto"/>
              <w:jc w:val="center"/>
              <w:rPr>
                <w:sz w:val="21"/>
                <w:szCs w:val="21"/>
              </w:rPr>
            </w:pPr>
            <w:r>
              <w:rPr>
                <w:sz w:val="21"/>
                <w:szCs w:val="21"/>
              </w:rPr>
              <w:t>0.000</w:t>
            </w:r>
            <w:r>
              <w:rPr>
                <w:rFonts w:hint="eastAsia"/>
                <w:sz w:val="21"/>
                <w:szCs w:val="21"/>
              </w:rPr>
              <w:t>05</w:t>
            </w:r>
            <w:r>
              <w:rPr>
                <w:sz w:val="21"/>
                <w:szCs w:val="21"/>
              </w:rPr>
              <w:t>L</w:t>
            </w:r>
          </w:p>
        </w:tc>
        <w:tc>
          <w:tcPr>
            <w:tcW w:w="1770" w:type="dxa"/>
            <w:shd w:val="solid" w:color="FFFFFF" w:fill="auto"/>
            <w:vAlign w:val="center"/>
          </w:tcPr>
          <w:p w14:paraId="7BB083A9">
            <w:pPr>
              <w:spacing w:line="240" w:lineRule="auto"/>
              <w:jc w:val="center"/>
              <w:rPr>
                <w:rFonts w:hint="eastAsia"/>
                <w:sz w:val="21"/>
                <w:szCs w:val="21"/>
              </w:rPr>
            </w:pPr>
            <w:r>
              <w:rPr>
                <w:rFonts w:hint="eastAsia"/>
                <w:sz w:val="21"/>
                <w:szCs w:val="21"/>
              </w:rPr>
              <w:t>0.05</w:t>
            </w:r>
          </w:p>
        </w:tc>
        <w:tc>
          <w:tcPr>
            <w:tcW w:w="1122" w:type="dxa"/>
            <w:vAlign w:val="center"/>
          </w:tcPr>
          <w:p w14:paraId="42B98AE9">
            <w:pPr>
              <w:spacing w:line="240" w:lineRule="auto"/>
              <w:jc w:val="center"/>
              <w:rPr>
                <w:rFonts w:hint="eastAsia"/>
                <w:sz w:val="21"/>
                <w:szCs w:val="21"/>
              </w:rPr>
            </w:pPr>
            <w:r>
              <w:rPr>
                <w:rFonts w:hint="eastAsia"/>
                <w:sz w:val="21"/>
                <w:szCs w:val="21"/>
              </w:rPr>
              <w:t>0</w:t>
            </w:r>
          </w:p>
        </w:tc>
        <w:tc>
          <w:tcPr>
            <w:tcW w:w="1111" w:type="dxa"/>
            <w:vAlign w:val="center"/>
          </w:tcPr>
          <w:p w14:paraId="0B67B522">
            <w:pPr>
              <w:spacing w:line="240" w:lineRule="auto"/>
              <w:jc w:val="center"/>
              <w:rPr>
                <w:rFonts w:hint="eastAsia"/>
                <w:sz w:val="21"/>
                <w:szCs w:val="21"/>
              </w:rPr>
            </w:pPr>
            <w:r>
              <w:rPr>
                <w:rFonts w:hint="eastAsia"/>
                <w:sz w:val="21"/>
                <w:szCs w:val="21"/>
              </w:rPr>
              <w:t>达标</w:t>
            </w:r>
          </w:p>
        </w:tc>
      </w:tr>
      <w:tr w14:paraId="6E423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2CA3C6A1">
            <w:pPr>
              <w:spacing w:line="240" w:lineRule="auto"/>
              <w:jc w:val="center"/>
              <w:rPr>
                <w:rFonts w:hint="eastAsia"/>
                <w:sz w:val="21"/>
                <w:szCs w:val="21"/>
              </w:rPr>
            </w:pPr>
          </w:p>
        </w:tc>
        <w:tc>
          <w:tcPr>
            <w:tcW w:w="2252" w:type="dxa"/>
            <w:shd w:val="clear" w:color="auto" w:fill="auto"/>
            <w:vAlign w:val="center"/>
          </w:tcPr>
          <w:p w14:paraId="6549DA30">
            <w:pPr>
              <w:spacing w:line="240" w:lineRule="auto"/>
              <w:jc w:val="center"/>
              <w:rPr>
                <w:rFonts w:hint="eastAsia"/>
                <w:sz w:val="21"/>
                <w:szCs w:val="21"/>
              </w:rPr>
            </w:pPr>
            <w:r>
              <w:rPr>
                <w:rFonts w:hint="eastAsia"/>
                <w:sz w:val="21"/>
                <w:szCs w:val="21"/>
              </w:rPr>
              <w:t>敌百虫</w:t>
            </w:r>
          </w:p>
        </w:tc>
        <w:tc>
          <w:tcPr>
            <w:tcW w:w="1344" w:type="dxa"/>
            <w:gridSpan w:val="2"/>
            <w:shd w:val="clear" w:color="auto" w:fill="FFFFFF"/>
            <w:vAlign w:val="center"/>
          </w:tcPr>
          <w:p w14:paraId="06ECDD81">
            <w:pPr>
              <w:spacing w:line="240" w:lineRule="auto"/>
              <w:jc w:val="center"/>
              <w:rPr>
                <w:sz w:val="21"/>
                <w:szCs w:val="21"/>
              </w:rPr>
            </w:pPr>
            <w:r>
              <w:rPr>
                <w:rFonts w:hint="eastAsia"/>
                <w:sz w:val="21"/>
                <w:szCs w:val="21"/>
              </w:rPr>
              <w:t>0.0000034L</w:t>
            </w:r>
          </w:p>
        </w:tc>
        <w:tc>
          <w:tcPr>
            <w:tcW w:w="1770" w:type="dxa"/>
            <w:shd w:val="solid" w:color="FFFFFF" w:fill="auto"/>
            <w:vAlign w:val="center"/>
          </w:tcPr>
          <w:p w14:paraId="65C49395">
            <w:pPr>
              <w:spacing w:line="240" w:lineRule="auto"/>
              <w:jc w:val="center"/>
              <w:rPr>
                <w:rFonts w:hint="eastAsia"/>
                <w:sz w:val="21"/>
                <w:szCs w:val="21"/>
              </w:rPr>
            </w:pPr>
            <w:r>
              <w:rPr>
                <w:rFonts w:hint="eastAsia"/>
                <w:sz w:val="21"/>
                <w:szCs w:val="21"/>
              </w:rPr>
              <w:t>0.05</w:t>
            </w:r>
          </w:p>
        </w:tc>
        <w:tc>
          <w:tcPr>
            <w:tcW w:w="1122" w:type="dxa"/>
            <w:vAlign w:val="center"/>
          </w:tcPr>
          <w:p w14:paraId="5512096E">
            <w:pPr>
              <w:spacing w:line="240" w:lineRule="auto"/>
              <w:jc w:val="center"/>
              <w:rPr>
                <w:rFonts w:hint="eastAsia"/>
                <w:sz w:val="21"/>
                <w:szCs w:val="21"/>
              </w:rPr>
            </w:pPr>
            <w:r>
              <w:rPr>
                <w:rFonts w:hint="eastAsia"/>
                <w:sz w:val="21"/>
                <w:szCs w:val="21"/>
              </w:rPr>
              <w:t>0</w:t>
            </w:r>
          </w:p>
        </w:tc>
        <w:tc>
          <w:tcPr>
            <w:tcW w:w="1111" w:type="dxa"/>
            <w:vAlign w:val="center"/>
          </w:tcPr>
          <w:p w14:paraId="210D4673">
            <w:pPr>
              <w:spacing w:line="240" w:lineRule="auto"/>
              <w:jc w:val="center"/>
              <w:rPr>
                <w:rFonts w:hint="eastAsia"/>
                <w:sz w:val="21"/>
                <w:szCs w:val="21"/>
              </w:rPr>
            </w:pPr>
            <w:r>
              <w:rPr>
                <w:rFonts w:hint="eastAsia"/>
                <w:sz w:val="21"/>
                <w:szCs w:val="21"/>
              </w:rPr>
              <w:t>达标</w:t>
            </w:r>
          </w:p>
        </w:tc>
      </w:tr>
      <w:tr w14:paraId="05B85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B0F654E">
            <w:pPr>
              <w:spacing w:line="240" w:lineRule="auto"/>
              <w:jc w:val="center"/>
              <w:rPr>
                <w:rFonts w:hint="eastAsia"/>
                <w:sz w:val="21"/>
                <w:szCs w:val="21"/>
              </w:rPr>
            </w:pPr>
          </w:p>
        </w:tc>
        <w:tc>
          <w:tcPr>
            <w:tcW w:w="2252" w:type="dxa"/>
            <w:shd w:val="clear" w:color="auto" w:fill="auto"/>
            <w:vAlign w:val="center"/>
          </w:tcPr>
          <w:p w14:paraId="251B68A2">
            <w:pPr>
              <w:spacing w:line="240" w:lineRule="auto"/>
              <w:jc w:val="center"/>
              <w:rPr>
                <w:rFonts w:hint="eastAsia"/>
                <w:sz w:val="21"/>
                <w:szCs w:val="21"/>
              </w:rPr>
            </w:pPr>
            <w:r>
              <w:rPr>
                <w:rFonts w:hint="eastAsia"/>
                <w:sz w:val="21"/>
                <w:szCs w:val="21"/>
              </w:rPr>
              <w:t>内吸磷</w:t>
            </w:r>
          </w:p>
        </w:tc>
        <w:tc>
          <w:tcPr>
            <w:tcW w:w="1344" w:type="dxa"/>
            <w:gridSpan w:val="2"/>
            <w:shd w:val="clear" w:color="auto" w:fill="FFFFFF"/>
            <w:vAlign w:val="center"/>
          </w:tcPr>
          <w:p w14:paraId="0EB8EA1C">
            <w:pPr>
              <w:spacing w:line="240" w:lineRule="auto"/>
              <w:jc w:val="center"/>
              <w:rPr>
                <w:sz w:val="21"/>
                <w:szCs w:val="21"/>
              </w:rPr>
            </w:pPr>
            <w:r>
              <w:rPr>
                <w:rFonts w:hint="eastAsia"/>
                <w:sz w:val="21"/>
                <w:szCs w:val="21"/>
              </w:rPr>
              <w:t>0.0001L</w:t>
            </w:r>
          </w:p>
        </w:tc>
        <w:tc>
          <w:tcPr>
            <w:tcW w:w="1770" w:type="dxa"/>
            <w:shd w:val="solid" w:color="FFFFFF" w:fill="auto"/>
            <w:vAlign w:val="center"/>
          </w:tcPr>
          <w:p w14:paraId="48DD4249">
            <w:pPr>
              <w:spacing w:line="240" w:lineRule="auto"/>
              <w:jc w:val="center"/>
              <w:rPr>
                <w:rFonts w:hint="eastAsia"/>
                <w:sz w:val="21"/>
                <w:szCs w:val="21"/>
              </w:rPr>
            </w:pPr>
            <w:r>
              <w:rPr>
                <w:rFonts w:hint="eastAsia"/>
                <w:sz w:val="21"/>
                <w:szCs w:val="21"/>
              </w:rPr>
              <w:t>0.03</w:t>
            </w:r>
          </w:p>
        </w:tc>
        <w:tc>
          <w:tcPr>
            <w:tcW w:w="1122" w:type="dxa"/>
            <w:vAlign w:val="center"/>
          </w:tcPr>
          <w:p w14:paraId="6F50AA81">
            <w:pPr>
              <w:spacing w:line="240" w:lineRule="auto"/>
              <w:jc w:val="center"/>
              <w:rPr>
                <w:rFonts w:hint="eastAsia"/>
                <w:sz w:val="21"/>
                <w:szCs w:val="21"/>
              </w:rPr>
            </w:pPr>
            <w:r>
              <w:rPr>
                <w:rFonts w:hint="eastAsia"/>
                <w:sz w:val="21"/>
                <w:szCs w:val="21"/>
              </w:rPr>
              <w:t>0</w:t>
            </w:r>
          </w:p>
        </w:tc>
        <w:tc>
          <w:tcPr>
            <w:tcW w:w="1111" w:type="dxa"/>
            <w:vAlign w:val="center"/>
          </w:tcPr>
          <w:p w14:paraId="4576EB02">
            <w:pPr>
              <w:spacing w:line="240" w:lineRule="auto"/>
              <w:jc w:val="center"/>
              <w:rPr>
                <w:rFonts w:hint="eastAsia"/>
                <w:sz w:val="21"/>
                <w:szCs w:val="21"/>
              </w:rPr>
            </w:pPr>
            <w:r>
              <w:rPr>
                <w:rFonts w:hint="eastAsia"/>
                <w:sz w:val="21"/>
                <w:szCs w:val="21"/>
              </w:rPr>
              <w:t>达标</w:t>
            </w:r>
          </w:p>
        </w:tc>
      </w:tr>
      <w:tr w14:paraId="0F671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346F2C0F">
            <w:pPr>
              <w:spacing w:line="240" w:lineRule="auto"/>
              <w:jc w:val="center"/>
              <w:rPr>
                <w:rFonts w:hint="eastAsia"/>
                <w:sz w:val="21"/>
                <w:szCs w:val="21"/>
              </w:rPr>
            </w:pPr>
          </w:p>
        </w:tc>
        <w:tc>
          <w:tcPr>
            <w:tcW w:w="2252" w:type="dxa"/>
            <w:shd w:val="clear" w:color="auto" w:fill="auto"/>
            <w:vAlign w:val="center"/>
          </w:tcPr>
          <w:p w14:paraId="3DFFF9D9">
            <w:pPr>
              <w:spacing w:line="240" w:lineRule="auto"/>
              <w:jc w:val="center"/>
              <w:rPr>
                <w:rFonts w:hint="eastAsia"/>
                <w:sz w:val="21"/>
                <w:szCs w:val="21"/>
              </w:rPr>
            </w:pPr>
            <w:r>
              <w:rPr>
                <w:rFonts w:hint="eastAsia"/>
                <w:sz w:val="21"/>
                <w:szCs w:val="21"/>
              </w:rPr>
              <w:t>百菌清</w:t>
            </w:r>
          </w:p>
        </w:tc>
        <w:tc>
          <w:tcPr>
            <w:tcW w:w="1344" w:type="dxa"/>
            <w:gridSpan w:val="2"/>
            <w:shd w:val="clear" w:color="auto" w:fill="FFFFFF"/>
            <w:vAlign w:val="center"/>
          </w:tcPr>
          <w:p w14:paraId="32CD66BD">
            <w:pPr>
              <w:spacing w:line="240" w:lineRule="auto"/>
              <w:jc w:val="center"/>
              <w:rPr>
                <w:sz w:val="21"/>
                <w:szCs w:val="21"/>
              </w:rPr>
            </w:pPr>
            <w:r>
              <w:rPr>
                <w:rFonts w:hint="eastAsia"/>
                <w:sz w:val="21"/>
                <w:szCs w:val="21"/>
              </w:rPr>
              <w:t>0.0000193L</w:t>
            </w:r>
          </w:p>
        </w:tc>
        <w:tc>
          <w:tcPr>
            <w:tcW w:w="1770" w:type="dxa"/>
            <w:shd w:val="solid" w:color="FFFFFF" w:fill="auto"/>
            <w:vAlign w:val="center"/>
          </w:tcPr>
          <w:p w14:paraId="38A67FA3">
            <w:pPr>
              <w:spacing w:line="240" w:lineRule="auto"/>
              <w:jc w:val="center"/>
              <w:rPr>
                <w:rFonts w:hint="eastAsia"/>
                <w:sz w:val="21"/>
                <w:szCs w:val="21"/>
              </w:rPr>
            </w:pPr>
            <w:r>
              <w:rPr>
                <w:rFonts w:hint="eastAsia"/>
                <w:sz w:val="21"/>
                <w:szCs w:val="21"/>
              </w:rPr>
              <w:t>0.01</w:t>
            </w:r>
          </w:p>
        </w:tc>
        <w:tc>
          <w:tcPr>
            <w:tcW w:w="1122" w:type="dxa"/>
            <w:vAlign w:val="center"/>
          </w:tcPr>
          <w:p w14:paraId="22F299AA">
            <w:pPr>
              <w:spacing w:line="240" w:lineRule="auto"/>
              <w:jc w:val="center"/>
              <w:rPr>
                <w:rFonts w:hint="eastAsia"/>
                <w:sz w:val="21"/>
                <w:szCs w:val="21"/>
              </w:rPr>
            </w:pPr>
            <w:r>
              <w:rPr>
                <w:rFonts w:hint="eastAsia"/>
                <w:sz w:val="21"/>
                <w:szCs w:val="21"/>
              </w:rPr>
              <w:t>0</w:t>
            </w:r>
          </w:p>
        </w:tc>
        <w:tc>
          <w:tcPr>
            <w:tcW w:w="1111" w:type="dxa"/>
            <w:vAlign w:val="center"/>
          </w:tcPr>
          <w:p w14:paraId="343F49C1">
            <w:pPr>
              <w:spacing w:line="240" w:lineRule="auto"/>
              <w:jc w:val="center"/>
              <w:rPr>
                <w:rFonts w:hint="eastAsia"/>
                <w:sz w:val="21"/>
                <w:szCs w:val="21"/>
              </w:rPr>
            </w:pPr>
            <w:r>
              <w:rPr>
                <w:rFonts w:hint="eastAsia"/>
                <w:sz w:val="21"/>
                <w:szCs w:val="21"/>
              </w:rPr>
              <w:t>达标</w:t>
            </w:r>
          </w:p>
        </w:tc>
      </w:tr>
      <w:tr w14:paraId="3571B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89A3F35">
            <w:pPr>
              <w:spacing w:line="240" w:lineRule="auto"/>
              <w:jc w:val="center"/>
              <w:rPr>
                <w:rFonts w:hint="eastAsia"/>
                <w:sz w:val="21"/>
                <w:szCs w:val="21"/>
              </w:rPr>
            </w:pPr>
          </w:p>
        </w:tc>
        <w:tc>
          <w:tcPr>
            <w:tcW w:w="2252" w:type="dxa"/>
            <w:shd w:val="clear" w:color="auto" w:fill="auto"/>
            <w:vAlign w:val="center"/>
          </w:tcPr>
          <w:p w14:paraId="1167E7ED">
            <w:pPr>
              <w:spacing w:line="240" w:lineRule="auto"/>
              <w:jc w:val="center"/>
              <w:rPr>
                <w:rFonts w:hint="eastAsia"/>
                <w:sz w:val="21"/>
                <w:szCs w:val="21"/>
              </w:rPr>
            </w:pPr>
            <w:r>
              <w:rPr>
                <w:rFonts w:hint="eastAsia"/>
                <w:sz w:val="21"/>
                <w:szCs w:val="21"/>
              </w:rPr>
              <w:t>甲萘威</w:t>
            </w:r>
          </w:p>
        </w:tc>
        <w:tc>
          <w:tcPr>
            <w:tcW w:w="1344" w:type="dxa"/>
            <w:gridSpan w:val="2"/>
            <w:shd w:val="clear" w:color="auto" w:fill="FFFFFF"/>
            <w:vAlign w:val="center"/>
          </w:tcPr>
          <w:p w14:paraId="4522D9D9">
            <w:pPr>
              <w:spacing w:line="240" w:lineRule="auto"/>
              <w:jc w:val="center"/>
              <w:rPr>
                <w:sz w:val="21"/>
                <w:szCs w:val="21"/>
              </w:rPr>
            </w:pPr>
            <w:r>
              <w:rPr>
                <w:rFonts w:hint="eastAsia"/>
                <w:sz w:val="21"/>
                <w:szCs w:val="21"/>
              </w:rPr>
              <w:t>0.0000387L</w:t>
            </w:r>
          </w:p>
        </w:tc>
        <w:tc>
          <w:tcPr>
            <w:tcW w:w="1770" w:type="dxa"/>
            <w:shd w:val="solid" w:color="FFFFFF" w:fill="auto"/>
            <w:vAlign w:val="center"/>
          </w:tcPr>
          <w:p w14:paraId="6E4DB57A">
            <w:pPr>
              <w:spacing w:line="240" w:lineRule="auto"/>
              <w:jc w:val="center"/>
              <w:rPr>
                <w:rFonts w:hint="eastAsia"/>
                <w:sz w:val="21"/>
                <w:szCs w:val="21"/>
              </w:rPr>
            </w:pPr>
            <w:r>
              <w:rPr>
                <w:rFonts w:hint="eastAsia"/>
                <w:sz w:val="21"/>
                <w:szCs w:val="21"/>
              </w:rPr>
              <w:t>0.05</w:t>
            </w:r>
          </w:p>
        </w:tc>
        <w:tc>
          <w:tcPr>
            <w:tcW w:w="1122" w:type="dxa"/>
            <w:vAlign w:val="center"/>
          </w:tcPr>
          <w:p w14:paraId="5FC78F8B">
            <w:pPr>
              <w:spacing w:line="240" w:lineRule="auto"/>
              <w:jc w:val="center"/>
              <w:rPr>
                <w:rFonts w:hint="eastAsia"/>
                <w:sz w:val="21"/>
                <w:szCs w:val="21"/>
              </w:rPr>
            </w:pPr>
            <w:r>
              <w:rPr>
                <w:rFonts w:hint="eastAsia"/>
                <w:sz w:val="21"/>
                <w:szCs w:val="21"/>
              </w:rPr>
              <w:t>0</w:t>
            </w:r>
          </w:p>
        </w:tc>
        <w:tc>
          <w:tcPr>
            <w:tcW w:w="1111" w:type="dxa"/>
            <w:vAlign w:val="center"/>
          </w:tcPr>
          <w:p w14:paraId="50CCE56D">
            <w:pPr>
              <w:spacing w:line="240" w:lineRule="auto"/>
              <w:jc w:val="center"/>
              <w:rPr>
                <w:rFonts w:hint="eastAsia"/>
                <w:sz w:val="21"/>
                <w:szCs w:val="21"/>
              </w:rPr>
            </w:pPr>
            <w:r>
              <w:rPr>
                <w:rFonts w:hint="eastAsia"/>
                <w:sz w:val="21"/>
                <w:szCs w:val="21"/>
              </w:rPr>
              <w:t>达标</w:t>
            </w:r>
          </w:p>
        </w:tc>
      </w:tr>
      <w:tr w14:paraId="66A53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270DE6A8">
            <w:pPr>
              <w:spacing w:line="240" w:lineRule="auto"/>
              <w:jc w:val="center"/>
              <w:rPr>
                <w:rFonts w:hint="eastAsia"/>
                <w:sz w:val="21"/>
                <w:szCs w:val="21"/>
              </w:rPr>
            </w:pPr>
          </w:p>
        </w:tc>
        <w:tc>
          <w:tcPr>
            <w:tcW w:w="2252" w:type="dxa"/>
            <w:shd w:val="clear" w:color="auto" w:fill="auto"/>
            <w:vAlign w:val="center"/>
          </w:tcPr>
          <w:p w14:paraId="51CBB0DC">
            <w:pPr>
              <w:spacing w:line="240" w:lineRule="auto"/>
              <w:jc w:val="center"/>
              <w:rPr>
                <w:rFonts w:hint="eastAsia"/>
                <w:sz w:val="21"/>
                <w:szCs w:val="21"/>
              </w:rPr>
            </w:pPr>
            <w:r>
              <w:rPr>
                <w:rFonts w:hint="eastAsia"/>
                <w:sz w:val="21"/>
                <w:szCs w:val="21"/>
              </w:rPr>
              <w:t>溴氰菊酯</w:t>
            </w:r>
          </w:p>
        </w:tc>
        <w:tc>
          <w:tcPr>
            <w:tcW w:w="1344" w:type="dxa"/>
            <w:gridSpan w:val="2"/>
            <w:shd w:val="clear" w:color="auto" w:fill="FFFFFF"/>
            <w:vAlign w:val="center"/>
          </w:tcPr>
          <w:p w14:paraId="12365B25">
            <w:pPr>
              <w:spacing w:line="240" w:lineRule="auto"/>
              <w:jc w:val="center"/>
              <w:rPr>
                <w:sz w:val="21"/>
                <w:szCs w:val="21"/>
              </w:rPr>
            </w:pPr>
            <w:r>
              <w:rPr>
                <w:rFonts w:hint="eastAsia"/>
                <w:sz w:val="21"/>
                <w:szCs w:val="21"/>
              </w:rPr>
              <w:t>0.0000139L</w:t>
            </w:r>
          </w:p>
        </w:tc>
        <w:tc>
          <w:tcPr>
            <w:tcW w:w="1770" w:type="dxa"/>
            <w:shd w:val="solid" w:color="FFFFFF" w:fill="auto"/>
            <w:vAlign w:val="center"/>
          </w:tcPr>
          <w:p w14:paraId="229500A5">
            <w:pPr>
              <w:spacing w:line="240" w:lineRule="auto"/>
              <w:jc w:val="center"/>
              <w:rPr>
                <w:rFonts w:hint="eastAsia"/>
                <w:sz w:val="21"/>
                <w:szCs w:val="21"/>
              </w:rPr>
            </w:pPr>
            <w:r>
              <w:rPr>
                <w:rFonts w:hint="eastAsia"/>
                <w:sz w:val="21"/>
                <w:szCs w:val="21"/>
              </w:rPr>
              <w:t>0.02</w:t>
            </w:r>
          </w:p>
        </w:tc>
        <w:tc>
          <w:tcPr>
            <w:tcW w:w="1122" w:type="dxa"/>
            <w:vAlign w:val="center"/>
          </w:tcPr>
          <w:p w14:paraId="2B4FE335">
            <w:pPr>
              <w:spacing w:line="240" w:lineRule="auto"/>
              <w:jc w:val="center"/>
              <w:rPr>
                <w:rFonts w:hint="eastAsia"/>
                <w:sz w:val="21"/>
                <w:szCs w:val="21"/>
              </w:rPr>
            </w:pPr>
            <w:r>
              <w:rPr>
                <w:rFonts w:hint="eastAsia"/>
                <w:sz w:val="21"/>
                <w:szCs w:val="21"/>
              </w:rPr>
              <w:t>0</w:t>
            </w:r>
          </w:p>
        </w:tc>
        <w:tc>
          <w:tcPr>
            <w:tcW w:w="1111" w:type="dxa"/>
            <w:vAlign w:val="center"/>
          </w:tcPr>
          <w:p w14:paraId="4DBFD971">
            <w:pPr>
              <w:spacing w:line="240" w:lineRule="auto"/>
              <w:jc w:val="center"/>
              <w:rPr>
                <w:rFonts w:hint="eastAsia"/>
                <w:sz w:val="21"/>
                <w:szCs w:val="21"/>
              </w:rPr>
            </w:pPr>
            <w:r>
              <w:rPr>
                <w:rFonts w:hint="eastAsia"/>
                <w:sz w:val="21"/>
                <w:szCs w:val="21"/>
              </w:rPr>
              <w:t>达标</w:t>
            </w:r>
          </w:p>
        </w:tc>
      </w:tr>
      <w:tr w14:paraId="72026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19B20A1">
            <w:pPr>
              <w:spacing w:line="240" w:lineRule="auto"/>
              <w:jc w:val="center"/>
              <w:rPr>
                <w:rFonts w:hint="eastAsia"/>
                <w:sz w:val="21"/>
                <w:szCs w:val="21"/>
              </w:rPr>
            </w:pPr>
          </w:p>
        </w:tc>
        <w:tc>
          <w:tcPr>
            <w:tcW w:w="2252" w:type="dxa"/>
            <w:shd w:val="clear" w:color="auto" w:fill="auto"/>
            <w:vAlign w:val="center"/>
          </w:tcPr>
          <w:p w14:paraId="75800B4F">
            <w:pPr>
              <w:spacing w:line="240" w:lineRule="auto"/>
              <w:jc w:val="center"/>
              <w:rPr>
                <w:rFonts w:hint="eastAsia"/>
                <w:sz w:val="21"/>
                <w:szCs w:val="21"/>
              </w:rPr>
            </w:pPr>
            <w:r>
              <w:rPr>
                <w:rFonts w:hint="eastAsia"/>
                <w:sz w:val="21"/>
                <w:szCs w:val="21"/>
              </w:rPr>
              <w:t>阿特拉津</w:t>
            </w:r>
          </w:p>
        </w:tc>
        <w:tc>
          <w:tcPr>
            <w:tcW w:w="1344" w:type="dxa"/>
            <w:gridSpan w:val="2"/>
            <w:shd w:val="clear" w:color="auto" w:fill="FFFFFF"/>
            <w:vAlign w:val="center"/>
          </w:tcPr>
          <w:p w14:paraId="5BD4B216">
            <w:pPr>
              <w:spacing w:line="240" w:lineRule="auto"/>
              <w:jc w:val="center"/>
              <w:rPr>
                <w:sz w:val="21"/>
                <w:szCs w:val="21"/>
              </w:rPr>
            </w:pPr>
            <w:r>
              <w:rPr>
                <w:rFonts w:hint="eastAsia"/>
                <w:sz w:val="21"/>
                <w:szCs w:val="21"/>
              </w:rPr>
              <w:t>0.0000269L</w:t>
            </w:r>
          </w:p>
        </w:tc>
        <w:tc>
          <w:tcPr>
            <w:tcW w:w="1770" w:type="dxa"/>
            <w:shd w:val="solid" w:color="FFFFFF" w:fill="auto"/>
            <w:vAlign w:val="center"/>
          </w:tcPr>
          <w:p w14:paraId="7A5F5A7E">
            <w:pPr>
              <w:spacing w:line="240" w:lineRule="auto"/>
              <w:jc w:val="center"/>
              <w:rPr>
                <w:rFonts w:hint="eastAsia"/>
                <w:sz w:val="21"/>
                <w:szCs w:val="21"/>
              </w:rPr>
            </w:pPr>
            <w:r>
              <w:rPr>
                <w:rFonts w:hint="eastAsia"/>
                <w:sz w:val="21"/>
                <w:szCs w:val="21"/>
              </w:rPr>
              <w:t>0.003</w:t>
            </w:r>
          </w:p>
        </w:tc>
        <w:tc>
          <w:tcPr>
            <w:tcW w:w="1122" w:type="dxa"/>
            <w:vAlign w:val="center"/>
          </w:tcPr>
          <w:p w14:paraId="5326A51B">
            <w:pPr>
              <w:spacing w:line="240" w:lineRule="auto"/>
              <w:jc w:val="center"/>
              <w:rPr>
                <w:rFonts w:hint="eastAsia"/>
                <w:sz w:val="21"/>
                <w:szCs w:val="21"/>
              </w:rPr>
            </w:pPr>
            <w:r>
              <w:rPr>
                <w:rFonts w:hint="eastAsia"/>
                <w:sz w:val="21"/>
                <w:szCs w:val="21"/>
              </w:rPr>
              <w:t>0</w:t>
            </w:r>
          </w:p>
        </w:tc>
        <w:tc>
          <w:tcPr>
            <w:tcW w:w="1111" w:type="dxa"/>
            <w:vAlign w:val="center"/>
          </w:tcPr>
          <w:p w14:paraId="16E0E8FB">
            <w:pPr>
              <w:spacing w:line="240" w:lineRule="auto"/>
              <w:jc w:val="center"/>
              <w:rPr>
                <w:rFonts w:hint="eastAsia"/>
                <w:sz w:val="21"/>
                <w:szCs w:val="21"/>
              </w:rPr>
            </w:pPr>
            <w:r>
              <w:rPr>
                <w:rFonts w:hint="eastAsia"/>
                <w:sz w:val="21"/>
                <w:szCs w:val="21"/>
              </w:rPr>
              <w:t>达标</w:t>
            </w:r>
          </w:p>
        </w:tc>
      </w:tr>
      <w:tr w14:paraId="12246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23B270D">
            <w:pPr>
              <w:spacing w:line="240" w:lineRule="auto"/>
              <w:jc w:val="center"/>
              <w:rPr>
                <w:rFonts w:hint="eastAsia"/>
                <w:sz w:val="21"/>
                <w:szCs w:val="21"/>
              </w:rPr>
            </w:pPr>
          </w:p>
        </w:tc>
        <w:tc>
          <w:tcPr>
            <w:tcW w:w="2252" w:type="dxa"/>
            <w:shd w:val="clear" w:color="auto" w:fill="auto"/>
            <w:vAlign w:val="center"/>
          </w:tcPr>
          <w:p w14:paraId="174E34EF">
            <w:pPr>
              <w:spacing w:line="240" w:lineRule="auto"/>
              <w:jc w:val="center"/>
              <w:rPr>
                <w:rFonts w:hint="eastAsia"/>
                <w:sz w:val="21"/>
                <w:szCs w:val="21"/>
              </w:rPr>
            </w:pPr>
            <w:r>
              <w:rPr>
                <w:rFonts w:hint="eastAsia"/>
                <w:sz w:val="21"/>
                <w:szCs w:val="21"/>
              </w:rPr>
              <w:t>苯并(a)芘</w:t>
            </w:r>
          </w:p>
        </w:tc>
        <w:tc>
          <w:tcPr>
            <w:tcW w:w="1344" w:type="dxa"/>
            <w:gridSpan w:val="2"/>
            <w:shd w:val="clear" w:color="auto" w:fill="FFFFFF"/>
            <w:vAlign w:val="center"/>
          </w:tcPr>
          <w:p w14:paraId="4DC01F14">
            <w:pPr>
              <w:spacing w:line="240" w:lineRule="auto"/>
              <w:jc w:val="center"/>
              <w:rPr>
                <w:sz w:val="21"/>
                <w:szCs w:val="21"/>
              </w:rPr>
            </w:pPr>
            <w:r>
              <w:rPr>
                <w:rFonts w:hint="eastAsia"/>
                <w:sz w:val="21"/>
                <w:szCs w:val="21"/>
              </w:rPr>
              <w:t>0.0000004L</w:t>
            </w:r>
          </w:p>
        </w:tc>
        <w:tc>
          <w:tcPr>
            <w:tcW w:w="1770" w:type="dxa"/>
            <w:shd w:val="solid" w:color="FFFFFF" w:fill="auto"/>
            <w:vAlign w:val="center"/>
          </w:tcPr>
          <w:p w14:paraId="39DA0EE1">
            <w:pPr>
              <w:spacing w:line="240" w:lineRule="auto"/>
              <w:jc w:val="center"/>
              <w:rPr>
                <w:rFonts w:hint="eastAsia"/>
                <w:sz w:val="21"/>
                <w:szCs w:val="21"/>
              </w:rPr>
            </w:pPr>
            <w:r>
              <w:rPr>
                <w:rFonts w:hint="eastAsia"/>
                <w:sz w:val="21"/>
                <w:szCs w:val="21"/>
              </w:rPr>
              <w:t>2.8*10</w:t>
            </w:r>
            <w:r>
              <w:rPr>
                <w:rFonts w:hint="eastAsia"/>
                <w:sz w:val="21"/>
                <w:szCs w:val="21"/>
                <w:vertAlign w:val="superscript"/>
              </w:rPr>
              <w:t>-6</w:t>
            </w:r>
          </w:p>
        </w:tc>
        <w:tc>
          <w:tcPr>
            <w:tcW w:w="1122" w:type="dxa"/>
            <w:vAlign w:val="center"/>
          </w:tcPr>
          <w:p w14:paraId="199F140C">
            <w:pPr>
              <w:spacing w:line="240" w:lineRule="auto"/>
              <w:jc w:val="center"/>
              <w:rPr>
                <w:rFonts w:hint="eastAsia"/>
                <w:sz w:val="21"/>
                <w:szCs w:val="21"/>
              </w:rPr>
            </w:pPr>
            <w:r>
              <w:rPr>
                <w:rFonts w:hint="eastAsia"/>
                <w:sz w:val="21"/>
                <w:szCs w:val="21"/>
              </w:rPr>
              <w:t>0</w:t>
            </w:r>
          </w:p>
        </w:tc>
        <w:tc>
          <w:tcPr>
            <w:tcW w:w="1111" w:type="dxa"/>
            <w:vAlign w:val="center"/>
          </w:tcPr>
          <w:p w14:paraId="4AC5392A">
            <w:pPr>
              <w:spacing w:line="240" w:lineRule="auto"/>
              <w:jc w:val="center"/>
              <w:rPr>
                <w:rFonts w:hint="eastAsia"/>
                <w:sz w:val="21"/>
                <w:szCs w:val="21"/>
              </w:rPr>
            </w:pPr>
            <w:r>
              <w:rPr>
                <w:rFonts w:hint="eastAsia"/>
                <w:sz w:val="21"/>
                <w:szCs w:val="21"/>
              </w:rPr>
              <w:t>达标</w:t>
            </w:r>
          </w:p>
        </w:tc>
      </w:tr>
      <w:tr w14:paraId="0E3A4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24DEEAD9">
            <w:pPr>
              <w:spacing w:line="240" w:lineRule="auto"/>
              <w:jc w:val="center"/>
              <w:rPr>
                <w:rFonts w:hint="eastAsia"/>
                <w:sz w:val="21"/>
                <w:szCs w:val="21"/>
              </w:rPr>
            </w:pPr>
          </w:p>
        </w:tc>
        <w:tc>
          <w:tcPr>
            <w:tcW w:w="2252" w:type="dxa"/>
            <w:shd w:val="clear" w:color="auto" w:fill="auto"/>
            <w:vAlign w:val="center"/>
          </w:tcPr>
          <w:p w14:paraId="6844C98A">
            <w:pPr>
              <w:spacing w:line="240" w:lineRule="auto"/>
              <w:jc w:val="center"/>
              <w:rPr>
                <w:rFonts w:hint="eastAsia"/>
                <w:sz w:val="21"/>
                <w:szCs w:val="21"/>
              </w:rPr>
            </w:pPr>
            <w:r>
              <w:rPr>
                <w:rFonts w:hint="eastAsia"/>
                <w:sz w:val="21"/>
                <w:szCs w:val="21"/>
              </w:rPr>
              <w:t>甲基汞</w:t>
            </w:r>
          </w:p>
        </w:tc>
        <w:tc>
          <w:tcPr>
            <w:tcW w:w="1344" w:type="dxa"/>
            <w:gridSpan w:val="2"/>
            <w:shd w:val="clear" w:color="auto" w:fill="FFFFFF"/>
            <w:vAlign w:val="center"/>
          </w:tcPr>
          <w:p w14:paraId="61FA4F6F">
            <w:pPr>
              <w:spacing w:line="240" w:lineRule="auto"/>
              <w:jc w:val="center"/>
              <w:rPr>
                <w:sz w:val="21"/>
                <w:szCs w:val="21"/>
              </w:rPr>
            </w:pPr>
            <w:r>
              <w:rPr>
                <w:rFonts w:hint="eastAsia"/>
                <w:sz w:val="21"/>
                <w:szCs w:val="21"/>
              </w:rPr>
              <w:t>0.00000001L</w:t>
            </w:r>
          </w:p>
        </w:tc>
        <w:tc>
          <w:tcPr>
            <w:tcW w:w="1770" w:type="dxa"/>
            <w:shd w:val="solid" w:color="FFFFFF" w:fill="auto"/>
            <w:vAlign w:val="center"/>
          </w:tcPr>
          <w:p w14:paraId="17CCF944">
            <w:pPr>
              <w:spacing w:line="240" w:lineRule="auto"/>
              <w:jc w:val="center"/>
              <w:rPr>
                <w:rFonts w:hint="eastAsia"/>
                <w:sz w:val="21"/>
                <w:szCs w:val="21"/>
              </w:rPr>
            </w:pPr>
            <w:r>
              <w:rPr>
                <w:rFonts w:hint="eastAsia"/>
                <w:sz w:val="21"/>
                <w:szCs w:val="21"/>
              </w:rPr>
              <w:t>1.0*10</w:t>
            </w:r>
            <w:r>
              <w:rPr>
                <w:rFonts w:hint="eastAsia"/>
                <w:sz w:val="21"/>
                <w:szCs w:val="21"/>
                <w:vertAlign w:val="superscript"/>
              </w:rPr>
              <w:t>-6</w:t>
            </w:r>
          </w:p>
        </w:tc>
        <w:tc>
          <w:tcPr>
            <w:tcW w:w="1122" w:type="dxa"/>
            <w:vAlign w:val="center"/>
          </w:tcPr>
          <w:p w14:paraId="3B792505">
            <w:pPr>
              <w:spacing w:line="240" w:lineRule="auto"/>
              <w:jc w:val="center"/>
              <w:rPr>
                <w:rFonts w:hint="eastAsia"/>
                <w:sz w:val="21"/>
                <w:szCs w:val="21"/>
              </w:rPr>
            </w:pPr>
            <w:r>
              <w:rPr>
                <w:rFonts w:hint="eastAsia"/>
                <w:sz w:val="21"/>
                <w:szCs w:val="21"/>
              </w:rPr>
              <w:t>0</w:t>
            </w:r>
          </w:p>
        </w:tc>
        <w:tc>
          <w:tcPr>
            <w:tcW w:w="1111" w:type="dxa"/>
            <w:vAlign w:val="center"/>
          </w:tcPr>
          <w:p w14:paraId="16F2F5B0">
            <w:pPr>
              <w:spacing w:line="240" w:lineRule="auto"/>
              <w:jc w:val="center"/>
              <w:rPr>
                <w:rFonts w:hint="eastAsia"/>
                <w:sz w:val="21"/>
                <w:szCs w:val="21"/>
              </w:rPr>
            </w:pPr>
            <w:r>
              <w:rPr>
                <w:rFonts w:hint="eastAsia"/>
                <w:sz w:val="21"/>
                <w:szCs w:val="21"/>
              </w:rPr>
              <w:t>达标</w:t>
            </w:r>
          </w:p>
        </w:tc>
      </w:tr>
      <w:tr w14:paraId="0281B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D2F9F73">
            <w:pPr>
              <w:spacing w:line="240" w:lineRule="auto"/>
              <w:jc w:val="center"/>
              <w:rPr>
                <w:rFonts w:hint="eastAsia"/>
                <w:sz w:val="21"/>
                <w:szCs w:val="21"/>
              </w:rPr>
            </w:pPr>
          </w:p>
        </w:tc>
        <w:tc>
          <w:tcPr>
            <w:tcW w:w="2252" w:type="dxa"/>
            <w:shd w:val="clear" w:color="auto" w:fill="auto"/>
            <w:vAlign w:val="center"/>
          </w:tcPr>
          <w:p w14:paraId="4B6EBCBB">
            <w:pPr>
              <w:spacing w:line="240" w:lineRule="auto"/>
              <w:jc w:val="center"/>
              <w:rPr>
                <w:rFonts w:hint="eastAsia"/>
                <w:sz w:val="21"/>
                <w:szCs w:val="21"/>
              </w:rPr>
            </w:pPr>
            <w:r>
              <w:rPr>
                <w:rFonts w:hint="eastAsia"/>
                <w:sz w:val="21"/>
                <w:szCs w:val="21"/>
              </w:rPr>
              <w:t>多氯联苯⑥</w:t>
            </w:r>
          </w:p>
        </w:tc>
        <w:tc>
          <w:tcPr>
            <w:tcW w:w="1344" w:type="dxa"/>
            <w:gridSpan w:val="2"/>
            <w:shd w:val="clear" w:color="auto" w:fill="FFFFFF"/>
            <w:vAlign w:val="center"/>
          </w:tcPr>
          <w:p w14:paraId="065AD55D">
            <w:pPr>
              <w:spacing w:line="240" w:lineRule="auto"/>
              <w:jc w:val="center"/>
              <w:rPr>
                <w:sz w:val="21"/>
                <w:szCs w:val="21"/>
              </w:rPr>
            </w:pPr>
            <w:r>
              <w:rPr>
                <w:rFonts w:hint="eastAsia"/>
                <w:sz w:val="21"/>
                <w:szCs w:val="21"/>
              </w:rPr>
              <w:t>0.0000014L</w:t>
            </w:r>
          </w:p>
        </w:tc>
        <w:tc>
          <w:tcPr>
            <w:tcW w:w="1770" w:type="dxa"/>
            <w:shd w:val="solid" w:color="FFFFFF" w:fill="auto"/>
            <w:vAlign w:val="center"/>
          </w:tcPr>
          <w:p w14:paraId="66FE1F8F">
            <w:pPr>
              <w:spacing w:line="240" w:lineRule="auto"/>
              <w:jc w:val="center"/>
              <w:rPr>
                <w:rFonts w:hint="eastAsia"/>
                <w:sz w:val="21"/>
                <w:szCs w:val="21"/>
              </w:rPr>
            </w:pPr>
            <w:r>
              <w:rPr>
                <w:rFonts w:hint="eastAsia"/>
                <w:sz w:val="21"/>
                <w:szCs w:val="21"/>
              </w:rPr>
              <w:t>2.0*10</w:t>
            </w:r>
            <w:r>
              <w:rPr>
                <w:rFonts w:hint="eastAsia"/>
                <w:sz w:val="21"/>
                <w:szCs w:val="21"/>
                <w:vertAlign w:val="superscript"/>
              </w:rPr>
              <w:t>-5</w:t>
            </w:r>
          </w:p>
        </w:tc>
        <w:tc>
          <w:tcPr>
            <w:tcW w:w="1122" w:type="dxa"/>
            <w:vAlign w:val="center"/>
          </w:tcPr>
          <w:p w14:paraId="32340A31">
            <w:pPr>
              <w:spacing w:line="240" w:lineRule="auto"/>
              <w:jc w:val="center"/>
              <w:rPr>
                <w:rFonts w:hint="eastAsia"/>
                <w:sz w:val="21"/>
                <w:szCs w:val="21"/>
              </w:rPr>
            </w:pPr>
            <w:r>
              <w:rPr>
                <w:rFonts w:hint="eastAsia"/>
                <w:sz w:val="21"/>
                <w:szCs w:val="21"/>
              </w:rPr>
              <w:t>0</w:t>
            </w:r>
          </w:p>
        </w:tc>
        <w:tc>
          <w:tcPr>
            <w:tcW w:w="1111" w:type="dxa"/>
            <w:vAlign w:val="center"/>
          </w:tcPr>
          <w:p w14:paraId="4DE93C3A">
            <w:pPr>
              <w:spacing w:line="240" w:lineRule="auto"/>
              <w:jc w:val="center"/>
              <w:rPr>
                <w:rFonts w:hint="eastAsia"/>
                <w:sz w:val="21"/>
                <w:szCs w:val="21"/>
              </w:rPr>
            </w:pPr>
            <w:r>
              <w:rPr>
                <w:rFonts w:hint="eastAsia"/>
                <w:sz w:val="21"/>
                <w:szCs w:val="21"/>
              </w:rPr>
              <w:t>达标</w:t>
            </w:r>
          </w:p>
        </w:tc>
      </w:tr>
      <w:tr w14:paraId="47AA8A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1604145F">
            <w:pPr>
              <w:spacing w:line="240" w:lineRule="auto"/>
              <w:jc w:val="center"/>
              <w:rPr>
                <w:rFonts w:hint="eastAsia"/>
                <w:sz w:val="21"/>
                <w:szCs w:val="21"/>
              </w:rPr>
            </w:pPr>
          </w:p>
        </w:tc>
        <w:tc>
          <w:tcPr>
            <w:tcW w:w="2252" w:type="dxa"/>
            <w:shd w:val="clear" w:color="auto" w:fill="auto"/>
            <w:vAlign w:val="center"/>
          </w:tcPr>
          <w:p w14:paraId="6870834B">
            <w:pPr>
              <w:spacing w:line="240" w:lineRule="auto"/>
              <w:jc w:val="center"/>
              <w:rPr>
                <w:rFonts w:hint="eastAsia"/>
                <w:sz w:val="21"/>
                <w:szCs w:val="21"/>
              </w:rPr>
            </w:pPr>
            <w:r>
              <w:rPr>
                <w:rFonts w:hint="eastAsia"/>
                <w:sz w:val="21"/>
                <w:szCs w:val="21"/>
              </w:rPr>
              <w:t>微囊藻毒素—LR</w:t>
            </w:r>
          </w:p>
        </w:tc>
        <w:tc>
          <w:tcPr>
            <w:tcW w:w="1344" w:type="dxa"/>
            <w:gridSpan w:val="2"/>
            <w:shd w:val="clear" w:color="auto" w:fill="FFFFFF"/>
            <w:vAlign w:val="center"/>
          </w:tcPr>
          <w:p w14:paraId="7B8E812A">
            <w:pPr>
              <w:spacing w:line="240" w:lineRule="auto"/>
              <w:jc w:val="center"/>
              <w:rPr>
                <w:sz w:val="21"/>
                <w:szCs w:val="21"/>
              </w:rPr>
            </w:pPr>
            <w:r>
              <w:rPr>
                <w:rFonts w:hint="eastAsia"/>
                <w:sz w:val="21"/>
                <w:szCs w:val="21"/>
              </w:rPr>
              <w:t>0.0001L</w:t>
            </w:r>
          </w:p>
        </w:tc>
        <w:tc>
          <w:tcPr>
            <w:tcW w:w="1770" w:type="dxa"/>
            <w:shd w:val="solid" w:color="FFFFFF" w:fill="auto"/>
            <w:vAlign w:val="center"/>
          </w:tcPr>
          <w:p w14:paraId="625804A1">
            <w:pPr>
              <w:spacing w:line="240" w:lineRule="auto"/>
              <w:jc w:val="center"/>
              <w:rPr>
                <w:rFonts w:hint="eastAsia"/>
                <w:sz w:val="21"/>
                <w:szCs w:val="21"/>
              </w:rPr>
            </w:pPr>
            <w:r>
              <w:rPr>
                <w:rFonts w:hint="eastAsia"/>
                <w:sz w:val="21"/>
                <w:szCs w:val="21"/>
              </w:rPr>
              <w:t>0.001</w:t>
            </w:r>
          </w:p>
        </w:tc>
        <w:tc>
          <w:tcPr>
            <w:tcW w:w="1122" w:type="dxa"/>
            <w:vAlign w:val="center"/>
          </w:tcPr>
          <w:p w14:paraId="3DB5A355">
            <w:pPr>
              <w:spacing w:line="240" w:lineRule="auto"/>
              <w:jc w:val="center"/>
              <w:rPr>
                <w:rFonts w:hint="eastAsia"/>
                <w:sz w:val="21"/>
                <w:szCs w:val="21"/>
              </w:rPr>
            </w:pPr>
            <w:r>
              <w:rPr>
                <w:rFonts w:hint="eastAsia"/>
                <w:sz w:val="21"/>
                <w:szCs w:val="21"/>
              </w:rPr>
              <w:t>0</w:t>
            </w:r>
          </w:p>
        </w:tc>
        <w:tc>
          <w:tcPr>
            <w:tcW w:w="1111" w:type="dxa"/>
            <w:vAlign w:val="center"/>
          </w:tcPr>
          <w:p w14:paraId="3BFD84F4">
            <w:pPr>
              <w:spacing w:line="240" w:lineRule="auto"/>
              <w:jc w:val="center"/>
              <w:rPr>
                <w:rFonts w:hint="eastAsia"/>
                <w:sz w:val="21"/>
                <w:szCs w:val="21"/>
              </w:rPr>
            </w:pPr>
            <w:r>
              <w:rPr>
                <w:rFonts w:hint="eastAsia"/>
                <w:sz w:val="21"/>
                <w:szCs w:val="21"/>
              </w:rPr>
              <w:t>达标</w:t>
            </w:r>
          </w:p>
        </w:tc>
      </w:tr>
      <w:tr w14:paraId="7DC85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33077F84">
            <w:pPr>
              <w:spacing w:line="240" w:lineRule="auto"/>
              <w:jc w:val="center"/>
              <w:rPr>
                <w:rFonts w:hint="eastAsia"/>
                <w:sz w:val="21"/>
                <w:szCs w:val="21"/>
              </w:rPr>
            </w:pPr>
          </w:p>
        </w:tc>
        <w:tc>
          <w:tcPr>
            <w:tcW w:w="2252" w:type="dxa"/>
            <w:shd w:val="clear" w:color="auto" w:fill="auto"/>
            <w:vAlign w:val="center"/>
          </w:tcPr>
          <w:p w14:paraId="4309E931">
            <w:pPr>
              <w:spacing w:line="240" w:lineRule="auto"/>
              <w:jc w:val="center"/>
              <w:rPr>
                <w:rFonts w:hint="eastAsia"/>
                <w:sz w:val="21"/>
                <w:szCs w:val="21"/>
              </w:rPr>
            </w:pPr>
            <w:r>
              <w:rPr>
                <w:rFonts w:hint="eastAsia"/>
                <w:sz w:val="21"/>
                <w:szCs w:val="21"/>
              </w:rPr>
              <w:t>黄磷</w:t>
            </w:r>
          </w:p>
        </w:tc>
        <w:tc>
          <w:tcPr>
            <w:tcW w:w="1344" w:type="dxa"/>
            <w:gridSpan w:val="2"/>
            <w:shd w:val="clear" w:color="auto" w:fill="FFFFFF"/>
            <w:vAlign w:val="center"/>
          </w:tcPr>
          <w:p w14:paraId="500BA15F">
            <w:pPr>
              <w:spacing w:line="240" w:lineRule="auto"/>
              <w:jc w:val="center"/>
              <w:rPr>
                <w:sz w:val="21"/>
                <w:szCs w:val="21"/>
              </w:rPr>
            </w:pPr>
            <w:r>
              <w:rPr>
                <w:rFonts w:hint="eastAsia"/>
                <w:sz w:val="21"/>
                <w:szCs w:val="21"/>
              </w:rPr>
              <w:t>0.0001L</w:t>
            </w:r>
          </w:p>
        </w:tc>
        <w:tc>
          <w:tcPr>
            <w:tcW w:w="1770" w:type="dxa"/>
            <w:shd w:val="solid" w:color="FFFFFF" w:fill="auto"/>
            <w:vAlign w:val="center"/>
          </w:tcPr>
          <w:p w14:paraId="0A5C1AC5">
            <w:pPr>
              <w:spacing w:line="240" w:lineRule="auto"/>
              <w:jc w:val="center"/>
              <w:rPr>
                <w:rFonts w:hint="eastAsia"/>
                <w:sz w:val="21"/>
                <w:szCs w:val="21"/>
              </w:rPr>
            </w:pPr>
            <w:r>
              <w:rPr>
                <w:rFonts w:hint="eastAsia"/>
                <w:sz w:val="21"/>
                <w:szCs w:val="21"/>
              </w:rPr>
              <w:t>0.003</w:t>
            </w:r>
          </w:p>
        </w:tc>
        <w:tc>
          <w:tcPr>
            <w:tcW w:w="1122" w:type="dxa"/>
            <w:vAlign w:val="center"/>
          </w:tcPr>
          <w:p w14:paraId="64B28DD0">
            <w:pPr>
              <w:spacing w:line="240" w:lineRule="auto"/>
              <w:jc w:val="center"/>
              <w:rPr>
                <w:rFonts w:hint="eastAsia"/>
                <w:sz w:val="21"/>
                <w:szCs w:val="21"/>
              </w:rPr>
            </w:pPr>
            <w:r>
              <w:rPr>
                <w:rFonts w:hint="eastAsia"/>
                <w:sz w:val="21"/>
                <w:szCs w:val="21"/>
              </w:rPr>
              <w:t>0</w:t>
            </w:r>
          </w:p>
        </w:tc>
        <w:tc>
          <w:tcPr>
            <w:tcW w:w="1111" w:type="dxa"/>
            <w:vAlign w:val="center"/>
          </w:tcPr>
          <w:p w14:paraId="7A6A83BD">
            <w:pPr>
              <w:spacing w:line="240" w:lineRule="auto"/>
              <w:jc w:val="center"/>
              <w:rPr>
                <w:rFonts w:hint="eastAsia"/>
                <w:sz w:val="21"/>
                <w:szCs w:val="21"/>
              </w:rPr>
            </w:pPr>
            <w:r>
              <w:rPr>
                <w:rFonts w:hint="eastAsia"/>
                <w:sz w:val="21"/>
                <w:szCs w:val="21"/>
              </w:rPr>
              <w:t>达标</w:t>
            </w:r>
          </w:p>
        </w:tc>
      </w:tr>
      <w:tr w14:paraId="355CA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90610CF">
            <w:pPr>
              <w:spacing w:line="240" w:lineRule="auto"/>
              <w:jc w:val="center"/>
              <w:rPr>
                <w:rFonts w:hint="eastAsia"/>
                <w:sz w:val="21"/>
                <w:szCs w:val="21"/>
              </w:rPr>
            </w:pPr>
          </w:p>
        </w:tc>
        <w:tc>
          <w:tcPr>
            <w:tcW w:w="2252" w:type="dxa"/>
            <w:shd w:val="clear" w:color="auto" w:fill="auto"/>
            <w:vAlign w:val="center"/>
          </w:tcPr>
          <w:p w14:paraId="25EEDB09">
            <w:pPr>
              <w:spacing w:line="240" w:lineRule="auto"/>
              <w:jc w:val="center"/>
              <w:rPr>
                <w:rFonts w:hint="eastAsia"/>
                <w:sz w:val="21"/>
                <w:szCs w:val="21"/>
              </w:rPr>
            </w:pPr>
            <w:r>
              <w:rPr>
                <w:rFonts w:hint="eastAsia"/>
                <w:sz w:val="21"/>
                <w:szCs w:val="21"/>
              </w:rPr>
              <w:t>钼</w:t>
            </w:r>
          </w:p>
        </w:tc>
        <w:tc>
          <w:tcPr>
            <w:tcW w:w="1344" w:type="dxa"/>
            <w:gridSpan w:val="2"/>
            <w:shd w:val="clear" w:color="auto" w:fill="FFFFFF"/>
            <w:vAlign w:val="center"/>
          </w:tcPr>
          <w:p w14:paraId="56BC1D56">
            <w:pPr>
              <w:spacing w:line="240" w:lineRule="auto"/>
              <w:jc w:val="center"/>
              <w:rPr>
                <w:sz w:val="21"/>
                <w:szCs w:val="21"/>
              </w:rPr>
            </w:pPr>
            <w:r>
              <w:rPr>
                <w:rFonts w:hint="eastAsia"/>
                <w:sz w:val="21"/>
                <w:szCs w:val="21"/>
              </w:rPr>
              <w:t>0.00032</w:t>
            </w:r>
          </w:p>
        </w:tc>
        <w:tc>
          <w:tcPr>
            <w:tcW w:w="1770" w:type="dxa"/>
            <w:shd w:val="solid" w:color="FFFFFF" w:fill="auto"/>
            <w:vAlign w:val="center"/>
          </w:tcPr>
          <w:p w14:paraId="02F756E2">
            <w:pPr>
              <w:spacing w:line="240" w:lineRule="auto"/>
              <w:jc w:val="center"/>
              <w:rPr>
                <w:rFonts w:hint="eastAsia"/>
                <w:sz w:val="21"/>
                <w:szCs w:val="21"/>
              </w:rPr>
            </w:pPr>
            <w:r>
              <w:rPr>
                <w:rFonts w:hint="eastAsia"/>
                <w:sz w:val="21"/>
                <w:szCs w:val="21"/>
              </w:rPr>
              <w:t>0.07</w:t>
            </w:r>
          </w:p>
        </w:tc>
        <w:tc>
          <w:tcPr>
            <w:tcW w:w="1122" w:type="dxa"/>
            <w:vAlign w:val="center"/>
          </w:tcPr>
          <w:p w14:paraId="298F4CDC">
            <w:pPr>
              <w:spacing w:line="240" w:lineRule="auto"/>
              <w:jc w:val="center"/>
              <w:rPr>
                <w:rFonts w:hint="eastAsia"/>
                <w:sz w:val="21"/>
                <w:szCs w:val="21"/>
              </w:rPr>
            </w:pPr>
            <w:r>
              <w:rPr>
                <w:rFonts w:hint="eastAsia"/>
                <w:sz w:val="21"/>
                <w:szCs w:val="21"/>
              </w:rPr>
              <w:t>0</w:t>
            </w:r>
          </w:p>
        </w:tc>
        <w:tc>
          <w:tcPr>
            <w:tcW w:w="1111" w:type="dxa"/>
            <w:vAlign w:val="center"/>
          </w:tcPr>
          <w:p w14:paraId="5FC4ACE7">
            <w:pPr>
              <w:spacing w:line="240" w:lineRule="auto"/>
              <w:jc w:val="center"/>
              <w:rPr>
                <w:rFonts w:hint="eastAsia"/>
                <w:sz w:val="21"/>
                <w:szCs w:val="21"/>
              </w:rPr>
            </w:pPr>
            <w:r>
              <w:rPr>
                <w:rFonts w:hint="eastAsia"/>
                <w:sz w:val="21"/>
                <w:szCs w:val="21"/>
              </w:rPr>
              <w:t>达标</w:t>
            </w:r>
          </w:p>
        </w:tc>
      </w:tr>
      <w:tr w14:paraId="42015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6F0B248">
            <w:pPr>
              <w:spacing w:line="240" w:lineRule="auto"/>
              <w:jc w:val="center"/>
              <w:rPr>
                <w:rFonts w:hint="eastAsia"/>
                <w:sz w:val="21"/>
                <w:szCs w:val="21"/>
              </w:rPr>
            </w:pPr>
          </w:p>
        </w:tc>
        <w:tc>
          <w:tcPr>
            <w:tcW w:w="2252" w:type="dxa"/>
            <w:shd w:val="clear" w:color="auto" w:fill="auto"/>
            <w:vAlign w:val="center"/>
          </w:tcPr>
          <w:p w14:paraId="38613E7C">
            <w:pPr>
              <w:spacing w:line="240" w:lineRule="auto"/>
              <w:jc w:val="center"/>
              <w:rPr>
                <w:rFonts w:hint="eastAsia"/>
                <w:sz w:val="21"/>
                <w:szCs w:val="21"/>
              </w:rPr>
            </w:pPr>
            <w:r>
              <w:rPr>
                <w:rFonts w:hint="eastAsia"/>
                <w:sz w:val="21"/>
                <w:szCs w:val="21"/>
              </w:rPr>
              <w:t>钴</w:t>
            </w:r>
          </w:p>
        </w:tc>
        <w:tc>
          <w:tcPr>
            <w:tcW w:w="1344" w:type="dxa"/>
            <w:gridSpan w:val="2"/>
            <w:shd w:val="clear" w:color="auto" w:fill="FFFFFF"/>
            <w:vAlign w:val="center"/>
          </w:tcPr>
          <w:p w14:paraId="61ED8F33">
            <w:pPr>
              <w:spacing w:line="240" w:lineRule="auto"/>
              <w:jc w:val="center"/>
              <w:rPr>
                <w:sz w:val="21"/>
                <w:szCs w:val="21"/>
              </w:rPr>
            </w:pPr>
            <w:r>
              <w:rPr>
                <w:rFonts w:hint="eastAsia"/>
                <w:sz w:val="21"/>
                <w:szCs w:val="21"/>
              </w:rPr>
              <w:t>0.00004</w:t>
            </w:r>
          </w:p>
        </w:tc>
        <w:tc>
          <w:tcPr>
            <w:tcW w:w="1770" w:type="dxa"/>
            <w:shd w:val="solid" w:color="FFFFFF" w:fill="auto"/>
            <w:vAlign w:val="center"/>
          </w:tcPr>
          <w:p w14:paraId="18B7C88D">
            <w:pPr>
              <w:spacing w:line="240" w:lineRule="auto"/>
              <w:jc w:val="center"/>
              <w:rPr>
                <w:rFonts w:hint="eastAsia"/>
                <w:sz w:val="21"/>
                <w:szCs w:val="21"/>
              </w:rPr>
            </w:pPr>
            <w:r>
              <w:rPr>
                <w:rFonts w:hint="eastAsia"/>
                <w:sz w:val="21"/>
                <w:szCs w:val="21"/>
              </w:rPr>
              <w:t>1.0</w:t>
            </w:r>
          </w:p>
        </w:tc>
        <w:tc>
          <w:tcPr>
            <w:tcW w:w="1122" w:type="dxa"/>
            <w:vAlign w:val="center"/>
          </w:tcPr>
          <w:p w14:paraId="72D647FB">
            <w:pPr>
              <w:spacing w:line="240" w:lineRule="auto"/>
              <w:jc w:val="center"/>
              <w:rPr>
                <w:rFonts w:hint="eastAsia"/>
                <w:sz w:val="21"/>
                <w:szCs w:val="21"/>
              </w:rPr>
            </w:pPr>
            <w:r>
              <w:rPr>
                <w:rFonts w:hint="eastAsia"/>
                <w:sz w:val="21"/>
                <w:szCs w:val="21"/>
              </w:rPr>
              <w:t>0</w:t>
            </w:r>
          </w:p>
        </w:tc>
        <w:tc>
          <w:tcPr>
            <w:tcW w:w="1111" w:type="dxa"/>
            <w:vAlign w:val="center"/>
          </w:tcPr>
          <w:p w14:paraId="47D1BF61">
            <w:pPr>
              <w:spacing w:line="240" w:lineRule="auto"/>
              <w:jc w:val="center"/>
              <w:rPr>
                <w:rFonts w:hint="eastAsia"/>
                <w:sz w:val="21"/>
                <w:szCs w:val="21"/>
              </w:rPr>
            </w:pPr>
            <w:r>
              <w:rPr>
                <w:rFonts w:hint="eastAsia"/>
                <w:sz w:val="21"/>
                <w:szCs w:val="21"/>
              </w:rPr>
              <w:t>达标</w:t>
            </w:r>
          </w:p>
        </w:tc>
      </w:tr>
      <w:tr w14:paraId="55FE1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59851DC">
            <w:pPr>
              <w:spacing w:line="240" w:lineRule="auto"/>
              <w:jc w:val="center"/>
              <w:rPr>
                <w:rFonts w:hint="eastAsia"/>
                <w:sz w:val="21"/>
                <w:szCs w:val="21"/>
              </w:rPr>
            </w:pPr>
          </w:p>
        </w:tc>
        <w:tc>
          <w:tcPr>
            <w:tcW w:w="2252" w:type="dxa"/>
            <w:shd w:val="clear" w:color="auto" w:fill="auto"/>
            <w:vAlign w:val="center"/>
          </w:tcPr>
          <w:p w14:paraId="5616D868">
            <w:pPr>
              <w:spacing w:line="240" w:lineRule="auto"/>
              <w:jc w:val="center"/>
              <w:rPr>
                <w:rFonts w:hint="eastAsia"/>
                <w:sz w:val="21"/>
                <w:szCs w:val="21"/>
              </w:rPr>
            </w:pPr>
            <w:r>
              <w:rPr>
                <w:rFonts w:hint="eastAsia"/>
                <w:sz w:val="21"/>
                <w:szCs w:val="21"/>
              </w:rPr>
              <w:t>铍</w:t>
            </w:r>
          </w:p>
        </w:tc>
        <w:tc>
          <w:tcPr>
            <w:tcW w:w="1344" w:type="dxa"/>
            <w:gridSpan w:val="2"/>
            <w:shd w:val="clear" w:color="auto" w:fill="FFFFFF"/>
            <w:vAlign w:val="center"/>
          </w:tcPr>
          <w:p w14:paraId="074EA8CC">
            <w:pPr>
              <w:spacing w:line="240" w:lineRule="auto"/>
              <w:jc w:val="center"/>
              <w:rPr>
                <w:sz w:val="21"/>
                <w:szCs w:val="21"/>
              </w:rPr>
            </w:pPr>
            <w:r>
              <w:rPr>
                <w:rFonts w:hint="eastAsia"/>
                <w:sz w:val="21"/>
                <w:szCs w:val="21"/>
              </w:rPr>
              <w:t>0.00004L</w:t>
            </w:r>
          </w:p>
        </w:tc>
        <w:tc>
          <w:tcPr>
            <w:tcW w:w="1770" w:type="dxa"/>
            <w:shd w:val="solid" w:color="FFFFFF" w:fill="auto"/>
            <w:vAlign w:val="center"/>
          </w:tcPr>
          <w:p w14:paraId="50C2F8B3">
            <w:pPr>
              <w:spacing w:line="240" w:lineRule="auto"/>
              <w:jc w:val="center"/>
              <w:rPr>
                <w:rFonts w:hint="eastAsia"/>
                <w:sz w:val="21"/>
                <w:szCs w:val="21"/>
              </w:rPr>
            </w:pPr>
            <w:r>
              <w:rPr>
                <w:rFonts w:hint="eastAsia"/>
                <w:sz w:val="21"/>
                <w:szCs w:val="21"/>
              </w:rPr>
              <w:t>0.002</w:t>
            </w:r>
          </w:p>
        </w:tc>
        <w:tc>
          <w:tcPr>
            <w:tcW w:w="1122" w:type="dxa"/>
            <w:vAlign w:val="center"/>
          </w:tcPr>
          <w:p w14:paraId="71D200EA">
            <w:pPr>
              <w:spacing w:line="240" w:lineRule="auto"/>
              <w:jc w:val="center"/>
              <w:rPr>
                <w:rFonts w:hint="eastAsia"/>
                <w:sz w:val="21"/>
                <w:szCs w:val="21"/>
              </w:rPr>
            </w:pPr>
            <w:r>
              <w:rPr>
                <w:rFonts w:hint="eastAsia"/>
                <w:sz w:val="21"/>
                <w:szCs w:val="21"/>
              </w:rPr>
              <w:t>0</w:t>
            </w:r>
          </w:p>
        </w:tc>
        <w:tc>
          <w:tcPr>
            <w:tcW w:w="1111" w:type="dxa"/>
            <w:vAlign w:val="center"/>
          </w:tcPr>
          <w:p w14:paraId="650AEF1A">
            <w:pPr>
              <w:spacing w:line="240" w:lineRule="auto"/>
              <w:jc w:val="center"/>
              <w:rPr>
                <w:rFonts w:hint="eastAsia"/>
                <w:sz w:val="21"/>
                <w:szCs w:val="21"/>
              </w:rPr>
            </w:pPr>
            <w:r>
              <w:rPr>
                <w:rFonts w:hint="eastAsia"/>
                <w:sz w:val="21"/>
                <w:szCs w:val="21"/>
              </w:rPr>
              <w:t>达标</w:t>
            </w:r>
          </w:p>
        </w:tc>
      </w:tr>
      <w:tr w14:paraId="4A6AD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7CD53146">
            <w:pPr>
              <w:spacing w:line="240" w:lineRule="auto"/>
              <w:jc w:val="center"/>
              <w:rPr>
                <w:rFonts w:hint="eastAsia"/>
                <w:sz w:val="21"/>
                <w:szCs w:val="21"/>
              </w:rPr>
            </w:pPr>
          </w:p>
        </w:tc>
        <w:tc>
          <w:tcPr>
            <w:tcW w:w="2252" w:type="dxa"/>
            <w:shd w:val="clear" w:color="auto" w:fill="auto"/>
            <w:vAlign w:val="center"/>
          </w:tcPr>
          <w:p w14:paraId="14914476">
            <w:pPr>
              <w:spacing w:line="240" w:lineRule="auto"/>
              <w:jc w:val="center"/>
              <w:rPr>
                <w:rFonts w:hint="eastAsia"/>
                <w:sz w:val="21"/>
                <w:szCs w:val="21"/>
              </w:rPr>
            </w:pPr>
            <w:r>
              <w:rPr>
                <w:rFonts w:hint="eastAsia"/>
                <w:sz w:val="21"/>
                <w:szCs w:val="21"/>
              </w:rPr>
              <w:t>硼</w:t>
            </w:r>
          </w:p>
        </w:tc>
        <w:tc>
          <w:tcPr>
            <w:tcW w:w="1344" w:type="dxa"/>
            <w:gridSpan w:val="2"/>
            <w:shd w:val="clear" w:color="auto" w:fill="FFFFFF"/>
            <w:vAlign w:val="center"/>
          </w:tcPr>
          <w:p w14:paraId="5A8A4EC5">
            <w:pPr>
              <w:spacing w:line="240" w:lineRule="auto"/>
              <w:jc w:val="center"/>
              <w:rPr>
                <w:sz w:val="21"/>
                <w:szCs w:val="21"/>
              </w:rPr>
            </w:pPr>
            <w:r>
              <w:rPr>
                <w:rFonts w:hint="eastAsia"/>
                <w:sz w:val="21"/>
                <w:szCs w:val="21"/>
              </w:rPr>
              <w:t>0.00418</w:t>
            </w:r>
          </w:p>
        </w:tc>
        <w:tc>
          <w:tcPr>
            <w:tcW w:w="1770" w:type="dxa"/>
            <w:shd w:val="solid" w:color="FFFFFF" w:fill="auto"/>
            <w:vAlign w:val="center"/>
          </w:tcPr>
          <w:p w14:paraId="73D03B7E">
            <w:pPr>
              <w:spacing w:line="240" w:lineRule="auto"/>
              <w:jc w:val="center"/>
              <w:rPr>
                <w:rFonts w:hint="eastAsia"/>
                <w:sz w:val="21"/>
                <w:szCs w:val="21"/>
              </w:rPr>
            </w:pPr>
            <w:r>
              <w:rPr>
                <w:rFonts w:hint="eastAsia"/>
                <w:sz w:val="21"/>
                <w:szCs w:val="21"/>
              </w:rPr>
              <w:t>0.5</w:t>
            </w:r>
          </w:p>
        </w:tc>
        <w:tc>
          <w:tcPr>
            <w:tcW w:w="1122" w:type="dxa"/>
            <w:vAlign w:val="center"/>
          </w:tcPr>
          <w:p w14:paraId="5D6F10F8">
            <w:pPr>
              <w:spacing w:line="240" w:lineRule="auto"/>
              <w:jc w:val="center"/>
              <w:rPr>
                <w:rFonts w:hint="eastAsia"/>
                <w:sz w:val="21"/>
                <w:szCs w:val="21"/>
              </w:rPr>
            </w:pPr>
            <w:r>
              <w:rPr>
                <w:rFonts w:hint="eastAsia"/>
                <w:sz w:val="21"/>
                <w:szCs w:val="21"/>
              </w:rPr>
              <w:t>0</w:t>
            </w:r>
          </w:p>
        </w:tc>
        <w:tc>
          <w:tcPr>
            <w:tcW w:w="1111" w:type="dxa"/>
            <w:vAlign w:val="center"/>
          </w:tcPr>
          <w:p w14:paraId="5DC27AE3">
            <w:pPr>
              <w:spacing w:line="240" w:lineRule="auto"/>
              <w:jc w:val="center"/>
              <w:rPr>
                <w:rFonts w:hint="eastAsia"/>
                <w:sz w:val="21"/>
                <w:szCs w:val="21"/>
              </w:rPr>
            </w:pPr>
            <w:r>
              <w:rPr>
                <w:rFonts w:hint="eastAsia"/>
                <w:sz w:val="21"/>
                <w:szCs w:val="21"/>
              </w:rPr>
              <w:t>达标</w:t>
            </w:r>
          </w:p>
        </w:tc>
      </w:tr>
      <w:tr w14:paraId="0ECB9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C93276A">
            <w:pPr>
              <w:spacing w:line="240" w:lineRule="auto"/>
              <w:jc w:val="center"/>
              <w:rPr>
                <w:rFonts w:hint="eastAsia"/>
                <w:sz w:val="21"/>
                <w:szCs w:val="21"/>
              </w:rPr>
            </w:pPr>
          </w:p>
        </w:tc>
        <w:tc>
          <w:tcPr>
            <w:tcW w:w="2252" w:type="dxa"/>
            <w:shd w:val="clear" w:color="auto" w:fill="auto"/>
            <w:vAlign w:val="center"/>
          </w:tcPr>
          <w:p w14:paraId="60B4CA64">
            <w:pPr>
              <w:spacing w:line="240" w:lineRule="auto"/>
              <w:jc w:val="center"/>
              <w:rPr>
                <w:rFonts w:hint="eastAsia"/>
                <w:sz w:val="21"/>
                <w:szCs w:val="21"/>
              </w:rPr>
            </w:pPr>
            <w:r>
              <w:rPr>
                <w:rFonts w:hint="eastAsia"/>
                <w:sz w:val="21"/>
                <w:szCs w:val="21"/>
              </w:rPr>
              <w:t>锑</w:t>
            </w:r>
          </w:p>
        </w:tc>
        <w:tc>
          <w:tcPr>
            <w:tcW w:w="1344" w:type="dxa"/>
            <w:gridSpan w:val="2"/>
            <w:shd w:val="clear" w:color="auto" w:fill="FFFFFF"/>
            <w:vAlign w:val="center"/>
          </w:tcPr>
          <w:p w14:paraId="6979ECBD">
            <w:pPr>
              <w:spacing w:line="240" w:lineRule="auto"/>
              <w:jc w:val="center"/>
              <w:rPr>
                <w:sz w:val="21"/>
                <w:szCs w:val="21"/>
              </w:rPr>
            </w:pPr>
            <w:r>
              <w:rPr>
                <w:rFonts w:hint="eastAsia"/>
                <w:sz w:val="21"/>
                <w:szCs w:val="21"/>
              </w:rPr>
              <w:t>0.0002L</w:t>
            </w:r>
          </w:p>
        </w:tc>
        <w:tc>
          <w:tcPr>
            <w:tcW w:w="1770" w:type="dxa"/>
            <w:shd w:val="solid" w:color="FFFFFF" w:fill="auto"/>
            <w:vAlign w:val="center"/>
          </w:tcPr>
          <w:p w14:paraId="0538A71B">
            <w:pPr>
              <w:spacing w:line="240" w:lineRule="auto"/>
              <w:jc w:val="center"/>
              <w:rPr>
                <w:rFonts w:hint="eastAsia"/>
                <w:sz w:val="21"/>
                <w:szCs w:val="21"/>
              </w:rPr>
            </w:pPr>
            <w:r>
              <w:rPr>
                <w:rFonts w:hint="eastAsia"/>
                <w:sz w:val="21"/>
                <w:szCs w:val="21"/>
              </w:rPr>
              <w:t>0.005</w:t>
            </w:r>
          </w:p>
        </w:tc>
        <w:tc>
          <w:tcPr>
            <w:tcW w:w="1122" w:type="dxa"/>
            <w:vAlign w:val="center"/>
          </w:tcPr>
          <w:p w14:paraId="26B6E5CB">
            <w:pPr>
              <w:spacing w:line="240" w:lineRule="auto"/>
              <w:jc w:val="center"/>
              <w:rPr>
                <w:rFonts w:hint="eastAsia"/>
                <w:sz w:val="21"/>
                <w:szCs w:val="21"/>
              </w:rPr>
            </w:pPr>
            <w:r>
              <w:rPr>
                <w:rFonts w:hint="eastAsia"/>
                <w:sz w:val="21"/>
                <w:szCs w:val="21"/>
              </w:rPr>
              <w:t>0</w:t>
            </w:r>
          </w:p>
        </w:tc>
        <w:tc>
          <w:tcPr>
            <w:tcW w:w="1111" w:type="dxa"/>
            <w:vAlign w:val="center"/>
          </w:tcPr>
          <w:p w14:paraId="181243A1">
            <w:pPr>
              <w:spacing w:line="240" w:lineRule="auto"/>
              <w:jc w:val="center"/>
              <w:rPr>
                <w:rFonts w:hint="eastAsia"/>
                <w:sz w:val="21"/>
                <w:szCs w:val="21"/>
              </w:rPr>
            </w:pPr>
            <w:r>
              <w:rPr>
                <w:rFonts w:hint="eastAsia"/>
                <w:sz w:val="21"/>
                <w:szCs w:val="21"/>
              </w:rPr>
              <w:t>达标</w:t>
            </w:r>
          </w:p>
        </w:tc>
      </w:tr>
      <w:tr w14:paraId="00A13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48712FB0">
            <w:pPr>
              <w:spacing w:line="240" w:lineRule="auto"/>
              <w:jc w:val="center"/>
              <w:rPr>
                <w:rFonts w:hint="eastAsia"/>
                <w:sz w:val="21"/>
                <w:szCs w:val="21"/>
              </w:rPr>
            </w:pPr>
          </w:p>
        </w:tc>
        <w:tc>
          <w:tcPr>
            <w:tcW w:w="2252" w:type="dxa"/>
            <w:shd w:val="clear" w:color="auto" w:fill="auto"/>
            <w:vAlign w:val="center"/>
          </w:tcPr>
          <w:p w14:paraId="5FC70380">
            <w:pPr>
              <w:spacing w:line="240" w:lineRule="auto"/>
              <w:jc w:val="center"/>
              <w:rPr>
                <w:rFonts w:hint="eastAsia"/>
                <w:sz w:val="21"/>
                <w:szCs w:val="21"/>
              </w:rPr>
            </w:pPr>
            <w:r>
              <w:rPr>
                <w:rFonts w:hint="eastAsia"/>
                <w:sz w:val="21"/>
                <w:szCs w:val="21"/>
              </w:rPr>
              <w:t>镍</w:t>
            </w:r>
          </w:p>
        </w:tc>
        <w:tc>
          <w:tcPr>
            <w:tcW w:w="1344" w:type="dxa"/>
            <w:gridSpan w:val="2"/>
            <w:shd w:val="clear" w:color="auto" w:fill="FFFFFF"/>
            <w:vAlign w:val="center"/>
          </w:tcPr>
          <w:p w14:paraId="3B778085">
            <w:pPr>
              <w:spacing w:line="240" w:lineRule="auto"/>
              <w:jc w:val="center"/>
              <w:rPr>
                <w:sz w:val="21"/>
                <w:szCs w:val="21"/>
              </w:rPr>
            </w:pPr>
            <w:r>
              <w:rPr>
                <w:rFonts w:hint="eastAsia"/>
                <w:sz w:val="21"/>
                <w:szCs w:val="21"/>
              </w:rPr>
              <w:t>0.00054</w:t>
            </w:r>
          </w:p>
        </w:tc>
        <w:tc>
          <w:tcPr>
            <w:tcW w:w="1770" w:type="dxa"/>
            <w:shd w:val="solid" w:color="FFFFFF" w:fill="auto"/>
            <w:vAlign w:val="center"/>
          </w:tcPr>
          <w:p w14:paraId="0C9FCE3B">
            <w:pPr>
              <w:spacing w:line="240" w:lineRule="auto"/>
              <w:jc w:val="center"/>
              <w:rPr>
                <w:rFonts w:hint="eastAsia"/>
                <w:sz w:val="21"/>
                <w:szCs w:val="21"/>
              </w:rPr>
            </w:pPr>
            <w:r>
              <w:rPr>
                <w:rFonts w:hint="eastAsia"/>
                <w:sz w:val="21"/>
                <w:szCs w:val="21"/>
              </w:rPr>
              <w:t>0.02</w:t>
            </w:r>
          </w:p>
        </w:tc>
        <w:tc>
          <w:tcPr>
            <w:tcW w:w="1122" w:type="dxa"/>
            <w:vAlign w:val="center"/>
          </w:tcPr>
          <w:p w14:paraId="1E303F6D">
            <w:pPr>
              <w:spacing w:line="240" w:lineRule="auto"/>
              <w:jc w:val="center"/>
              <w:rPr>
                <w:rFonts w:hint="eastAsia"/>
                <w:sz w:val="21"/>
                <w:szCs w:val="21"/>
              </w:rPr>
            </w:pPr>
            <w:r>
              <w:rPr>
                <w:rFonts w:hint="eastAsia"/>
                <w:sz w:val="21"/>
                <w:szCs w:val="21"/>
              </w:rPr>
              <w:t>0</w:t>
            </w:r>
          </w:p>
        </w:tc>
        <w:tc>
          <w:tcPr>
            <w:tcW w:w="1111" w:type="dxa"/>
            <w:vAlign w:val="center"/>
          </w:tcPr>
          <w:p w14:paraId="119E8106">
            <w:pPr>
              <w:spacing w:line="240" w:lineRule="auto"/>
              <w:jc w:val="center"/>
              <w:rPr>
                <w:rFonts w:hint="eastAsia"/>
                <w:sz w:val="21"/>
                <w:szCs w:val="21"/>
              </w:rPr>
            </w:pPr>
            <w:r>
              <w:rPr>
                <w:rFonts w:hint="eastAsia"/>
                <w:sz w:val="21"/>
                <w:szCs w:val="21"/>
              </w:rPr>
              <w:t>达标</w:t>
            </w:r>
          </w:p>
        </w:tc>
      </w:tr>
      <w:tr w14:paraId="368FD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3710A289">
            <w:pPr>
              <w:spacing w:line="240" w:lineRule="auto"/>
              <w:jc w:val="center"/>
              <w:rPr>
                <w:rFonts w:hint="eastAsia"/>
                <w:sz w:val="21"/>
                <w:szCs w:val="21"/>
              </w:rPr>
            </w:pPr>
          </w:p>
        </w:tc>
        <w:tc>
          <w:tcPr>
            <w:tcW w:w="2252" w:type="dxa"/>
            <w:shd w:val="clear" w:color="auto" w:fill="auto"/>
            <w:vAlign w:val="center"/>
          </w:tcPr>
          <w:p w14:paraId="7705AA22">
            <w:pPr>
              <w:spacing w:line="240" w:lineRule="auto"/>
              <w:jc w:val="center"/>
              <w:rPr>
                <w:rFonts w:hint="eastAsia"/>
                <w:sz w:val="21"/>
                <w:szCs w:val="21"/>
              </w:rPr>
            </w:pPr>
            <w:r>
              <w:rPr>
                <w:rFonts w:hint="eastAsia"/>
                <w:sz w:val="21"/>
                <w:szCs w:val="21"/>
              </w:rPr>
              <w:t>钡</w:t>
            </w:r>
          </w:p>
        </w:tc>
        <w:tc>
          <w:tcPr>
            <w:tcW w:w="1344" w:type="dxa"/>
            <w:gridSpan w:val="2"/>
            <w:shd w:val="clear" w:color="auto" w:fill="FFFFFF"/>
            <w:vAlign w:val="center"/>
          </w:tcPr>
          <w:p w14:paraId="05E69549">
            <w:pPr>
              <w:spacing w:line="240" w:lineRule="auto"/>
              <w:jc w:val="center"/>
              <w:rPr>
                <w:sz w:val="21"/>
                <w:szCs w:val="21"/>
              </w:rPr>
            </w:pPr>
            <w:r>
              <w:rPr>
                <w:rFonts w:hint="eastAsia"/>
                <w:sz w:val="21"/>
                <w:szCs w:val="21"/>
              </w:rPr>
              <w:t>0.0137</w:t>
            </w:r>
          </w:p>
        </w:tc>
        <w:tc>
          <w:tcPr>
            <w:tcW w:w="1770" w:type="dxa"/>
            <w:shd w:val="solid" w:color="FFFFFF" w:fill="auto"/>
            <w:vAlign w:val="center"/>
          </w:tcPr>
          <w:p w14:paraId="55158683">
            <w:pPr>
              <w:spacing w:line="240" w:lineRule="auto"/>
              <w:jc w:val="center"/>
              <w:rPr>
                <w:rFonts w:hint="eastAsia"/>
                <w:sz w:val="21"/>
                <w:szCs w:val="21"/>
              </w:rPr>
            </w:pPr>
            <w:r>
              <w:rPr>
                <w:rFonts w:hint="eastAsia"/>
                <w:sz w:val="21"/>
                <w:szCs w:val="21"/>
              </w:rPr>
              <w:t>0.7</w:t>
            </w:r>
          </w:p>
        </w:tc>
        <w:tc>
          <w:tcPr>
            <w:tcW w:w="1122" w:type="dxa"/>
            <w:vAlign w:val="center"/>
          </w:tcPr>
          <w:p w14:paraId="36AF01E2">
            <w:pPr>
              <w:spacing w:line="240" w:lineRule="auto"/>
              <w:jc w:val="center"/>
              <w:rPr>
                <w:rFonts w:hint="eastAsia"/>
                <w:sz w:val="21"/>
                <w:szCs w:val="21"/>
              </w:rPr>
            </w:pPr>
            <w:r>
              <w:rPr>
                <w:rFonts w:hint="eastAsia"/>
                <w:sz w:val="21"/>
                <w:szCs w:val="21"/>
              </w:rPr>
              <w:t>0</w:t>
            </w:r>
          </w:p>
        </w:tc>
        <w:tc>
          <w:tcPr>
            <w:tcW w:w="1111" w:type="dxa"/>
            <w:vAlign w:val="center"/>
          </w:tcPr>
          <w:p w14:paraId="6A661BD7">
            <w:pPr>
              <w:spacing w:line="240" w:lineRule="auto"/>
              <w:jc w:val="center"/>
              <w:rPr>
                <w:rFonts w:hint="eastAsia"/>
                <w:sz w:val="21"/>
                <w:szCs w:val="21"/>
              </w:rPr>
            </w:pPr>
            <w:r>
              <w:rPr>
                <w:rFonts w:hint="eastAsia"/>
                <w:sz w:val="21"/>
                <w:szCs w:val="21"/>
              </w:rPr>
              <w:t>达标</w:t>
            </w:r>
          </w:p>
        </w:tc>
      </w:tr>
      <w:tr w14:paraId="4CED6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06A69567">
            <w:pPr>
              <w:spacing w:line="240" w:lineRule="auto"/>
              <w:jc w:val="center"/>
              <w:rPr>
                <w:rFonts w:hint="eastAsia"/>
                <w:sz w:val="21"/>
                <w:szCs w:val="21"/>
              </w:rPr>
            </w:pPr>
          </w:p>
        </w:tc>
        <w:tc>
          <w:tcPr>
            <w:tcW w:w="2252" w:type="dxa"/>
            <w:shd w:val="clear" w:color="auto" w:fill="auto"/>
            <w:vAlign w:val="center"/>
          </w:tcPr>
          <w:p w14:paraId="71D2C41C">
            <w:pPr>
              <w:spacing w:line="240" w:lineRule="auto"/>
              <w:jc w:val="center"/>
              <w:rPr>
                <w:rFonts w:hint="eastAsia"/>
                <w:sz w:val="21"/>
                <w:szCs w:val="21"/>
              </w:rPr>
            </w:pPr>
            <w:r>
              <w:rPr>
                <w:rFonts w:hint="eastAsia"/>
                <w:sz w:val="21"/>
                <w:szCs w:val="21"/>
              </w:rPr>
              <w:t>钒</w:t>
            </w:r>
          </w:p>
        </w:tc>
        <w:tc>
          <w:tcPr>
            <w:tcW w:w="1344" w:type="dxa"/>
            <w:gridSpan w:val="2"/>
            <w:shd w:val="clear" w:color="auto" w:fill="FFFFFF"/>
            <w:vAlign w:val="center"/>
          </w:tcPr>
          <w:p w14:paraId="6AC5D1D7">
            <w:pPr>
              <w:spacing w:line="240" w:lineRule="auto"/>
              <w:jc w:val="center"/>
              <w:rPr>
                <w:sz w:val="21"/>
                <w:szCs w:val="21"/>
              </w:rPr>
            </w:pPr>
            <w:r>
              <w:rPr>
                <w:rFonts w:hint="eastAsia"/>
                <w:sz w:val="21"/>
                <w:szCs w:val="21"/>
              </w:rPr>
              <w:t>0.00013</w:t>
            </w:r>
          </w:p>
        </w:tc>
        <w:tc>
          <w:tcPr>
            <w:tcW w:w="1770" w:type="dxa"/>
            <w:shd w:val="solid" w:color="FFFFFF" w:fill="auto"/>
            <w:vAlign w:val="center"/>
          </w:tcPr>
          <w:p w14:paraId="5756CB34">
            <w:pPr>
              <w:spacing w:line="240" w:lineRule="auto"/>
              <w:jc w:val="center"/>
              <w:rPr>
                <w:rFonts w:hint="eastAsia"/>
                <w:sz w:val="21"/>
                <w:szCs w:val="21"/>
              </w:rPr>
            </w:pPr>
            <w:r>
              <w:rPr>
                <w:rFonts w:hint="eastAsia"/>
                <w:sz w:val="21"/>
                <w:szCs w:val="21"/>
              </w:rPr>
              <w:t>0.05</w:t>
            </w:r>
          </w:p>
        </w:tc>
        <w:tc>
          <w:tcPr>
            <w:tcW w:w="1122" w:type="dxa"/>
            <w:vAlign w:val="center"/>
          </w:tcPr>
          <w:p w14:paraId="241D41B1">
            <w:pPr>
              <w:spacing w:line="240" w:lineRule="auto"/>
              <w:jc w:val="center"/>
              <w:rPr>
                <w:rFonts w:hint="eastAsia"/>
                <w:sz w:val="21"/>
                <w:szCs w:val="21"/>
              </w:rPr>
            </w:pPr>
            <w:r>
              <w:rPr>
                <w:rFonts w:hint="eastAsia"/>
                <w:sz w:val="21"/>
                <w:szCs w:val="21"/>
              </w:rPr>
              <w:t>0</w:t>
            </w:r>
          </w:p>
        </w:tc>
        <w:tc>
          <w:tcPr>
            <w:tcW w:w="1111" w:type="dxa"/>
            <w:vAlign w:val="center"/>
          </w:tcPr>
          <w:p w14:paraId="1A44EFBF">
            <w:pPr>
              <w:spacing w:line="240" w:lineRule="auto"/>
              <w:jc w:val="center"/>
              <w:rPr>
                <w:rFonts w:hint="eastAsia"/>
                <w:sz w:val="21"/>
                <w:szCs w:val="21"/>
              </w:rPr>
            </w:pPr>
            <w:r>
              <w:rPr>
                <w:rFonts w:hint="eastAsia"/>
                <w:sz w:val="21"/>
                <w:szCs w:val="21"/>
              </w:rPr>
              <w:t>达标</w:t>
            </w:r>
          </w:p>
        </w:tc>
      </w:tr>
      <w:tr w14:paraId="35338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shd w:val="clear" w:color="auto" w:fill="auto"/>
            <w:vAlign w:val="center"/>
          </w:tcPr>
          <w:p w14:paraId="5BA046B1">
            <w:pPr>
              <w:spacing w:line="240" w:lineRule="auto"/>
              <w:jc w:val="center"/>
              <w:rPr>
                <w:rFonts w:hint="eastAsia"/>
                <w:sz w:val="21"/>
                <w:szCs w:val="21"/>
              </w:rPr>
            </w:pPr>
          </w:p>
        </w:tc>
        <w:tc>
          <w:tcPr>
            <w:tcW w:w="2252" w:type="dxa"/>
            <w:shd w:val="clear" w:color="auto" w:fill="auto"/>
            <w:vAlign w:val="center"/>
          </w:tcPr>
          <w:p w14:paraId="4241EC8D">
            <w:pPr>
              <w:spacing w:line="240" w:lineRule="auto"/>
              <w:jc w:val="center"/>
              <w:rPr>
                <w:rFonts w:hint="eastAsia"/>
                <w:sz w:val="21"/>
                <w:szCs w:val="21"/>
              </w:rPr>
            </w:pPr>
            <w:r>
              <w:rPr>
                <w:rFonts w:hint="eastAsia"/>
                <w:sz w:val="21"/>
                <w:szCs w:val="21"/>
              </w:rPr>
              <w:t>钛</w:t>
            </w:r>
          </w:p>
        </w:tc>
        <w:tc>
          <w:tcPr>
            <w:tcW w:w="1344" w:type="dxa"/>
            <w:gridSpan w:val="2"/>
            <w:shd w:val="clear" w:color="auto" w:fill="FFFFFF"/>
            <w:vAlign w:val="center"/>
          </w:tcPr>
          <w:p w14:paraId="23C5E88A">
            <w:pPr>
              <w:spacing w:line="240" w:lineRule="auto"/>
              <w:jc w:val="center"/>
              <w:rPr>
                <w:sz w:val="21"/>
                <w:szCs w:val="21"/>
              </w:rPr>
            </w:pPr>
            <w:r>
              <w:rPr>
                <w:rFonts w:hint="eastAsia"/>
                <w:sz w:val="21"/>
                <w:szCs w:val="21"/>
              </w:rPr>
              <w:t>0.0339</w:t>
            </w:r>
          </w:p>
        </w:tc>
        <w:tc>
          <w:tcPr>
            <w:tcW w:w="1770" w:type="dxa"/>
            <w:shd w:val="solid" w:color="FFFFFF" w:fill="auto"/>
            <w:vAlign w:val="center"/>
          </w:tcPr>
          <w:p w14:paraId="3760DCC8">
            <w:pPr>
              <w:spacing w:line="240" w:lineRule="auto"/>
              <w:jc w:val="center"/>
              <w:rPr>
                <w:rFonts w:hint="eastAsia"/>
                <w:sz w:val="21"/>
                <w:szCs w:val="21"/>
              </w:rPr>
            </w:pPr>
            <w:r>
              <w:rPr>
                <w:rFonts w:hint="eastAsia"/>
                <w:sz w:val="21"/>
                <w:szCs w:val="21"/>
              </w:rPr>
              <w:t>0.1</w:t>
            </w:r>
          </w:p>
        </w:tc>
        <w:tc>
          <w:tcPr>
            <w:tcW w:w="1122" w:type="dxa"/>
            <w:vAlign w:val="center"/>
          </w:tcPr>
          <w:p w14:paraId="4A8755C4">
            <w:pPr>
              <w:spacing w:line="240" w:lineRule="auto"/>
              <w:jc w:val="center"/>
              <w:rPr>
                <w:rFonts w:hint="eastAsia"/>
                <w:sz w:val="21"/>
                <w:szCs w:val="21"/>
              </w:rPr>
            </w:pPr>
            <w:r>
              <w:rPr>
                <w:rFonts w:hint="eastAsia"/>
                <w:sz w:val="21"/>
                <w:szCs w:val="21"/>
              </w:rPr>
              <w:t>0</w:t>
            </w:r>
          </w:p>
        </w:tc>
        <w:tc>
          <w:tcPr>
            <w:tcW w:w="1111" w:type="dxa"/>
            <w:vAlign w:val="center"/>
          </w:tcPr>
          <w:p w14:paraId="4B3D03B2">
            <w:pPr>
              <w:spacing w:line="240" w:lineRule="auto"/>
              <w:jc w:val="center"/>
              <w:rPr>
                <w:rFonts w:hint="eastAsia"/>
                <w:sz w:val="21"/>
                <w:szCs w:val="21"/>
              </w:rPr>
            </w:pPr>
            <w:r>
              <w:rPr>
                <w:rFonts w:hint="eastAsia"/>
                <w:sz w:val="21"/>
                <w:szCs w:val="21"/>
              </w:rPr>
              <w:t>达标</w:t>
            </w:r>
          </w:p>
        </w:tc>
      </w:tr>
      <w:tr w14:paraId="48AD0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 w:type="dxa"/>
            <w:vMerge w:val="continue"/>
            <w:tcBorders>
              <w:bottom w:val="single" w:color="auto" w:sz="12" w:space="0"/>
            </w:tcBorders>
            <w:shd w:val="clear" w:color="auto" w:fill="auto"/>
            <w:vAlign w:val="center"/>
          </w:tcPr>
          <w:p w14:paraId="5FE51428">
            <w:pPr>
              <w:spacing w:line="240" w:lineRule="auto"/>
              <w:jc w:val="center"/>
              <w:rPr>
                <w:rFonts w:hint="eastAsia"/>
                <w:sz w:val="21"/>
                <w:szCs w:val="21"/>
              </w:rPr>
            </w:pPr>
          </w:p>
        </w:tc>
        <w:tc>
          <w:tcPr>
            <w:tcW w:w="2252" w:type="dxa"/>
            <w:tcBorders>
              <w:bottom w:val="single" w:color="auto" w:sz="12" w:space="0"/>
            </w:tcBorders>
            <w:shd w:val="clear" w:color="auto" w:fill="auto"/>
            <w:vAlign w:val="center"/>
          </w:tcPr>
          <w:p w14:paraId="066E57FD">
            <w:pPr>
              <w:spacing w:line="240" w:lineRule="auto"/>
              <w:jc w:val="center"/>
              <w:rPr>
                <w:rFonts w:hint="eastAsia"/>
                <w:sz w:val="21"/>
                <w:szCs w:val="21"/>
              </w:rPr>
            </w:pPr>
            <w:r>
              <w:rPr>
                <w:rFonts w:hint="eastAsia"/>
                <w:sz w:val="21"/>
                <w:szCs w:val="21"/>
              </w:rPr>
              <w:t>铊</w:t>
            </w:r>
          </w:p>
        </w:tc>
        <w:tc>
          <w:tcPr>
            <w:tcW w:w="1344" w:type="dxa"/>
            <w:gridSpan w:val="2"/>
            <w:tcBorders>
              <w:bottom w:val="single" w:color="auto" w:sz="12" w:space="0"/>
            </w:tcBorders>
            <w:shd w:val="clear" w:color="auto" w:fill="FFFFFF"/>
            <w:vAlign w:val="center"/>
          </w:tcPr>
          <w:p w14:paraId="7DA883A6">
            <w:pPr>
              <w:spacing w:line="240" w:lineRule="auto"/>
              <w:jc w:val="center"/>
              <w:rPr>
                <w:sz w:val="21"/>
                <w:szCs w:val="21"/>
              </w:rPr>
            </w:pPr>
            <w:r>
              <w:rPr>
                <w:rFonts w:hint="eastAsia"/>
                <w:sz w:val="21"/>
                <w:szCs w:val="21"/>
              </w:rPr>
              <w:t>0.00002L</w:t>
            </w:r>
          </w:p>
        </w:tc>
        <w:tc>
          <w:tcPr>
            <w:tcW w:w="1770" w:type="dxa"/>
            <w:tcBorders>
              <w:bottom w:val="single" w:color="auto" w:sz="12" w:space="0"/>
            </w:tcBorders>
            <w:shd w:val="solid" w:color="FFFFFF" w:fill="auto"/>
            <w:vAlign w:val="center"/>
          </w:tcPr>
          <w:p w14:paraId="6BDFD2D9">
            <w:pPr>
              <w:spacing w:line="240" w:lineRule="auto"/>
              <w:jc w:val="center"/>
              <w:rPr>
                <w:rFonts w:hint="eastAsia"/>
                <w:sz w:val="21"/>
                <w:szCs w:val="21"/>
              </w:rPr>
            </w:pPr>
            <w:r>
              <w:rPr>
                <w:rFonts w:hint="eastAsia"/>
                <w:sz w:val="21"/>
                <w:szCs w:val="21"/>
              </w:rPr>
              <w:t>0.0001</w:t>
            </w:r>
          </w:p>
        </w:tc>
        <w:tc>
          <w:tcPr>
            <w:tcW w:w="1122" w:type="dxa"/>
            <w:tcBorders>
              <w:bottom w:val="single" w:color="auto" w:sz="12" w:space="0"/>
            </w:tcBorders>
            <w:vAlign w:val="center"/>
          </w:tcPr>
          <w:p w14:paraId="70F16711">
            <w:pPr>
              <w:spacing w:line="240" w:lineRule="auto"/>
              <w:jc w:val="center"/>
              <w:rPr>
                <w:rFonts w:hint="eastAsia"/>
                <w:sz w:val="21"/>
                <w:szCs w:val="21"/>
              </w:rPr>
            </w:pPr>
            <w:r>
              <w:rPr>
                <w:rFonts w:hint="eastAsia"/>
                <w:sz w:val="21"/>
                <w:szCs w:val="21"/>
              </w:rPr>
              <w:t>0</w:t>
            </w:r>
          </w:p>
        </w:tc>
        <w:tc>
          <w:tcPr>
            <w:tcW w:w="1111" w:type="dxa"/>
            <w:tcBorders>
              <w:bottom w:val="single" w:color="auto" w:sz="12" w:space="0"/>
            </w:tcBorders>
            <w:vAlign w:val="center"/>
          </w:tcPr>
          <w:p w14:paraId="602CF897">
            <w:pPr>
              <w:spacing w:line="240" w:lineRule="auto"/>
              <w:jc w:val="center"/>
              <w:rPr>
                <w:rFonts w:hint="eastAsia"/>
                <w:sz w:val="21"/>
                <w:szCs w:val="21"/>
              </w:rPr>
            </w:pPr>
            <w:r>
              <w:rPr>
                <w:rFonts w:hint="eastAsia"/>
                <w:sz w:val="21"/>
                <w:szCs w:val="21"/>
              </w:rPr>
              <w:t>达标</w:t>
            </w:r>
          </w:p>
        </w:tc>
      </w:tr>
    </w:tbl>
    <w:p w14:paraId="648F3E8B">
      <w:pPr>
        <w:pStyle w:val="17"/>
        <w:adjustRightInd w:val="0"/>
        <w:snapToGrid w:val="0"/>
        <w:spacing w:before="0" w:beforeAutospacing="0" w:after="0" w:afterAutospacing="0"/>
        <w:ind w:firstLine="480" w:firstLineChars="200"/>
        <w:jc w:val="both"/>
        <w:rPr>
          <w:shd w:val="clear" w:color="auto" w:fill="FFFFFF"/>
        </w:rPr>
      </w:pPr>
      <w:r>
        <w:rPr>
          <w:rFonts w:hint="eastAsia"/>
          <w:shd w:val="clear" w:color="auto" w:fill="FFFFFF"/>
        </w:rPr>
        <w:t>关峡苗族乡兰溪水饮用水水源地保护区</w:t>
      </w:r>
      <w:r>
        <w:rPr>
          <w:shd w:val="clear" w:color="auto" w:fill="FFFFFF"/>
        </w:rPr>
        <w:t>取水口监测断面评价结果如</w:t>
      </w:r>
      <w:r>
        <w:rPr>
          <w:rFonts w:hint="eastAsia"/>
          <w:shd w:val="clear" w:color="auto" w:fill="FFFFFF"/>
        </w:rPr>
        <w:t>下</w:t>
      </w:r>
      <w:r>
        <w:rPr>
          <w:shd w:val="clear" w:color="auto" w:fill="FFFFFF"/>
        </w:rPr>
        <w:t>表。</w:t>
      </w:r>
    </w:p>
    <w:p w14:paraId="5294022C">
      <w:pPr>
        <w:autoSpaceDE w:val="0"/>
        <w:autoSpaceDN w:val="0"/>
        <w:adjustRightInd w:val="0"/>
        <w:jc w:val="center"/>
        <w:rPr>
          <w:b/>
          <w:bCs/>
          <w:sz w:val="21"/>
          <w:szCs w:val="21"/>
        </w:rPr>
      </w:pPr>
      <w:r>
        <w:rPr>
          <w:b/>
          <w:bCs/>
          <w:sz w:val="21"/>
          <w:szCs w:val="21"/>
        </w:rPr>
        <w:t>表2-</w:t>
      </w:r>
      <w:r>
        <w:rPr>
          <w:rFonts w:hint="eastAsia"/>
          <w:b/>
          <w:bCs/>
          <w:sz w:val="21"/>
          <w:szCs w:val="21"/>
        </w:rPr>
        <w:t>14</w:t>
      </w:r>
      <w:r>
        <w:rPr>
          <w:b/>
          <w:bCs/>
          <w:sz w:val="21"/>
          <w:szCs w:val="21"/>
        </w:rPr>
        <w:t xml:space="preserve">  水源地保护区取水口监测断面评价结果</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89"/>
        <w:gridCol w:w="1466"/>
        <w:gridCol w:w="1519"/>
      </w:tblGrid>
      <w:tr w14:paraId="061B2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089" w:type="dxa"/>
            <w:vAlign w:val="center"/>
          </w:tcPr>
          <w:p w14:paraId="76AEF1C5">
            <w:pPr>
              <w:spacing w:line="240" w:lineRule="auto"/>
              <w:jc w:val="center"/>
              <w:rPr>
                <w:b/>
                <w:bCs/>
                <w:sz w:val="21"/>
                <w:szCs w:val="21"/>
              </w:rPr>
            </w:pPr>
            <w:r>
              <w:rPr>
                <w:b/>
                <w:bCs/>
                <w:sz w:val="21"/>
                <w:szCs w:val="21"/>
              </w:rPr>
              <w:t>评价断面（河段）</w:t>
            </w:r>
          </w:p>
        </w:tc>
        <w:tc>
          <w:tcPr>
            <w:tcW w:w="1466" w:type="dxa"/>
            <w:vAlign w:val="center"/>
          </w:tcPr>
          <w:p w14:paraId="083EBF87">
            <w:pPr>
              <w:spacing w:line="240" w:lineRule="auto"/>
              <w:jc w:val="center"/>
              <w:rPr>
                <w:b/>
                <w:bCs/>
                <w:sz w:val="21"/>
                <w:szCs w:val="21"/>
              </w:rPr>
            </w:pPr>
            <w:r>
              <w:rPr>
                <w:b/>
                <w:bCs/>
                <w:sz w:val="21"/>
                <w:szCs w:val="21"/>
              </w:rPr>
              <w:t>水质类别</w:t>
            </w:r>
          </w:p>
        </w:tc>
        <w:tc>
          <w:tcPr>
            <w:tcW w:w="1519" w:type="dxa"/>
            <w:vAlign w:val="center"/>
          </w:tcPr>
          <w:p w14:paraId="6DCC4E06">
            <w:pPr>
              <w:spacing w:line="240" w:lineRule="auto"/>
              <w:jc w:val="center"/>
              <w:rPr>
                <w:b/>
                <w:bCs/>
                <w:sz w:val="21"/>
                <w:szCs w:val="21"/>
              </w:rPr>
            </w:pPr>
            <w:r>
              <w:rPr>
                <w:b/>
                <w:bCs/>
                <w:sz w:val="21"/>
                <w:szCs w:val="21"/>
              </w:rPr>
              <w:t>水质状况</w:t>
            </w:r>
          </w:p>
        </w:tc>
      </w:tr>
      <w:tr w14:paraId="29A64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89" w:type="dxa"/>
            <w:vAlign w:val="center"/>
          </w:tcPr>
          <w:p w14:paraId="69FB2B65">
            <w:pPr>
              <w:spacing w:line="240" w:lineRule="auto"/>
              <w:jc w:val="center"/>
              <w:rPr>
                <w:sz w:val="21"/>
                <w:szCs w:val="21"/>
              </w:rPr>
            </w:pPr>
            <w:r>
              <w:rPr>
                <w:rFonts w:hint="eastAsia"/>
                <w:sz w:val="21"/>
                <w:szCs w:val="21"/>
              </w:rPr>
              <w:t>绥宁县关峡苗族乡兰溪水饮用水水源地保护区</w:t>
            </w:r>
            <w:r>
              <w:rPr>
                <w:sz w:val="21"/>
                <w:szCs w:val="21"/>
              </w:rPr>
              <w:t>取水口</w:t>
            </w:r>
          </w:p>
        </w:tc>
        <w:tc>
          <w:tcPr>
            <w:tcW w:w="1466" w:type="dxa"/>
            <w:vAlign w:val="center"/>
          </w:tcPr>
          <w:p w14:paraId="6207B49D">
            <w:pPr>
              <w:spacing w:line="240" w:lineRule="auto"/>
              <w:jc w:val="center"/>
              <w:rPr>
                <w:sz w:val="21"/>
                <w:szCs w:val="21"/>
              </w:rPr>
            </w:pPr>
            <w:r>
              <w:rPr>
                <w:sz w:val="21"/>
                <w:szCs w:val="21"/>
              </w:rPr>
              <w:t>Ⅱ类水质</w:t>
            </w:r>
          </w:p>
        </w:tc>
        <w:tc>
          <w:tcPr>
            <w:tcW w:w="1519" w:type="dxa"/>
            <w:vAlign w:val="center"/>
          </w:tcPr>
          <w:p w14:paraId="64B4B262">
            <w:pPr>
              <w:spacing w:line="240" w:lineRule="auto"/>
              <w:jc w:val="center"/>
              <w:rPr>
                <w:sz w:val="21"/>
                <w:szCs w:val="21"/>
              </w:rPr>
            </w:pPr>
            <w:r>
              <w:rPr>
                <w:sz w:val="21"/>
                <w:szCs w:val="21"/>
              </w:rPr>
              <w:t>符合</w:t>
            </w:r>
          </w:p>
        </w:tc>
      </w:tr>
    </w:tbl>
    <w:p w14:paraId="70A71386">
      <w:pPr>
        <w:ind w:firstLine="480" w:firstLineChars="200"/>
      </w:pPr>
      <w:bookmarkStart w:id="230" w:name="_Toc2633"/>
      <w:r>
        <w:t>根据断面水质评价中单因子评价法，邵阳市</w:t>
      </w:r>
      <w:r>
        <w:rPr>
          <w:rFonts w:hint="eastAsia"/>
        </w:rPr>
        <w:t>绥宁县关峡苗族乡兰溪水饮用水水源地保护区</w:t>
      </w:r>
      <w:r>
        <w:t>取水口监测断面水质评价指标</w:t>
      </w:r>
      <w:r>
        <w:rPr>
          <w:rFonts w:hint="eastAsia"/>
          <w:lang w:eastAsia="zh-CN"/>
        </w:rPr>
        <w:t>（</w:t>
      </w:r>
      <w:r>
        <w:rPr>
          <w:rFonts w:hint="eastAsia"/>
          <w:u w:val="wave"/>
          <w:lang w:val="en-US" w:eastAsia="zh-CN"/>
        </w:rPr>
        <w:t>除总氮因农业面源污染超标外</w:t>
      </w:r>
      <w:r>
        <w:rPr>
          <w:rFonts w:hint="eastAsia"/>
          <w:lang w:eastAsia="zh-CN"/>
        </w:rPr>
        <w:t>）</w:t>
      </w:r>
      <w:r>
        <w:t>均符合《地表水环境质量标准》（GB3838-2002）Ⅱ类标准，水质优，可以作为饮用水源。</w:t>
      </w:r>
    </w:p>
    <w:p w14:paraId="2CE6A324">
      <w:pPr>
        <w:pStyle w:val="5"/>
        <w:rPr>
          <w:rStyle w:val="33"/>
          <w:b w:val="0"/>
          <w:sz w:val="24"/>
          <w:szCs w:val="28"/>
        </w:rPr>
      </w:pPr>
      <w:bookmarkStart w:id="231" w:name="_Toc3889"/>
      <w:r>
        <w:rPr>
          <w:rStyle w:val="33"/>
          <w:rFonts w:hint="eastAsia"/>
          <w:b w:val="0"/>
          <w:sz w:val="24"/>
          <w:szCs w:val="28"/>
          <w:lang w:val="en-US"/>
        </w:rPr>
        <w:t>3</w:t>
      </w:r>
      <w:r>
        <w:rPr>
          <w:rStyle w:val="33"/>
          <w:b w:val="0"/>
          <w:sz w:val="24"/>
          <w:szCs w:val="28"/>
        </w:rPr>
        <w:t>.3.2 环境风险</w:t>
      </w:r>
      <w:bookmarkEnd w:id="228"/>
      <w:bookmarkEnd w:id="229"/>
      <w:r>
        <w:rPr>
          <w:rStyle w:val="33"/>
          <w:b w:val="0"/>
          <w:sz w:val="24"/>
          <w:szCs w:val="28"/>
        </w:rPr>
        <w:t>评估</w:t>
      </w:r>
      <w:bookmarkEnd w:id="230"/>
      <w:bookmarkEnd w:id="231"/>
    </w:p>
    <w:p w14:paraId="21893C3A">
      <w:pPr>
        <w:pStyle w:val="17"/>
        <w:adjustRightInd w:val="0"/>
        <w:snapToGrid w:val="0"/>
        <w:spacing w:before="0" w:beforeAutospacing="0" w:after="0" w:afterAutospacing="0"/>
        <w:ind w:firstLine="504" w:firstLineChars="200"/>
        <w:rPr>
          <w:spacing w:val="6"/>
          <w:lang w:val="zh-CN"/>
        </w:rPr>
      </w:pPr>
      <w:r>
        <w:rPr>
          <w:spacing w:val="6"/>
          <w:lang w:val="zh-CN"/>
        </w:rPr>
        <w:t>参照《</w:t>
      </w:r>
      <w:r>
        <w:rPr>
          <w:rFonts w:hint="eastAsia"/>
          <w:spacing w:val="6"/>
        </w:rPr>
        <w:t>集中式</w:t>
      </w:r>
      <w:r>
        <w:rPr>
          <w:spacing w:val="6"/>
          <w:lang w:val="zh-CN"/>
        </w:rPr>
        <w:t>饮用水水源环境保护指南（试行）》中附件三，分析潜在事件，筛选风险源，对</w:t>
      </w:r>
      <w:r>
        <w:rPr>
          <w:rFonts w:hint="eastAsia"/>
          <w:shd w:val="clear" w:color="auto" w:fill="FFFFFF"/>
        </w:rPr>
        <w:t>本饮用水水源地保护区</w:t>
      </w:r>
      <w:r>
        <w:rPr>
          <w:spacing w:val="6"/>
          <w:lang w:val="zh-CN"/>
        </w:rPr>
        <w:t>域风险源进行分析，分析如下：</w:t>
      </w:r>
    </w:p>
    <w:p w14:paraId="369D7DF3">
      <w:r>
        <w:rPr>
          <w:rFonts w:hint="eastAsia"/>
          <w:lang w:val="en-US" w:eastAsia="zh-CN"/>
        </w:rPr>
        <w:t>3</w:t>
      </w:r>
      <w:r>
        <w:t>.3.2.1环境风险源项分析</w:t>
      </w:r>
    </w:p>
    <w:p w14:paraId="4D62696A">
      <w:pPr>
        <w:pStyle w:val="17"/>
        <w:adjustRightInd w:val="0"/>
        <w:snapToGrid w:val="0"/>
        <w:spacing w:before="0" w:beforeAutospacing="0" w:after="0" w:afterAutospacing="0"/>
        <w:ind w:firstLine="480" w:firstLineChars="200"/>
        <w:rPr>
          <w:spacing w:val="6"/>
          <w:lang w:val="zh-CN"/>
        </w:rPr>
      </w:pPr>
      <w:r>
        <w:t>固定源评价指标及评分值详见表2-</w:t>
      </w:r>
      <w:r>
        <w:rPr>
          <w:rFonts w:hint="eastAsia"/>
        </w:rPr>
        <w:t>15</w:t>
      </w:r>
      <w:r>
        <w:t>、流动源评价指标及评分值详见表2-1</w:t>
      </w:r>
      <w:r>
        <w:rPr>
          <w:rFonts w:hint="eastAsia"/>
        </w:rPr>
        <w:t>6</w:t>
      </w:r>
      <w:r>
        <w:t>、非点源评价指标及评分值详见表2-1</w:t>
      </w:r>
      <w:r>
        <w:rPr>
          <w:rFonts w:hint="eastAsia"/>
        </w:rPr>
        <w:t>7</w:t>
      </w:r>
      <w:r>
        <w:t>。</w:t>
      </w:r>
    </w:p>
    <w:p w14:paraId="5C9586E8">
      <w:pPr>
        <w:widowControl/>
        <w:spacing w:before="120"/>
        <w:jc w:val="left"/>
        <w:rPr>
          <w:spacing w:val="6"/>
          <w:lang w:val="zh-CN"/>
        </w:rPr>
        <w:sectPr>
          <w:pgSz w:w="11906" w:h="16838"/>
          <w:pgMar w:top="1440" w:right="1803" w:bottom="1440" w:left="1803" w:header="992" w:footer="992" w:gutter="0"/>
          <w:cols w:space="720" w:num="1"/>
          <w:docGrid w:linePitch="332" w:charSpace="0"/>
        </w:sectPr>
      </w:pPr>
    </w:p>
    <w:p w14:paraId="7AA2A7F3">
      <w:pPr>
        <w:ind w:firstLine="422" w:firstLineChars="200"/>
        <w:jc w:val="center"/>
        <w:rPr>
          <w:b/>
          <w:bCs/>
          <w:sz w:val="21"/>
          <w:szCs w:val="21"/>
        </w:rPr>
      </w:pPr>
      <w:r>
        <w:rPr>
          <w:b/>
          <w:bCs/>
          <w:sz w:val="21"/>
          <w:szCs w:val="21"/>
        </w:rPr>
        <w:t>表2-</w:t>
      </w:r>
      <w:r>
        <w:rPr>
          <w:rFonts w:hint="eastAsia"/>
          <w:b/>
          <w:bCs/>
          <w:sz w:val="21"/>
          <w:szCs w:val="21"/>
        </w:rPr>
        <w:t>15</w:t>
      </w:r>
      <w:r>
        <w:rPr>
          <w:b/>
          <w:bCs/>
          <w:sz w:val="21"/>
          <w:szCs w:val="21"/>
        </w:rPr>
        <w:t xml:space="preserve">  固定源评价指标及评分值（Rp）</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078"/>
        <w:gridCol w:w="858"/>
        <w:gridCol w:w="1708"/>
        <w:gridCol w:w="733"/>
        <w:gridCol w:w="1017"/>
        <w:gridCol w:w="1133"/>
        <w:gridCol w:w="1750"/>
        <w:gridCol w:w="857"/>
      </w:tblGrid>
      <w:tr w14:paraId="23F0E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587" w:type="dxa"/>
            <w:vMerge w:val="restart"/>
            <w:vAlign w:val="center"/>
          </w:tcPr>
          <w:p w14:paraId="400E3140">
            <w:pPr>
              <w:spacing w:line="240" w:lineRule="auto"/>
              <w:jc w:val="center"/>
              <w:rPr>
                <w:sz w:val="21"/>
                <w:szCs w:val="21"/>
              </w:rPr>
            </w:pPr>
          </w:p>
          <w:p w14:paraId="6ECBF3F6">
            <w:pPr>
              <w:spacing w:line="240" w:lineRule="auto"/>
              <w:jc w:val="center"/>
              <w:rPr>
                <w:sz w:val="21"/>
                <w:szCs w:val="21"/>
              </w:rPr>
            </w:pPr>
            <w:r>
              <w:rPr>
                <w:sz w:val="21"/>
                <w:szCs w:val="21"/>
              </w:rPr>
              <w:t>风险源</w:t>
            </w:r>
          </w:p>
        </w:tc>
        <w:tc>
          <w:tcPr>
            <w:tcW w:w="4377" w:type="dxa"/>
            <w:gridSpan w:val="4"/>
            <w:vAlign w:val="center"/>
          </w:tcPr>
          <w:p w14:paraId="4ABE4FB1">
            <w:pPr>
              <w:spacing w:line="240" w:lineRule="auto"/>
              <w:jc w:val="center"/>
              <w:rPr>
                <w:sz w:val="21"/>
                <w:szCs w:val="21"/>
              </w:rPr>
            </w:pPr>
            <w:r>
              <w:rPr>
                <w:sz w:val="21"/>
                <w:szCs w:val="21"/>
              </w:rPr>
              <w:t>一级保护区</w:t>
            </w:r>
          </w:p>
        </w:tc>
        <w:tc>
          <w:tcPr>
            <w:tcW w:w="4757" w:type="dxa"/>
            <w:gridSpan w:val="4"/>
            <w:vAlign w:val="center"/>
          </w:tcPr>
          <w:p w14:paraId="3B20B6D4">
            <w:pPr>
              <w:spacing w:line="240" w:lineRule="auto"/>
              <w:jc w:val="center"/>
              <w:rPr>
                <w:sz w:val="21"/>
                <w:szCs w:val="21"/>
              </w:rPr>
            </w:pPr>
            <w:r>
              <w:rPr>
                <w:sz w:val="21"/>
                <w:szCs w:val="21"/>
              </w:rPr>
              <w:t>二级保护区</w:t>
            </w:r>
          </w:p>
        </w:tc>
      </w:tr>
      <w:tr w14:paraId="695D0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587" w:type="dxa"/>
            <w:vMerge w:val="continue"/>
            <w:vAlign w:val="center"/>
          </w:tcPr>
          <w:p w14:paraId="6B719E4B">
            <w:pPr>
              <w:spacing w:line="240" w:lineRule="auto"/>
              <w:jc w:val="center"/>
              <w:rPr>
                <w:sz w:val="21"/>
                <w:szCs w:val="21"/>
              </w:rPr>
            </w:pPr>
          </w:p>
        </w:tc>
        <w:tc>
          <w:tcPr>
            <w:tcW w:w="1078" w:type="dxa"/>
            <w:vAlign w:val="center"/>
          </w:tcPr>
          <w:p w14:paraId="5DE2F10F">
            <w:pPr>
              <w:spacing w:line="240" w:lineRule="auto"/>
              <w:jc w:val="center"/>
              <w:rPr>
                <w:sz w:val="21"/>
                <w:szCs w:val="21"/>
              </w:rPr>
            </w:pPr>
            <w:r>
              <w:rPr>
                <w:sz w:val="21"/>
                <w:szCs w:val="21"/>
              </w:rPr>
              <w:t>指标值</w:t>
            </w:r>
          </w:p>
        </w:tc>
        <w:tc>
          <w:tcPr>
            <w:tcW w:w="858" w:type="dxa"/>
            <w:vAlign w:val="center"/>
          </w:tcPr>
          <w:p w14:paraId="34E8B13C">
            <w:pPr>
              <w:spacing w:line="240" w:lineRule="auto"/>
              <w:jc w:val="center"/>
              <w:rPr>
                <w:sz w:val="21"/>
                <w:szCs w:val="21"/>
              </w:rPr>
            </w:pPr>
            <w:r>
              <w:rPr>
                <w:sz w:val="21"/>
                <w:szCs w:val="21"/>
              </w:rPr>
              <w:t>分值（P1）</w:t>
            </w:r>
          </w:p>
        </w:tc>
        <w:tc>
          <w:tcPr>
            <w:tcW w:w="1708" w:type="dxa"/>
            <w:vAlign w:val="center"/>
          </w:tcPr>
          <w:p w14:paraId="7198C48F">
            <w:pPr>
              <w:spacing w:line="240" w:lineRule="auto"/>
              <w:jc w:val="center"/>
              <w:rPr>
                <w:sz w:val="21"/>
                <w:szCs w:val="21"/>
              </w:rPr>
            </w:pPr>
            <w:r>
              <w:rPr>
                <w:sz w:val="21"/>
                <w:szCs w:val="21"/>
              </w:rPr>
              <w:t>现状描述</w:t>
            </w:r>
          </w:p>
        </w:tc>
        <w:tc>
          <w:tcPr>
            <w:tcW w:w="733" w:type="dxa"/>
            <w:vAlign w:val="center"/>
          </w:tcPr>
          <w:p w14:paraId="089C7727">
            <w:pPr>
              <w:spacing w:line="240" w:lineRule="auto"/>
              <w:jc w:val="center"/>
              <w:rPr>
                <w:sz w:val="21"/>
                <w:szCs w:val="21"/>
              </w:rPr>
            </w:pPr>
            <w:r>
              <w:rPr>
                <w:sz w:val="21"/>
                <w:szCs w:val="21"/>
              </w:rPr>
              <w:t>评分</w:t>
            </w:r>
          </w:p>
        </w:tc>
        <w:tc>
          <w:tcPr>
            <w:tcW w:w="1017" w:type="dxa"/>
            <w:vAlign w:val="center"/>
          </w:tcPr>
          <w:p w14:paraId="0610C33D">
            <w:pPr>
              <w:spacing w:line="240" w:lineRule="auto"/>
              <w:jc w:val="center"/>
              <w:rPr>
                <w:sz w:val="21"/>
                <w:szCs w:val="21"/>
              </w:rPr>
            </w:pPr>
            <w:r>
              <w:rPr>
                <w:sz w:val="21"/>
                <w:szCs w:val="21"/>
              </w:rPr>
              <w:t>指标值</w:t>
            </w:r>
          </w:p>
        </w:tc>
        <w:tc>
          <w:tcPr>
            <w:tcW w:w="1133" w:type="dxa"/>
            <w:vAlign w:val="center"/>
          </w:tcPr>
          <w:p w14:paraId="0BB4136D">
            <w:pPr>
              <w:spacing w:line="240" w:lineRule="auto"/>
              <w:jc w:val="center"/>
              <w:rPr>
                <w:sz w:val="21"/>
                <w:szCs w:val="21"/>
              </w:rPr>
            </w:pPr>
            <w:r>
              <w:rPr>
                <w:sz w:val="21"/>
                <w:szCs w:val="21"/>
              </w:rPr>
              <w:t>分值（P2）</w:t>
            </w:r>
          </w:p>
        </w:tc>
        <w:tc>
          <w:tcPr>
            <w:tcW w:w="1750" w:type="dxa"/>
            <w:vAlign w:val="center"/>
          </w:tcPr>
          <w:p w14:paraId="36B8C856">
            <w:pPr>
              <w:spacing w:line="240" w:lineRule="auto"/>
              <w:jc w:val="center"/>
              <w:rPr>
                <w:sz w:val="21"/>
                <w:szCs w:val="21"/>
              </w:rPr>
            </w:pPr>
            <w:r>
              <w:rPr>
                <w:sz w:val="21"/>
                <w:szCs w:val="21"/>
              </w:rPr>
              <w:t>现状描述</w:t>
            </w:r>
          </w:p>
        </w:tc>
        <w:tc>
          <w:tcPr>
            <w:tcW w:w="857" w:type="dxa"/>
            <w:vAlign w:val="center"/>
          </w:tcPr>
          <w:p w14:paraId="3075884E">
            <w:pPr>
              <w:spacing w:line="240" w:lineRule="auto"/>
              <w:jc w:val="center"/>
              <w:rPr>
                <w:sz w:val="21"/>
                <w:szCs w:val="21"/>
              </w:rPr>
            </w:pPr>
            <w:r>
              <w:rPr>
                <w:sz w:val="21"/>
                <w:szCs w:val="21"/>
              </w:rPr>
              <w:t>评分</w:t>
            </w:r>
          </w:p>
        </w:tc>
      </w:tr>
      <w:tr w14:paraId="0E342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1587" w:type="dxa"/>
            <w:vAlign w:val="center"/>
          </w:tcPr>
          <w:p w14:paraId="51D3A871">
            <w:pPr>
              <w:spacing w:line="240" w:lineRule="auto"/>
              <w:jc w:val="center"/>
              <w:rPr>
                <w:sz w:val="21"/>
                <w:szCs w:val="21"/>
              </w:rPr>
            </w:pPr>
            <w:r>
              <w:rPr>
                <w:sz w:val="21"/>
                <w:szCs w:val="21"/>
              </w:rPr>
              <w:t>石油化工行业（个）</w:t>
            </w:r>
          </w:p>
        </w:tc>
        <w:tc>
          <w:tcPr>
            <w:tcW w:w="1078" w:type="dxa"/>
            <w:vAlign w:val="center"/>
          </w:tcPr>
          <w:p w14:paraId="3C5E2533">
            <w:pPr>
              <w:spacing w:line="240" w:lineRule="auto"/>
              <w:jc w:val="center"/>
              <w:rPr>
                <w:sz w:val="21"/>
                <w:szCs w:val="21"/>
              </w:rPr>
            </w:pPr>
            <w:r>
              <w:rPr>
                <w:sz w:val="21"/>
                <w:szCs w:val="21"/>
              </w:rPr>
              <w:t>无</w:t>
            </w:r>
          </w:p>
          <w:p w14:paraId="1FB2AF87">
            <w:pPr>
              <w:spacing w:line="240" w:lineRule="auto"/>
              <w:jc w:val="center"/>
              <w:rPr>
                <w:sz w:val="21"/>
                <w:szCs w:val="21"/>
              </w:rPr>
            </w:pPr>
            <w:r>
              <w:rPr>
                <w:sz w:val="21"/>
                <w:szCs w:val="21"/>
              </w:rPr>
              <w:t>存在</w:t>
            </w:r>
          </w:p>
        </w:tc>
        <w:tc>
          <w:tcPr>
            <w:tcW w:w="858" w:type="dxa"/>
            <w:vAlign w:val="center"/>
          </w:tcPr>
          <w:p w14:paraId="72B6DAE8">
            <w:pPr>
              <w:spacing w:line="240" w:lineRule="auto"/>
              <w:jc w:val="center"/>
              <w:rPr>
                <w:sz w:val="21"/>
                <w:szCs w:val="21"/>
              </w:rPr>
            </w:pPr>
            <w:r>
              <w:rPr>
                <w:sz w:val="21"/>
                <w:szCs w:val="21"/>
              </w:rPr>
              <w:t>0</w:t>
            </w:r>
          </w:p>
          <w:p w14:paraId="4762E3AE">
            <w:pPr>
              <w:spacing w:line="240" w:lineRule="auto"/>
              <w:jc w:val="center"/>
              <w:rPr>
                <w:sz w:val="21"/>
                <w:szCs w:val="21"/>
              </w:rPr>
            </w:pPr>
            <w:r>
              <w:rPr>
                <w:sz w:val="21"/>
                <w:szCs w:val="21"/>
              </w:rPr>
              <w:t>10</w:t>
            </w:r>
          </w:p>
        </w:tc>
        <w:tc>
          <w:tcPr>
            <w:tcW w:w="1708" w:type="dxa"/>
            <w:vAlign w:val="center"/>
          </w:tcPr>
          <w:p w14:paraId="2FC75528">
            <w:pPr>
              <w:spacing w:line="240" w:lineRule="auto"/>
              <w:jc w:val="center"/>
              <w:rPr>
                <w:sz w:val="21"/>
                <w:szCs w:val="21"/>
              </w:rPr>
            </w:pPr>
            <w:r>
              <w:rPr>
                <w:sz w:val="21"/>
                <w:szCs w:val="21"/>
              </w:rPr>
              <w:t>无石油化工企业</w:t>
            </w:r>
          </w:p>
        </w:tc>
        <w:tc>
          <w:tcPr>
            <w:tcW w:w="733" w:type="dxa"/>
            <w:vAlign w:val="center"/>
          </w:tcPr>
          <w:p w14:paraId="13BF8322">
            <w:pPr>
              <w:spacing w:line="240" w:lineRule="auto"/>
              <w:jc w:val="center"/>
              <w:rPr>
                <w:sz w:val="21"/>
                <w:szCs w:val="21"/>
              </w:rPr>
            </w:pPr>
            <w:r>
              <w:rPr>
                <w:sz w:val="21"/>
                <w:szCs w:val="21"/>
              </w:rPr>
              <w:t>0</w:t>
            </w:r>
          </w:p>
        </w:tc>
        <w:tc>
          <w:tcPr>
            <w:tcW w:w="1017" w:type="dxa"/>
            <w:vAlign w:val="center"/>
          </w:tcPr>
          <w:p w14:paraId="076299B6">
            <w:pPr>
              <w:spacing w:line="240" w:lineRule="auto"/>
              <w:jc w:val="center"/>
              <w:rPr>
                <w:sz w:val="21"/>
                <w:szCs w:val="21"/>
              </w:rPr>
            </w:pPr>
            <w:r>
              <w:rPr>
                <w:sz w:val="21"/>
                <w:szCs w:val="21"/>
              </w:rPr>
              <w:t>无</w:t>
            </w:r>
          </w:p>
          <w:p w14:paraId="51B6997C">
            <w:pPr>
              <w:spacing w:line="240" w:lineRule="auto"/>
              <w:jc w:val="center"/>
              <w:rPr>
                <w:sz w:val="21"/>
                <w:szCs w:val="21"/>
              </w:rPr>
            </w:pPr>
            <w:r>
              <w:rPr>
                <w:sz w:val="21"/>
                <w:szCs w:val="21"/>
              </w:rPr>
              <w:t>1</w:t>
            </w:r>
          </w:p>
          <w:p w14:paraId="506832DC">
            <w:pPr>
              <w:spacing w:line="240" w:lineRule="auto"/>
              <w:jc w:val="center"/>
              <w:rPr>
                <w:sz w:val="21"/>
                <w:szCs w:val="21"/>
              </w:rPr>
            </w:pPr>
            <w:r>
              <w:rPr>
                <w:sz w:val="21"/>
                <w:szCs w:val="21"/>
              </w:rPr>
              <w:t>2~4</w:t>
            </w:r>
          </w:p>
          <w:p w14:paraId="058C357D">
            <w:pPr>
              <w:spacing w:line="240" w:lineRule="auto"/>
              <w:jc w:val="center"/>
              <w:rPr>
                <w:sz w:val="21"/>
                <w:szCs w:val="21"/>
              </w:rPr>
            </w:pPr>
            <w:r>
              <w:rPr>
                <w:sz w:val="21"/>
                <w:szCs w:val="21"/>
              </w:rPr>
              <w:t>&gt;5</w:t>
            </w:r>
          </w:p>
        </w:tc>
        <w:tc>
          <w:tcPr>
            <w:tcW w:w="1133" w:type="dxa"/>
            <w:vAlign w:val="center"/>
          </w:tcPr>
          <w:p w14:paraId="0536F344">
            <w:pPr>
              <w:spacing w:line="240" w:lineRule="auto"/>
              <w:jc w:val="center"/>
              <w:rPr>
                <w:sz w:val="21"/>
                <w:szCs w:val="21"/>
              </w:rPr>
            </w:pPr>
            <w:r>
              <w:rPr>
                <w:sz w:val="21"/>
                <w:szCs w:val="21"/>
              </w:rPr>
              <w:t>0</w:t>
            </w:r>
          </w:p>
          <w:p w14:paraId="2720FB7F">
            <w:pPr>
              <w:spacing w:line="240" w:lineRule="auto"/>
              <w:jc w:val="center"/>
              <w:rPr>
                <w:sz w:val="21"/>
                <w:szCs w:val="21"/>
              </w:rPr>
            </w:pPr>
            <w:r>
              <w:rPr>
                <w:sz w:val="21"/>
                <w:szCs w:val="21"/>
              </w:rPr>
              <w:t>5</w:t>
            </w:r>
          </w:p>
          <w:p w14:paraId="4D665A27">
            <w:pPr>
              <w:spacing w:line="240" w:lineRule="auto"/>
              <w:jc w:val="center"/>
              <w:rPr>
                <w:sz w:val="21"/>
                <w:szCs w:val="21"/>
              </w:rPr>
            </w:pPr>
            <w:r>
              <w:rPr>
                <w:sz w:val="21"/>
                <w:szCs w:val="21"/>
              </w:rPr>
              <w:t>7</w:t>
            </w:r>
          </w:p>
          <w:p w14:paraId="6A3294F7">
            <w:pPr>
              <w:spacing w:line="240" w:lineRule="auto"/>
              <w:jc w:val="center"/>
              <w:rPr>
                <w:sz w:val="21"/>
                <w:szCs w:val="21"/>
              </w:rPr>
            </w:pPr>
            <w:r>
              <w:rPr>
                <w:sz w:val="21"/>
                <w:szCs w:val="21"/>
              </w:rPr>
              <w:t>10</w:t>
            </w:r>
          </w:p>
        </w:tc>
        <w:tc>
          <w:tcPr>
            <w:tcW w:w="1750" w:type="dxa"/>
            <w:vAlign w:val="center"/>
          </w:tcPr>
          <w:p w14:paraId="3AE3B47F">
            <w:pPr>
              <w:spacing w:line="240" w:lineRule="auto"/>
              <w:jc w:val="center"/>
              <w:rPr>
                <w:sz w:val="21"/>
                <w:szCs w:val="21"/>
              </w:rPr>
            </w:pPr>
            <w:r>
              <w:rPr>
                <w:sz w:val="21"/>
                <w:szCs w:val="21"/>
              </w:rPr>
              <w:t>无石油化工企业</w:t>
            </w:r>
          </w:p>
        </w:tc>
        <w:tc>
          <w:tcPr>
            <w:tcW w:w="857" w:type="dxa"/>
            <w:vAlign w:val="center"/>
          </w:tcPr>
          <w:p w14:paraId="3EED97F8">
            <w:pPr>
              <w:spacing w:line="240" w:lineRule="auto"/>
              <w:jc w:val="center"/>
              <w:rPr>
                <w:sz w:val="21"/>
                <w:szCs w:val="21"/>
              </w:rPr>
            </w:pPr>
            <w:r>
              <w:rPr>
                <w:rFonts w:hint="eastAsia"/>
                <w:sz w:val="21"/>
                <w:szCs w:val="21"/>
              </w:rPr>
              <w:t>0</w:t>
            </w:r>
          </w:p>
        </w:tc>
      </w:tr>
      <w:tr w14:paraId="3794C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1587" w:type="dxa"/>
            <w:vAlign w:val="center"/>
          </w:tcPr>
          <w:p w14:paraId="38961617">
            <w:pPr>
              <w:spacing w:line="240" w:lineRule="auto"/>
              <w:jc w:val="center"/>
              <w:rPr>
                <w:sz w:val="21"/>
                <w:szCs w:val="21"/>
              </w:rPr>
            </w:pPr>
            <w:r>
              <w:rPr>
                <w:sz w:val="21"/>
                <w:szCs w:val="21"/>
              </w:rPr>
              <w:t>垃圾填埋场（处）</w:t>
            </w:r>
          </w:p>
        </w:tc>
        <w:tc>
          <w:tcPr>
            <w:tcW w:w="1078" w:type="dxa"/>
            <w:vAlign w:val="center"/>
          </w:tcPr>
          <w:p w14:paraId="065ED55E">
            <w:pPr>
              <w:spacing w:line="240" w:lineRule="auto"/>
              <w:jc w:val="center"/>
              <w:rPr>
                <w:sz w:val="21"/>
                <w:szCs w:val="21"/>
              </w:rPr>
            </w:pPr>
            <w:r>
              <w:rPr>
                <w:sz w:val="21"/>
                <w:szCs w:val="21"/>
              </w:rPr>
              <w:t>无</w:t>
            </w:r>
          </w:p>
          <w:p w14:paraId="2AEB5126">
            <w:pPr>
              <w:spacing w:line="240" w:lineRule="auto"/>
              <w:jc w:val="center"/>
              <w:rPr>
                <w:sz w:val="21"/>
                <w:szCs w:val="21"/>
              </w:rPr>
            </w:pPr>
            <w:r>
              <w:rPr>
                <w:sz w:val="21"/>
                <w:szCs w:val="21"/>
              </w:rPr>
              <w:t>存在</w:t>
            </w:r>
          </w:p>
        </w:tc>
        <w:tc>
          <w:tcPr>
            <w:tcW w:w="858" w:type="dxa"/>
            <w:vAlign w:val="center"/>
          </w:tcPr>
          <w:p w14:paraId="15A232D8">
            <w:pPr>
              <w:spacing w:line="240" w:lineRule="auto"/>
              <w:jc w:val="center"/>
              <w:rPr>
                <w:sz w:val="21"/>
                <w:szCs w:val="21"/>
              </w:rPr>
            </w:pPr>
            <w:r>
              <w:rPr>
                <w:sz w:val="21"/>
                <w:szCs w:val="21"/>
              </w:rPr>
              <w:t>0</w:t>
            </w:r>
          </w:p>
          <w:p w14:paraId="033C948A">
            <w:pPr>
              <w:spacing w:line="240" w:lineRule="auto"/>
              <w:jc w:val="center"/>
              <w:rPr>
                <w:sz w:val="21"/>
                <w:szCs w:val="21"/>
              </w:rPr>
            </w:pPr>
            <w:r>
              <w:rPr>
                <w:sz w:val="21"/>
                <w:szCs w:val="21"/>
              </w:rPr>
              <w:t>10</w:t>
            </w:r>
          </w:p>
        </w:tc>
        <w:tc>
          <w:tcPr>
            <w:tcW w:w="1708" w:type="dxa"/>
            <w:vAlign w:val="center"/>
          </w:tcPr>
          <w:p w14:paraId="59DAA4BA">
            <w:pPr>
              <w:spacing w:line="240" w:lineRule="auto"/>
              <w:jc w:val="center"/>
              <w:rPr>
                <w:sz w:val="21"/>
                <w:szCs w:val="21"/>
              </w:rPr>
            </w:pPr>
            <w:r>
              <w:rPr>
                <w:sz w:val="21"/>
                <w:szCs w:val="21"/>
              </w:rPr>
              <w:t>无垃圾填埋场</w:t>
            </w:r>
          </w:p>
        </w:tc>
        <w:tc>
          <w:tcPr>
            <w:tcW w:w="733" w:type="dxa"/>
            <w:vAlign w:val="center"/>
          </w:tcPr>
          <w:p w14:paraId="283C1EB8">
            <w:pPr>
              <w:spacing w:line="240" w:lineRule="auto"/>
              <w:jc w:val="center"/>
              <w:rPr>
                <w:sz w:val="21"/>
                <w:szCs w:val="21"/>
              </w:rPr>
            </w:pPr>
          </w:p>
          <w:p w14:paraId="23D29A5C">
            <w:pPr>
              <w:spacing w:line="240" w:lineRule="auto"/>
              <w:jc w:val="center"/>
              <w:rPr>
                <w:sz w:val="21"/>
                <w:szCs w:val="21"/>
              </w:rPr>
            </w:pPr>
          </w:p>
          <w:p w14:paraId="11FCC65D">
            <w:pPr>
              <w:spacing w:line="240" w:lineRule="auto"/>
              <w:jc w:val="center"/>
              <w:rPr>
                <w:sz w:val="21"/>
                <w:szCs w:val="21"/>
              </w:rPr>
            </w:pPr>
            <w:r>
              <w:rPr>
                <w:sz w:val="21"/>
                <w:szCs w:val="21"/>
              </w:rPr>
              <w:t>0</w:t>
            </w:r>
          </w:p>
          <w:p w14:paraId="48D9F3BA">
            <w:pPr>
              <w:spacing w:line="240" w:lineRule="auto"/>
              <w:jc w:val="center"/>
              <w:rPr>
                <w:sz w:val="21"/>
                <w:szCs w:val="21"/>
              </w:rPr>
            </w:pPr>
          </w:p>
        </w:tc>
        <w:tc>
          <w:tcPr>
            <w:tcW w:w="1017" w:type="dxa"/>
            <w:vAlign w:val="center"/>
          </w:tcPr>
          <w:p w14:paraId="0F2BE07F">
            <w:pPr>
              <w:spacing w:line="240" w:lineRule="auto"/>
              <w:jc w:val="center"/>
              <w:rPr>
                <w:sz w:val="21"/>
                <w:szCs w:val="21"/>
              </w:rPr>
            </w:pPr>
          </w:p>
          <w:p w14:paraId="68E4687B">
            <w:pPr>
              <w:spacing w:line="240" w:lineRule="auto"/>
              <w:jc w:val="center"/>
              <w:rPr>
                <w:sz w:val="21"/>
                <w:szCs w:val="21"/>
              </w:rPr>
            </w:pPr>
            <w:r>
              <w:rPr>
                <w:sz w:val="21"/>
                <w:szCs w:val="21"/>
              </w:rPr>
              <w:t>无</w:t>
            </w:r>
          </w:p>
          <w:p w14:paraId="34AB670F">
            <w:pPr>
              <w:spacing w:line="240" w:lineRule="auto"/>
              <w:jc w:val="center"/>
              <w:rPr>
                <w:sz w:val="21"/>
                <w:szCs w:val="21"/>
              </w:rPr>
            </w:pPr>
            <w:r>
              <w:rPr>
                <w:sz w:val="21"/>
                <w:szCs w:val="21"/>
              </w:rPr>
              <w:t>1</w:t>
            </w:r>
          </w:p>
          <w:p w14:paraId="62E10E4C">
            <w:pPr>
              <w:spacing w:line="240" w:lineRule="auto"/>
              <w:jc w:val="center"/>
              <w:rPr>
                <w:sz w:val="21"/>
                <w:szCs w:val="21"/>
              </w:rPr>
            </w:pPr>
            <w:r>
              <w:rPr>
                <w:sz w:val="21"/>
                <w:szCs w:val="21"/>
              </w:rPr>
              <w:t>2</w:t>
            </w:r>
          </w:p>
          <w:p w14:paraId="7193F7B7">
            <w:pPr>
              <w:spacing w:line="240" w:lineRule="auto"/>
              <w:jc w:val="center"/>
              <w:rPr>
                <w:sz w:val="21"/>
                <w:szCs w:val="21"/>
              </w:rPr>
            </w:pPr>
            <w:r>
              <w:rPr>
                <w:sz w:val="21"/>
                <w:szCs w:val="21"/>
              </w:rPr>
              <w:t>&gt;2</w:t>
            </w:r>
          </w:p>
        </w:tc>
        <w:tc>
          <w:tcPr>
            <w:tcW w:w="1133" w:type="dxa"/>
            <w:vAlign w:val="center"/>
          </w:tcPr>
          <w:p w14:paraId="61DC9D37">
            <w:pPr>
              <w:spacing w:line="240" w:lineRule="auto"/>
              <w:jc w:val="center"/>
              <w:rPr>
                <w:sz w:val="21"/>
                <w:szCs w:val="21"/>
              </w:rPr>
            </w:pPr>
          </w:p>
          <w:p w14:paraId="696FB85A">
            <w:pPr>
              <w:spacing w:line="240" w:lineRule="auto"/>
              <w:jc w:val="center"/>
              <w:rPr>
                <w:sz w:val="21"/>
                <w:szCs w:val="21"/>
              </w:rPr>
            </w:pPr>
            <w:r>
              <w:rPr>
                <w:sz w:val="21"/>
                <w:szCs w:val="21"/>
              </w:rPr>
              <w:t>0</w:t>
            </w:r>
          </w:p>
          <w:p w14:paraId="22F17D1B">
            <w:pPr>
              <w:spacing w:line="240" w:lineRule="auto"/>
              <w:jc w:val="center"/>
              <w:rPr>
                <w:sz w:val="21"/>
                <w:szCs w:val="21"/>
              </w:rPr>
            </w:pPr>
            <w:r>
              <w:rPr>
                <w:sz w:val="21"/>
                <w:szCs w:val="21"/>
              </w:rPr>
              <w:t>6</w:t>
            </w:r>
          </w:p>
          <w:p w14:paraId="5B04968C">
            <w:pPr>
              <w:spacing w:line="240" w:lineRule="auto"/>
              <w:jc w:val="center"/>
              <w:rPr>
                <w:sz w:val="21"/>
                <w:szCs w:val="21"/>
              </w:rPr>
            </w:pPr>
            <w:r>
              <w:rPr>
                <w:sz w:val="21"/>
                <w:szCs w:val="21"/>
              </w:rPr>
              <w:t>8</w:t>
            </w:r>
          </w:p>
          <w:p w14:paraId="6BE5E334">
            <w:pPr>
              <w:spacing w:line="240" w:lineRule="auto"/>
              <w:jc w:val="center"/>
              <w:rPr>
                <w:sz w:val="21"/>
                <w:szCs w:val="21"/>
              </w:rPr>
            </w:pPr>
            <w:r>
              <w:rPr>
                <w:sz w:val="21"/>
                <w:szCs w:val="21"/>
              </w:rPr>
              <w:t>10</w:t>
            </w:r>
          </w:p>
        </w:tc>
        <w:tc>
          <w:tcPr>
            <w:tcW w:w="1750" w:type="dxa"/>
            <w:vAlign w:val="center"/>
          </w:tcPr>
          <w:p w14:paraId="1FAB0804">
            <w:pPr>
              <w:spacing w:line="240" w:lineRule="auto"/>
              <w:jc w:val="center"/>
              <w:rPr>
                <w:sz w:val="21"/>
                <w:szCs w:val="21"/>
              </w:rPr>
            </w:pPr>
            <w:r>
              <w:rPr>
                <w:sz w:val="21"/>
                <w:szCs w:val="21"/>
              </w:rPr>
              <w:t>无垃圾填埋场</w:t>
            </w:r>
          </w:p>
        </w:tc>
        <w:tc>
          <w:tcPr>
            <w:tcW w:w="857" w:type="dxa"/>
            <w:vAlign w:val="center"/>
          </w:tcPr>
          <w:p w14:paraId="267943FD">
            <w:pPr>
              <w:spacing w:line="240" w:lineRule="auto"/>
              <w:jc w:val="center"/>
              <w:rPr>
                <w:sz w:val="21"/>
                <w:szCs w:val="21"/>
              </w:rPr>
            </w:pPr>
            <w:r>
              <w:rPr>
                <w:sz w:val="21"/>
                <w:szCs w:val="21"/>
              </w:rPr>
              <w:t>0</w:t>
            </w:r>
          </w:p>
        </w:tc>
      </w:tr>
      <w:tr w14:paraId="11B01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587" w:type="dxa"/>
            <w:vAlign w:val="center"/>
          </w:tcPr>
          <w:p w14:paraId="521F5796">
            <w:pPr>
              <w:spacing w:line="240" w:lineRule="auto"/>
              <w:jc w:val="center"/>
              <w:rPr>
                <w:sz w:val="21"/>
                <w:szCs w:val="21"/>
              </w:rPr>
            </w:pPr>
            <w:r>
              <w:rPr>
                <w:sz w:val="21"/>
                <w:szCs w:val="21"/>
              </w:rPr>
              <w:t>危险废弃物填埋场（处）</w:t>
            </w:r>
          </w:p>
        </w:tc>
        <w:tc>
          <w:tcPr>
            <w:tcW w:w="1078" w:type="dxa"/>
            <w:vAlign w:val="center"/>
          </w:tcPr>
          <w:p w14:paraId="39A074AD">
            <w:pPr>
              <w:spacing w:line="240" w:lineRule="auto"/>
              <w:jc w:val="center"/>
              <w:rPr>
                <w:sz w:val="21"/>
                <w:szCs w:val="21"/>
              </w:rPr>
            </w:pPr>
            <w:r>
              <w:rPr>
                <w:sz w:val="21"/>
                <w:szCs w:val="21"/>
              </w:rPr>
              <w:t>无</w:t>
            </w:r>
          </w:p>
          <w:p w14:paraId="7B452A31">
            <w:pPr>
              <w:spacing w:line="240" w:lineRule="auto"/>
              <w:jc w:val="center"/>
              <w:rPr>
                <w:sz w:val="21"/>
                <w:szCs w:val="21"/>
              </w:rPr>
            </w:pPr>
            <w:r>
              <w:rPr>
                <w:sz w:val="21"/>
                <w:szCs w:val="21"/>
              </w:rPr>
              <w:t>存在</w:t>
            </w:r>
          </w:p>
        </w:tc>
        <w:tc>
          <w:tcPr>
            <w:tcW w:w="858" w:type="dxa"/>
            <w:vAlign w:val="center"/>
          </w:tcPr>
          <w:p w14:paraId="1CE93DAD">
            <w:pPr>
              <w:spacing w:line="240" w:lineRule="auto"/>
              <w:jc w:val="center"/>
              <w:rPr>
                <w:sz w:val="21"/>
                <w:szCs w:val="21"/>
              </w:rPr>
            </w:pPr>
            <w:r>
              <w:rPr>
                <w:sz w:val="21"/>
                <w:szCs w:val="21"/>
              </w:rPr>
              <w:t>0</w:t>
            </w:r>
          </w:p>
          <w:p w14:paraId="16AFAEFA">
            <w:pPr>
              <w:spacing w:line="240" w:lineRule="auto"/>
              <w:jc w:val="center"/>
              <w:rPr>
                <w:sz w:val="21"/>
                <w:szCs w:val="21"/>
              </w:rPr>
            </w:pPr>
            <w:r>
              <w:rPr>
                <w:sz w:val="21"/>
                <w:szCs w:val="21"/>
              </w:rPr>
              <w:t>10</w:t>
            </w:r>
          </w:p>
        </w:tc>
        <w:tc>
          <w:tcPr>
            <w:tcW w:w="1708" w:type="dxa"/>
            <w:vAlign w:val="center"/>
          </w:tcPr>
          <w:p w14:paraId="12D0CFDF">
            <w:pPr>
              <w:spacing w:line="240" w:lineRule="auto"/>
              <w:jc w:val="center"/>
              <w:rPr>
                <w:sz w:val="21"/>
                <w:szCs w:val="21"/>
              </w:rPr>
            </w:pPr>
            <w:r>
              <w:rPr>
                <w:sz w:val="21"/>
                <w:szCs w:val="21"/>
              </w:rPr>
              <w:t>无危险废弃物填埋场</w:t>
            </w:r>
          </w:p>
        </w:tc>
        <w:tc>
          <w:tcPr>
            <w:tcW w:w="733" w:type="dxa"/>
            <w:vAlign w:val="center"/>
          </w:tcPr>
          <w:p w14:paraId="53E57636">
            <w:pPr>
              <w:spacing w:line="240" w:lineRule="auto"/>
              <w:jc w:val="center"/>
              <w:rPr>
                <w:sz w:val="21"/>
                <w:szCs w:val="21"/>
              </w:rPr>
            </w:pPr>
            <w:r>
              <w:rPr>
                <w:sz w:val="21"/>
                <w:szCs w:val="21"/>
              </w:rPr>
              <w:t>0</w:t>
            </w:r>
          </w:p>
        </w:tc>
        <w:tc>
          <w:tcPr>
            <w:tcW w:w="1017" w:type="dxa"/>
            <w:vAlign w:val="center"/>
          </w:tcPr>
          <w:p w14:paraId="533E0CD9">
            <w:pPr>
              <w:spacing w:line="240" w:lineRule="auto"/>
              <w:jc w:val="center"/>
              <w:rPr>
                <w:sz w:val="21"/>
                <w:szCs w:val="21"/>
              </w:rPr>
            </w:pPr>
            <w:r>
              <w:rPr>
                <w:sz w:val="21"/>
                <w:szCs w:val="21"/>
              </w:rPr>
              <w:t>无</w:t>
            </w:r>
          </w:p>
          <w:p w14:paraId="36AD8811">
            <w:pPr>
              <w:spacing w:line="240" w:lineRule="auto"/>
              <w:jc w:val="center"/>
              <w:rPr>
                <w:sz w:val="21"/>
                <w:szCs w:val="21"/>
              </w:rPr>
            </w:pPr>
            <w:r>
              <w:rPr>
                <w:sz w:val="21"/>
                <w:szCs w:val="21"/>
              </w:rPr>
              <w:t>1</w:t>
            </w:r>
          </w:p>
          <w:p w14:paraId="6E76CB4E">
            <w:pPr>
              <w:spacing w:line="240" w:lineRule="auto"/>
              <w:jc w:val="center"/>
              <w:rPr>
                <w:sz w:val="21"/>
                <w:szCs w:val="21"/>
              </w:rPr>
            </w:pPr>
            <w:r>
              <w:rPr>
                <w:sz w:val="21"/>
                <w:szCs w:val="21"/>
              </w:rPr>
              <w:t>&gt;1</w:t>
            </w:r>
          </w:p>
        </w:tc>
        <w:tc>
          <w:tcPr>
            <w:tcW w:w="1133" w:type="dxa"/>
            <w:vAlign w:val="center"/>
          </w:tcPr>
          <w:p w14:paraId="45E01819">
            <w:pPr>
              <w:spacing w:line="240" w:lineRule="auto"/>
              <w:jc w:val="center"/>
              <w:rPr>
                <w:sz w:val="21"/>
                <w:szCs w:val="21"/>
              </w:rPr>
            </w:pPr>
            <w:r>
              <w:rPr>
                <w:sz w:val="21"/>
                <w:szCs w:val="21"/>
              </w:rPr>
              <w:t>0</w:t>
            </w:r>
          </w:p>
          <w:p w14:paraId="104A5C5F">
            <w:pPr>
              <w:spacing w:line="240" w:lineRule="auto"/>
              <w:jc w:val="center"/>
              <w:rPr>
                <w:sz w:val="21"/>
                <w:szCs w:val="21"/>
              </w:rPr>
            </w:pPr>
            <w:r>
              <w:rPr>
                <w:sz w:val="21"/>
                <w:szCs w:val="21"/>
              </w:rPr>
              <w:t>8</w:t>
            </w:r>
          </w:p>
          <w:p w14:paraId="7034E038">
            <w:pPr>
              <w:spacing w:line="240" w:lineRule="auto"/>
              <w:jc w:val="center"/>
              <w:rPr>
                <w:sz w:val="21"/>
                <w:szCs w:val="21"/>
              </w:rPr>
            </w:pPr>
            <w:r>
              <w:rPr>
                <w:sz w:val="21"/>
                <w:szCs w:val="21"/>
              </w:rPr>
              <w:t>10</w:t>
            </w:r>
          </w:p>
        </w:tc>
        <w:tc>
          <w:tcPr>
            <w:tcW w:w="1750" w:type="dxa"/>
            <w:vAlign w:val="center"/>
          </w:tcPr>
          <w:p w14:paraId="3FBE3BD1">
            <w:pPr>
              <w:spacing w:line="240" w:lineRule="auto"/>
              <w:jc w:val="center"/>
              <w:rPr>
                <w:sz w:val="21"/>
                <w:szCs w:val="21"/>
              </w:rPr>
            </w:pPr>
            <w:r>
              <w:rPr>
                <w:sz w:val="21"/>
                <w:szCs w:val="21"/>
              </w:rPr>
              <w:t>无危险废弃物填埋场</w:t>
            </w:r>
          </w:p>
        </w:tc>
        <w:tc>
          <w:tcPr>
            <w:tcW w:w="857" w:type="dxa"/>
            <w:vAlign w:val="center"/>
          </w:tcPr>
          <w:p w14:paraId="1DBE397C">
            <w:pPr>
              <w:spacing w:line="240" w:lineRule="auto"/>
              <w:jc w:val="center"/>
              <w:rPr>
                <w:sz w:val="21"/>
                <w:szCs w:val="21"/>
              </w:rPr>
            </w:pPr>
            <w:r>
              <w:rPr>
                <w:sz w:val="21"/>
                <w:szCs w:val="21"/>
              </w:rPr>
              <w:t>0</w:t>
            </w:r>
          </w:p>
        </w:tc>
      </w:tr>
      <w:tr w14:paraId="319667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1587" w:type="dxa"/>
            <w:vAlign w:val="center"/>
          </w:tcPr>
          <w:p w14:paraId="0B0EA0BE">
            <w:pPr>
              <w:spacing w:line="240" w:lineRule="auto"/>
              <w:jc w:val="center"/>
              <w:rPr>
                <w:sz w:val="21"/>
                <w:szCs w:val="21"/>
              </w:rPr>
            </w:pPr>
            <w:r>
              <w:rPr>
                <w:sz w:val="21"/>
                <w:szCs w:val="21"/>
              </w:rPr>
              <w:t>尾矿库（座）</w:t>
            </w:r>
          </w:p>
        </w:tc>
        <w:tc>
          <w:tcPr>
            <w:tcW w:w="1078" w:type="dxa"/>
            <w:vAlign w:val="center"/>
          </w:tcPr>
          <w:p w14:paraId="020C9F26">
            <w:pPr>
              <w:spacing w:line="240" w:lineRule="auto"/>
              <w:jc w:val="center"/>
              <w:rPr>
                <w:sz w:val="21"/>
                <w:szCs w:val="21"/>
              </w:rPr>
            </w:pPr>
            <w:r>
              <w:rPr>
                <w:sz w:val="21"/>
                <w:szCs w:val="21"/>
              </w:rPr>
              <w:t>无</w:t>
            </w:r>
          </w:p>
          <w:p w14:paraId="5510BFEA">
            <w:pPr>
              <w:spacing w:line="240" w:lineRule="auto"/>
              <w:jc w:val="center"/>
              <w:rPr>
                <w:sz w:val="21"/>
                <w:szCs w:val="21"/>
              </w:rPr>
            </w:pPr>
            <w:r>
              <w:rPr>
                <w:sz w:val="21"/>
                <w:szCs w:val="21"/>
              </w:rPr>
              <w:t>存在</w:t>
            </w:r>
          </w:p>
        </w:tc>
        <w:tc>
          <w:tcPr>
            <w:tcW w:w="858" w:type="dxa"/>
            <w:vAlign w:val="center"/>
          </w:tcPr>
          <w:p w14:paraId="3679DFC7">
            <w:pPr>
              <w:spacing w:line="240" w:lineRule="auto"/>
              <w:jc w:val="center"/>
              <w:rPr>
                <w:sz w:val="21"/>
                <w:szCs w:val="21"/>
              </w:rPr>
            </w:pPr>
            <w:r>
              <w:rPr>
                <w:sz w:val="21"/>
                <w:szCs w:val="21"/>
              </w:rPr>
              <w:t>0</w:t>
            </w:r>
          </w:p>
          <w:p w14:paraId="1B2DADA6">
            <w:pPr>
              <w:spacing w:line="240" w:lineRule="auto"/>
              <w:jc w:val="center"/>
              <w:rPr>
                <w:sz w:val="21"/>
                <w:szCs w:val="21"/>
              </w:rPr>
            </w:pPr>
            <w:r>
              <w:rPr>
                <w:sz w:val="21"/>
                <w:szCs w:val="21"/>
              </w:rPr>
              <w:t>10</w:t>
            </w:r>
          </w:p>
        </w:tc>
        <w:tc>
          <w:tcPr>
            <w:tcW w:w="1708" w:type="dxa"/>
            <w:vAlign w:val="center"/>
          </w:tcPr>
          <w:p w14:paraId="42D2453B">
            <w:pPr>
              <w:spacing w:line="240" w:lineRule="auto"/>
              <w:jc w:val="center"/>
              <w:rPr>
                <w:sz w:val="21"/>
                <w:szCs w:val="21"/>
              </w:rPr>
            </w:pPr>
            <w:r>
              <w:rPr>
                <w:sz w:val="21"/>
                <w:szCs w:val="21"/>
              </w:rPr>
              <w:t>无尾矿库</w:t>
            </w:r>
          </w:p>
        </w:tc>
        <w:tc>
          <w:tcPr>
            <w:tcW w:w="733" w:type="dxa"/>
            <w:vAlign w:val="center"/>
          </w:tcPr>
          <w:p w14:paraId="74E8179E">
            <w:pPr>
              <w:spacing w:line="240" w:lineRule="auto"/>
              <w:jc w:val="center"/>
              <w:rPr>
                <w:sz w:val="21"/>
                <w:szCs w:val="21"/>
              </w:rPr>
            </w:pPr>
            <w:r>
              <w:rPr>
                <w:sz w:val="21"/>
                <w:szCs w:val="21"/>
              </w:rPr>
              <w:t>0</w:t>
            </w:r>
          </w:p>
        </w:tc>
        <w:tc>
          <w:tcPr>
            <w:tcW w:w="1017" w:type="dxa"/>
            <w:vAlign w:val="center"/>
          </w:tcPr>
          <w:p w14:paraId="3A9FEC66">
            <w:pPr>
              <w:spacing w:line="240" w:lineRule="auto"/>
              <w:jc w:val="center"/>
              <w:rPr>
                <w:sz w:val="21"/>
                <w:szCs w:val="21"/>
              </w:rPr>
            </w:pPr>
            <w:r>
              <w:rPr>
                <w:sz w:val="21"/>
                <w:szCs w:val="21"/>
              </w:rPr>
              <w:t>无</w:t>
            </w:r>
          </w:p>
          <w:p w14:paraId="47F1168E">
            <w:pPr>
              <w:spacing w:line="240" w:lineRule="auto"/>
              <w:jc w:val="center"/>
              <w:rPr>
                <w:sz w:val="21"/>
                <w:szCs w:val="21"/>
              </w:rPr>
            </w:pPr>
            <w:r>
              <w:rPr>
                <w:sz w:val="21"/>
                <w:szCs w:val="21"/>
              </w:rPr>
              <w:t>1</w:t>
            </w:r>
          </w:p>
          <w:p w14:paraId="3F66340B">
            <w:pPr>
              <w:spacing w:line="240" w:lineRule="auto"/>
              <w:jc w:val="center"/>
              <w:rPr>
                <w:sz w:val="21"/>
                <w:szCs w:val="21"/>
              </w:rPr>
            </w:pPr>
            <w:r>
              <w:rPr>
                <w:sz w:val="21"/>
                <w:szCs w:val="21"/>
              </w:rPr>
              <w:t>2</w:t>
            </w:r>
          </w:p>
          <w:p w14:paraId="0329B8DF">
            <w:pPr>
              <w:spacing w:line="240" w:lineRule="auto"/>
              <w:jc w:val="center"/>
              <w:rPr>
                <w:sz w:val="21"/>
                <w:szCs w:val="21"/>
              </w:rPr>
            </w:pPr>
            <w:r>
              <w:rPr>
                <w:sz w:val="21"/>
                <w:szCs w:val="21"/>
              </w:rPr>
              <w:t>3~4</w:t>
            </w:r>
          </w:p>
          <w:p w14:paraId="1D11ABE4">
            <w:pPr>
              <w:spacing w:line="240" w:lineRule="auto"/>
              <w:jc w:val="center"/>
              <w:rPr>
                <w:sz w:val="21"/>
                <w:szCs w:val="21"/>
              </w:rPr>
            </w:pPr>
            <w:r>
              <w:rPr>
                <w:sz w:val="21"/>
                <w:szCs w:val="21"/>
              </w:rPr>
              <w:t>&gt;4</w:t>
            </w:r>
          </w:p>
        </w:tc>
        <w:tc>
          <w:tcPr>
            <w:tcW w:w="1133" w:type="dxa"/>
            <w:vAlign w:val="center"/>
          </w:tcPr>
          <w:p w14:paraId="79539054">
            <w:pPr>
              <w:spacing w:line="240" w:lineRule="auto"/>
              <w:jc w:val="center"/>
              <w:rPr>
                <w:sz w:val="21"/>
                <w:szCs w:val="21"/>
              </w:rPr>
            </w:pPr>
            <w:r>
              <w:rPr>
                <w:sz w:val="21"/>
                <w:szCs w:val="21"/>
              </w:rPr>
              <w:t>0</w:t>
            </w:r>
          </w:p>
          <w:p w14:paraId="30201C42">
            <w:pPr>
              <w:spacing w:line="240" w:lineRule="auto"/>
              <w:jc w:val="center"/>
              <w:rPr>
                <w:sz w:val="21"/>
                <w:szCs w:val="21"/>
              </w:rPr>
            </w:pPr>
            <w:r>
              <w:rPr>
                <w:sz w:val="21"/>
                <w:szCs w:val="21"/>
              </w:rPr>
              <w:t>5</w:t>
            </w:r>
          </w:p>
          <w:p w14:paraId="3DCD73FC">
            <w:pPr>
              <w:spacing w:line="240" w:lineRule="auto"/>
              <w:jc w:val="center"/>
              <w:rPr>
                <w:sz w:val="21"/>
                <w:szCs w:val="21"/>
              </w:rPr>
            </w:pPr>
            <w:r>
              <w:rPr>
                <w:sz w:val="21"/>
                <w:szCs w:val="21"/>
              </w:rPr>
              <w:t>7</w:t>
            </w:r>
          </w:p>
          <w:p w14:paraId="6E25026A">
            <w:pPr>
              <w:spacing w:line="240" w:lineRule="auto"/>
              <w:jc w:val="center"/>
              <w:rPr>
                <w:sz w:val="21"/>
                <w:szCs w:val="21"/>
              </w:rPr>
            </w:pPr>
            <w:r>
              <w:rPr>
                <w:sz w:val="21"/>
                <w:szCs w:val="21"/>
              </w:rPr>
              <w:t>8</w:t>
            </w:r>
          </w:p>
          <w:p w14:paraId="341E3197">
            <w:pPr>
              <w:spacing w:line="240" w:lineRule="auto"/>
              <w:jc w:val="center"/>
              <w:rPr>
                <w:sz w:val="21"/>
                <w:szCs w:val="21"/>
              </w:rPr>
            </w:pPr>
            <w:r>
              <w:rPr>
                <w:sz w:val="21"/>
                <w:szCs w:val="21"/>
              </w:rPr>
              <w:t>10</w:t>
            </w:r>
          </w:p>
        </w:tc>
        <w:tc>
          <w:tcPr>
            <w:tcW w:w="1750" w:type="dxa"/>
            <w:vAlign w:val="center"/>
          </w:tcPr>
          <w:p w14:paraId="2EE21B94">
            <w:pPr>
              <w:spacing w:line="240" w:lineRule="auto"/>
              <w:jc w:val="center"/>
              <w:rPr>
                <w:sz w:val="21"/>
                <w:szCs w:val="21"/>
              </w:rPr>
            </w:pPr>
            <w:r>
              <w:rPr>
                <w:sz w:val="21"/>
                <w:szCs w:val="21"/>
              </w:rPr>
              <w:t>无尾矿库</w:t>
            </w:r>
          </w:p>
        </w:tc>
        <w:tc>
          <w:tcPr>
            <w:tcW w:w="857" w:type="dxa"/>
            <w:vAlign w:val="center"/>
          </w:tcPr>
          <w:p w14:paraId="777346FB">
            <w:pPr>
              <w:spacing w:line="240" w:lineRule="auto"/>
              <w:jc w:val="center"/>
              <w:rPr>
                <w:sz w:val="21"/>
                <w:szCs w:val="21"/>
              </w:rPr>
            </w:pPr>
            <w:r>
              <w:rPr>
                <w:sz w:val="21"/>
                <w:szCs w:val="21"/>
              </w:rPr>
              <w:t>0</w:t>
            </w:r>
          </w:p>
        </w:tc>
      </w:tr>
      <w:tr w14:paraId="40FF5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14:paraId="58CC1791">
            <w:pPr>
              <w:spacing w:line="240" w:lineRule="auto"/>
              <w:jc w:val="center"/>
              <w:rPr>
                <w:sz w:val="21"/>
                <w:szCs w:val="21"/>
              </w:rPr>
            </w:pPr>
            <w:r>
              <w:rPr>
                <w:sz w:val="21"/>
                <w:szCs w:val="21"/>
              </w:rPr>
              <w:t>加油站（座）</w:t>
            </w:r>
          </w:p>
        </w:tc>
        <w:tc>
          <w:tcPr>
            <w:tcW w:w="1078" w:type="dxa"/>
            <w:vAlign w:val="center"/>
          </w:tcPr>
          <w:p w14:paraId="76B56689">
            <w:pPr>
              <w:spacing w:line="240" w:lineRule="auto"/>
              <w:jc w:val="center"/>
              <w:rPr>
                <w:sz w:val="21"/>
                <w:szCs w:val="21"/>
              </w:rPr>
            </w:pPr>
            <w:r>
              <w:rPr>
                <w:sz w:val="21"/>
                <w:szCs w:val="21"/>
              </w:rPr>
              <w:t>无</w:t>
            </w:r>
          </w:p>
          <w:p w14:paraId="75B060BE">
            <w:pPr>
              <w:spacing w:line="240" w:lineRule="auto"/>
              <w:jc w:val="center"/>
              <w:rPr>
                <w:sz w:val="21"/>
                <w:szCs w:val="21"/>
              </w:rPr>
            </w:pPr>
            <w:r>
              <w:rPr>
                <w:sz w:val="21"/>
                <w:szCs w:val="21"/>
              </w:rPr>
              <w:t>存在</w:t>
            </w:r>
          </w:p>
        </w:tc>
        <w:tc>
          <w:tcPr>
            <w:tcW w:w="858" w:type="dxa"/>
            <w:vAlign w:val="center"/>
          </w:tcPr>
          <w:p w14:paraId="564E3266">
            <w:pPr>
              <w:spacing w:line="240" w:lineRule="auto"/>
              <w:jc w:val="center"/>
              <w:rPr>
                <w:sz w:val="21"/>
                <w:szCs w:val="21"/>
              </w:rPr>
            </w:pPr>
            <w:r>
              <w:rPr>
                <w:sz w:val="21"/>
                <w:szCs w:val="21"/>
              </w:rPr>
              <w:t>0</w:t>
            </w:r>
          </w:p>
          <w:p w14:paraId="539729E7">
            <w:pPr>
              <w:spacing w:line="240" w:lineRule="auto"/>
              <w:jc w:val="center"/>
              <w:rPr>
                <w:sz w:val="21"/>
                <w:szCs w:val="21"/>
              </w:rPr>
            </w:pPr>
            <w:r>
              <w:rPr>
                <w:sz w:val="21"/>
                <w:szCs w:val="21"/>
              </w:rPr>
              <w:t>10</w:t>
            </w:r>
          </w:p>
        </w:tc>
        <w:tc>
          <w:tcPr>
            <w:tcW w:w="1708" w:type="dxa"/>
            <w:vAlign w:val="center"/>
          </w:tcPr>
          <w:p w14:paraId="55795F36">
            <w:pPr>
              <w:spacing w:line="240" w:lineRule="auto"/>
              <w:jc w:val="center"/>
              <w:rPr>
                <w:sz w:val="21"/>
                <w:szCs w:val="21"/>
              </w:rPr>
            </w:pPr>
            <w:r>
              <w:rPr>
                <w:sz w:val="21"/>
                <w:szCs w:val="21"/>
              </w:rPr>
              <w:t>无加油站</w:t>
            </w:r>
          </w:p>
        </w:tc>
        <w:tc>
          <w:tcPr>
            <w:tcW w:w="733" w:type="dxa"/>
            <w:vAlign w:val="center"/>
          </w:tcPr>
          <w:p w14:paraId="680B8966">
            <w:pPr>
              <w:spacing w:line="240" w:lineRule="auto"/>
              <w:jc w:val="center"/>
              <w:rPr>
                <w:sz w:val="21"/>
                <w:szCs w:val="21"/>
              </w:rPr>
            </w:pPr>
            <w:r>
              <w:rPr>
                <w:sz w:val="21"/>
                <w:szCs w:val="21"/>
              </w:rPr>
              <w:t>0</w:t>
            </w:r>
          </w:p>
        </w:tc>
        <w:tc>
          <w:tcPr>
            <w:tcW w:w="1017" w:type="dxa"/>
            <w:vAlign w:val="center"/>
          </w:tcPr>
          <w:p w14:paraId="210B2A63">
            <w:pPr>
              <w:spacing w:line="240" w:lineRule="auto"/>
              <w:jc w:val="center"/>
              <w:rPr>
                <w:sz w:val="21"/>
                <w:szCs w:val="21"/>
              </w:rPr>
            </w:pPr>
            <w:r>
              <w:rPr>
                <w:sz w:val="21"/>
                <w:szCs w:val="21"/>
              </w:rPr>
              <w:t>无</w:t>
            </w:r>
          </w:p>
          <w:p w14:paraId="0C37EF3A">
            <w:pPr>
              <w:spacing w:line="240" w:lineRule="auto"/>
              <w:jc w:val="center"/>
              <w:rPr>
                <w:sz w:val="21"/>
                <w:szCs w:val="21"/>
              </w:rPr>
            </w:pPr>
            <w:r>
              <w:rPr>
                <w:sz w:val="21"/>
                <w:szCs w:val="21"/>
              </w:rPr>
              <w:t>1~2</w:t>
            </w:r>
          </w:p>
          <w:p w14:paraId="3E2F7CDF">
            <w:pPr>
              <w:spacing w:line="240" w:lineRule="auto"/>
              <w:jc w:val="center"/>
              <w:rPr>
                <w:sz w:val="21"/>
                <w:szCs w:val="21"/>
              </w:rPr>
            </w:pPr>
            <w:r>
              <w:rPr>
                <w:sz w:val="21"/>
                <w:szCs w:val="21"/>
              </w:rPr>
              <w:t>3~5</w:t>
            </w:r>
          </w:p>
          <w:p w14:paraId="6550A022">
            <w:pPr>
              <w:spacing w:line="240" w:lineRule="auto"/>
              <w:jc w:val="center"/>
              <w:rPr>
                <w:sz w:val="21"/>
                <w:szCs w:val="21"/>
              </w:rPr>
            </w:pPr>
            <w:r>
              <w:rPr>
                <w:sz w:val="21"/>
                <w:szCs w:val="21"/>
              </w:rPr>
              <w:t>6~8</w:t>
            </w:r>
          </w:p>
          <w:p w14:paraId="43418FB3">
            <w:pPr>
              <w:spacing w:line="240" w:lineRule="auto"/>
              <w:jc w:val="center"/>
              <w:rPr>
                <w:sz w:val="21"/>
                <w:szCs w:val="21"/>
              </w:rPr>
            </w:pPr>
            <w:r>
              <w:rPr>
                <w:sz w:val="21"/>
                <w:szCs w:val="21"/>
              </w:rPr>
              <w:t>&gt;8</w:t>
            </w:r>
          </w:p>
        </w:tc>
        <w:tc>
          <w:tcPr>
            <w:tcW w:w="1133" w:type="dxa"/>
            <w:vAlign w:val="center"/>
          </w:tcPr>
          <w:p w14:paraId="23338939">
            <w:pPr>
              <w:spacing w:line="240" w:lineRule="auto"/>
              <w:jc w:val="center"/>
              <w:rPr>
                <w:sz w:val="21"/>
                <w:szCs w:val="21"/>
              </w:rPr>
            </w:pPr>
            <w:r>
              <w:rPr>
                <w:sz w:val="21"/>
                <w:szCs w:val="21"/>
              </w:rPr>
              <w:t>0</w:t>
            </w:r>
          </w:p>
          <w:p w14:paraId="0E3C8E2C">
            <w:pPr>
              <w:spacing w:line="240" w:lineRule="auto"/>
              <w:jc w:val="center"/>
              <w:rPr>
                <w:sz w:val="21"/>
                <w:szCs w:val="21"/>
              </w:rPr>
            </w:pPr>
            <w:r>
              <w:rPr>
                <w:sz w:val="21"/>
                <w:szCs w:val="21"/>
              </w:rPr>
              <w:t>2</w:t>
            </w:r>
          </w:p>
          <w:p w14:paraId="6801CF8B">
            <w:pPr>
              <w:spacing w:line="240" w:lineRule="auto"/>
              <w:jc w:val="center"/>
              <w:rPr>
                <w:sz w:val="21"/>
                <w:szCs w:val="21"/>
              </w:rPr>
            </w:pPr>
            <w:r>
              <w:rPr>
                <w:sz w:val="21"/>
                <w:szCs w:val="21"/>
              </w:rPr>
              <w:t>4</w:t>
            </w:r>
          </w:p>
          <w:p w14:paraId="01D3A858">
            <w:pPr>
              <w:spacing w:line="240" w:lineRule="auto"/>
              <w:jc w:val="center"/>
              <w:rPr>
                <w:sz w:val="21"/>
                <w:szCs w:val="21"/>
              </w:rPr>
            </w:pPr>
            <w:r>
              <w:rPr>
                <w:sz w:val="21"/>
                <w:szCs w:val="21"/>
              </w:rPr>
              <w:t>8</w:t>
            </w:r>
          </w:p>
          <w:p w14:paraId="67ED6DE4">
            <w:pPr>
              <w:spacing w:line="240" w:lineRule="auto"/>
              <w:jc w:val="center"/>
              <w:rPr>
                <w:sz w:val="21"/>
                <w:szCs w:val="21"/>
              </w:rPr>
            </w:pPr>
            <w:r>
              <w:rPr>
                <w:sz w:val="21"/>
                <w:szCs w:val="21"/>
              </w:rPr>
              <w:t>10</w:t>
            </w:r>
          </w:p>
        </w:tc>
        <w:tc>
          <w:tcPr>
            <w:tcW w:w="1750" w:type="dxa"/>
            <w:vAlign w:val="center"/>
          </w:tcPr>
          <w:p w14:paraId="5CAD3EBA">
            <w:pPr>
              <w:spacing w:line="240" w:lineRule="auto"/>
              <w:jc w:val="center"/>
              <w:rPr>
                <w:sz w:val="21"/>
                <w:szCs w:val="21"/>
              </w:rPr>
            </w:pPr>
            <w:r>
              <w:rPr>
                <w:sz w:val="21"/>
                <w:szCs w:val="21"/>
              </w:rPr>
              <w:t>无加油站</w:t>
            </w:r>
          </w:p>
        </w:tc>
        <w:tc>
          <w:tcPr>
            <w:tcW w:w="857" w:type="dxa"/>
            <w:vAlign w:val="center"/>
          </w:tcPr>
          <w:p w14:paraId="7B500663">
            <w:pPr>
              <w:spacing w:line="240" w:lineRule="auto"/>
              <w:jc w:val="center"/>
              <w:rPr>
                <w:sz w:val="21"/>
                <w:szCs w:val="21"/>
              </w:rPr>
            </w:pPr>
            <w:r>
              <w:rPr>
                <w:sz w:val="21"/>
                <w:szCs w:val="21"/>
              </w:rPr>
              <w:t>0</w:t>
            </w:r>
          </w:p>
        </w:tc>
      </w:tr>
      <w:tr w14:paraId="4A66E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8" w:hRule="atLeast"/>
          <w:jc w:val="center"/>
        </w:trPr>
        <w:tc>
          <w:tcPr>
            <w:tcW w:w="1587" w:type="dxa"/>
            <w:vAlign w:val="center"/>
          </w:tcPr>
          <w:p w14:paraId="7A005B38">
            <w:pPr>
              <w:spacing w:line="240" w:lineRule="auto"/>
              <w:jc w:val="center"/>
              <w:rPr>
                <w:sz w:val="21"/>
                <w:szCs w:val="21"/>
              </w:rPr>
            </w:pPr>
            <w:r>
              <w:rPr>
                <w:sz w:val="21"/>
                <w:szCs w:val="21"/>
              </w:rPr>
              <w:t>油品储罐（座）</w:t>
            </w:r>
          </w:p>
        </w:tc>
        <w:tc>
          <w:tcPr>
            <w:tcW w:w="1078" w:type="dxa"/>
            <w:vAlign w:val="center"/>
          </w:tcPr>
          <w:p w14:paraId="317A60DC">
            <w:pPr>
              <w:spacing w:line="240" w:lineRule="auto"/>
              <w:jc w:val="center"/>
              <w:rPr>
                <w:sz w:val="21"/>
                <w:szCs w:val="21"/>
              </w:rPr>
            </w:pPr>
            <w:r>
              <w:rPr>
                <w:sz w:val="21"/>
                <w:szCs w:val="21"/>
              </w:rPr>
              <w:t>无</w:t>
            </w:r>
          </w:p>
          <w:p w14:paraId="0D27C8C8">
            <w:pPr>
              <w:spacing w:line="240" w:lineRule="auto"/>
              <w:jc w:val="center"/>
              <w:rPr>
                <w:sz w:val="21"/>
                <w:szCs w:val="21"/>
              </w:rPr>
            </w:pPr>
            <w:r>
              <w:rPr>
                <w:sz w:val="21"/>
                <w:szCs w:val="21"/>
              </w:rPr>
              <w:t>存在</w:t>
            </w:r>
          </w:p>
        </w:tc>
        <w:tc>
          <w:tcPr>
            <w:tcW w:w="858" w:type="dxa"/>
            <w:vAlign w:val="center"/>
          </w:tcPr>
          <w:p w14:paraId="247E4FC5">
            <w:pPr>
              <w:spacing w:line="240" w:lineRule="auto"/>
              <w:jc w:val="center"/>
              <w:rPr>
                <w:sz w:val="21"/>
                <w:szCs w:val="21"/>
              </w:rPr>
            </w:pPr>
            <w:r>
              <w:rPr>
                <w:sz w:val="21"/>
                <w:szCs w:val="21"/>
              </w:rPr>
              <w:t>0</w:t>
            </w:r>
          </w:p>
          <w:p w14:paraId="43EA44BB">
            <w:pPr>
              <w:spacing w:line="240" w:lineRule="auto"/>
              <w:jc w:val="center"/>
              <w:rPr>
                <w:sz w:val="21"/>
                <w:szCs w:val="21"/>
              </w:rPr>
            </w:pPr>
            <w:r>
              <w:rPr>
                <w:sz w:val="21"/>
                <w:szCs w:val="21"/>
              </w:rPr>
              <w:t>10</w:t>
            </w:r>
          </w:p>
        </w:tc>
        <w:tc>
          <w:tcPr>
            <w:tcW w:w="1708" w:type="dxa"/>
            <w:vAlign w:val="center"/>
          </w:tcPr>
          <w:p w14:paraId="787B1E4B">
            <w:pPr>
              <w:spacing w:line="240" w:lineRule="auto"/>
              <w:jc w:val="center"/>
              <w:rPr>
                <w:sz w:val="21"/>
                <w:szCs w:val="21"/>
              </w:rPr>
            </w:pPr>
            <w:r>
              <w:rPr>
                <w:sz w:val="21"/>
                <w:szCs w:val="21"/>
              </w:rPr>
              <w:t>无油品储罐</w:t>
            </w:r>
          </w:p>
        </w:tc>
        <w:tc>
          <w:tcPr>
            <w:tcW w:w="733" w:type="dxa"/>
            <w:vAlign w:val="center"/>
          </w:tcPr>
          <w:p w14:paraId="15369E0C">
            <w:pPr>
              <w:spacing w:line="240" w:lineRule="auto"/>
              <w:jc w:val="center"/>
              <w:rPr>
                <w:sz w:val="21"/>
                <w:szCs w:val="21"/>
              </w:rPr>
            </w:pPr>
            <w:r>
              <w:rPr>
                <w:sz w:val="21"/>
                <w:szCs w:val="21"/>
              </w:rPr>
              <w:t>0</w:t>
            </w:r>
          </w:p>
        </w:tc>
        <w:tc>
          <w:tcPr>
            <w:tcW w:w="1017" w:type="dxa"/>
            <w:vAlign w:val="center"/>
          </w:tcPr>
          <w:p w14:paraId="4AF3B03A">
            <w:pPr>
              <w:spacing w:line="240" w:lineRule="auto"/>
              <w:jc w:val="center"/>
              <w:rPr>
                <w:sz w:val="21"/>
                <w:szCs w:val="21"/>
              </w:rPr>
            </w:pPr>
            <w:r>
              <w:rPr>
                <w:sz w:val="21"/>
                <w:szCs w:val="21"/>
              </w:rPr>
              <w:t>无</w:t>
            </w:r>
          </w:p>
          <w:p w14:paraId="02E48864">
            <w:pPr>
              <w:spacing w:line="240" w:lineRule="auto"/>
              <w:jc w:val="center"/>
              <w:rPr>
                <w:sz w:val="21"/>
                <w:szCs w:val="21"/>
              </w:rPr>
            </w:pPr>
            <w:r>
              <w:rPr>
                <w:sz w:val="21"/>
                <w:szCs w:val="21"/>
              </w:rPr>
              <w:t>1</w:t>
            </w:r>
          </w:p>
          <w:p w14:paraId="77A03F84">
            <w:pPr>
              <w:spacing w:line="240" w:lineRule="auto"/>
              <w:jc w:val="center"/>
              <w:rPr>
                <w:sz w:val="21"/>
                <w:szCs w:val="21"/>
              </w:rPr>
            </w:pPr>
            <w:r>
              <w:rPr>
                <w:sz w:val="21"/>
                <w:szCs w:val="21"/>
              </w:rPr>
              <w:t>2~3</w:t>
            </w:r>
          </w:p>
          <w:p w14:paraId="3BA991DE">
            <w:pPr>
              <w:spacing w:line="240" w:lineRule="auto"/>
              <w:jc w:val="center"/>
              <w:rPr>
                <w:sz w:val="21"/>
                <w:szCs w:val="21"/>
              </w:rPr>
            </w:pPr>
            <w:r>
              <w:rPr>
                <w:sz w:val="21"/>
                <w:szCs w:val="21"/>
              </w:rPr>
              <w:t>4~5</w:t>
            </w:r>
          </w:p>
          <w:p w14:paraId="6CE34B03">
            <w:pPr>
              <w:spacing w:line="240" w:lineRule="auto"/>
              <w:jc w:val="center"/>
              <w:rPr>
                <w:sz w:val="21"/>
                <w:szCs w:val="21"/>
              </w:rPr>
            </w:pPr>
            <w:r>
              <w:rPr>
                <w:sz w:val="21"/>
                <w:szCs w:val="21"/>
              </w:rPr>
              <w:t>&gt;5</w:t>
            </w:r>
          </w:p>
        </w:tc>
        <w:tc>
          <w:tcPr>
            <w:tcW w:w="1133" w:type="dxa"/>
            <w:vAlign w:val="center"/>
          </w:tcPr>
          <w:p w14:paraId="1CF94C48">
            <w:pPr>
              <w:spacing w:line="240" w:lineRule="auto"/>
              <w:jc w:val="center"/>
              <w:rPr>
                <w:sz w:val="21"/>
                <w:szCs w:val="21"/>
              </w:rPr>
            </w:pPr>
            <w:r>
              <w:rPr>
                <w:sz w:val="21"/>
                <w:szCs w:val="21"/>
              </w:rPr>
              <w:t>0</w:t>
            </w:r>
          </w:p>
          <w:p w14:paraId="357F2A9D">
            <w:pPr>
              <w:spacing w:line="240" w:lineRule="auto"/>
              <w:jc w:val="center"/>
              <w:rPr>
                <w:sz w:val="21"/>
                <w:szCs w:val="21"/>
              </w:rPr>
            </w:pPr>
            <w:r>
              <w:rPr>
                <w:sz w:val="21"/>
                <w:szCs w:val="21"/>
              </w:rPr>
              <w:t>2</w:t>
            </w:r>
          </w:p>
          <w:p w14:paraId="2E40CB1C">
            <w:pPr>
              <w:spacing w:line="240" w:lineRule="auto"/>
              <w:jc w:val="center"/>
              <w:rPr>
                <w:sz w:val="21"/>
                <w:szCs w:val="21"/>
              </w:rPr>
            </w:pPr>
            <w:r>
              <w:rPr>
                <w:sz w:val="21"/>
                <w:szCs w:val="21"/>
              </w:rPr>
              <w:t>4</w:t>
            </w:r>
          </w:p>
          <w:p w14:paraId="517C54C8">
            <w:pPr>
              <w:spacing w:line="240" w:lineRule="auto"/>
              <w:jc w:val="center"/>
              <w:rPr>
                <w:sz w:val="21"/>
                <w:szCs w:val="21"/>
              </w:rPr>
            </w:pPr>
            <w:r>
              <w:rPr>
                <w:sz w:val="21"/>
                <w:szCs w:val="21"/>
              </w:rPr>
              <w:t>6</w:t>
            </w:r>
          </w:p>
          <w:p w14:paraId="77111949">
            <w:pPr>
              <w:spacing w:line="240" w:lineRule="auto"/>
              <w:jc w:val="center"/>
              <w:rPr>
                <w:sz w:val="21"/>
                <w:szCs w:val="21"/>
              </w:rPr>
            </w:pPr>
            <w:r>
              <w:rPr>
                <w:sz w:val="21"/>
                <w:szCs w:val="21"/>
              </w:rPr>
              <w:t>10</w:t>
            </w:r>
          </w:p>
        </w:tc>
        <w:tc>
          <w:tcPr>
            <w:tcW w:w="1750" w:type="dxa"/>
            <w:vAlign w:val="center"/>
          </w:tcPr>
          <w:p w14:paraId="1ADDB45B">
            <w:pPr>
              <w:spacing w:line="240" w:lineRule="auto"/>
              <w:jc w:val="center"/>
              <w:rPr>
                <w:sz w:val="21"/>
                <w:szCs w:val="21"/>
              </w:rPr>
            </w:pPr>
            <w:r>
              <w:rPr>
                <w:sz w:val="21"/>
                <w:szCs w:val="21"/>
              </w:rPr>
              <w:t>无油品储罐</w:t>
            </w:r>
          </w:p>
        </w:tc>
        <w:tc>
          <w:tcPr>
            <w:tcW w:w="857" w:type="dxa"/>
            <w:vAlign w:val="center"/>
          </w:tcPr>
          <w:p w14:paraId="43C2664B">
            <w:pPr>
              <w:spacing w:line="240" w:lineRule="auto"/>
              <w:jc w:val="center"/>
              <w:rPr>
                <w:sz w:val="21"/>
                <w:szCs w:val="21"/>
              </w:rPr>
            </w:pPr>
            <w:r>
              <w:rPr>
                <w:sz w:val="21"/>
                <w:szCs w:val="21"/>
              </w:rPr>
              <w:t>0</w:t>
            </w:r>
          </w:p>
        </w:tc>
      </w:tr>
      <w:tr w14:paraId="009728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1587" w:type="dxa"/>
            <w:vAlign w:val="center"/>
          </w:tcPr>
          <w:p w14:paraId="4559D6CC">
            <w:pPr>
              <w:spacing w:line="240" w:lineRule="auto"/>
              <w:jc w:val="center"/>
              <w:rPr>
                <w:sz w:val="21"/>
                <w:szCs w:val="21"/>
              </w:rPr>
            </w:pPr>
            <w:r>
              <w:rPr>
                <w:sz w:val="21"/>
                <w:szCs w:val="21"/>
              </w:rPr>
              <w:t>码头吞吐量</w:t>
            </w:r>
          </w:p>
          <w:p w14:paraId="65C82206">
            <w:pPr>
              <w:spacing w:line="240" w:lineRule="auto"/>
              <w:jc w:val="center"/>
              <w:rPr>
                <w:sz w:val="21"/>
                <w:szCs w:val="21"/>
              </w:rPr>
            </w:pPr>
            <w:r>
              <w:rPr>
                <w:sz w:val="21"/>
                <w:szCs w:val="21"/>
              </w:rPr>
              <w:t>（万吨/年）</w:t>
            </w:r>
          </w:p>
        </w:tc>
        <w:tc>
          <w:tcPr>
            <w:tcW w:w="1078" w:type="dxa"/>
            <w:vAlign w:val="center"/>
          </w:tcPr>
          <w:p w14:paraId="12D7E138">
            <w:pPr>
              <w:spacing w:line="240" w:lineRule="auto"/>
              <w:jc w:val="center"/>
              <w:rPr>
                <w:sz w:val="21"/>
                <w:szCs w:val="21"/>
              </w:rPr>
            </w:pPr>
            <w:r>
              <w:rPr>
                <w:sz w:val="21"/>
                <w:szCs w:val="21"/>
              </w:rPr>
              <w:t>无</w:t>
            </w:r>
          </w:p>
          <w:p w14:paraId="6978B6E6">
            <w:pPr>
              <w:spacing w:line="240" w:lineRule="auto"/>
              <w:jc w:val="center"/>
              <w:rPr>
                <w:sz w:val="21"/>
                <w:szCs w:val="21"/>
              </w:rPr>
            </w:pPr>
            <w:r>
              <w:rPr>
                <w:sz w:val="21"/>
                <w:szCs w:val="21"/>
              </w:rPr>
              <w:t>存在</w:t>
            </w:r>
          </w:p>
        </w:tc>
        <w:tc>
          <w:tcPr>
            <w:tcW w:w="858" w:type="dxa"/>
            <w:vAlign w:val="center"/>
          </w:tcPr>
          <w:p w14:paraId="65180B8D">
            <w:pPr>
              <w:spacing w:line="240" w:lineRule="auto"/>
              <w:jc w:val="center"/>
              <w:rPr>
                <w:sz w:val="21"/>
                <w:szCs w:val="21"/>
              </w:rPr>
            </w:pPr>
            <w:r>
              <w:rPr>
                <w:sz w:val="21"/>
                <w:szCs w:val="21"/>
              </w:rPr>
              <w:t>0</w:t>
            </w:r>
          </w:p>
          <w:p w14:paraId="26232EC1">
            <w:pPr>
              <w:spacing w:line="240" w:lineRule="auto"/>
              <w:jc w:val="center"/>
              <w:rPr>
                <w:sz w:val="21"/>
                <w:szCs w:val="21"/>
              </w:rPr>
            </w:pPr>
            <w:r>
              <w:rPr>
                <w:sz w:val="21"/>
                <w:szCs w:val="21"/>
              </w:rPr>
              <w:t>10</w:t>
            </w:r>
          </w:p>
        </w:tc>
        <w:tc>
          <w:tcPr>
            <w:tcW w:w="1708" w:type="dxa"/>
            <w:vAlign w:val="center"/>
          </w:tcPr>
          <w:p w14:paraId="731356CA">
            <w:pPr>
              <w:spacing w:line="240" w:lineRule="auto"/>
              <w:jc w:val="center"/>
              <w:rPr>
                <w:sz w:val="21"/>
                <w:szCs w:val="21"/>
              </w:rPr>
            </w:pPr>
            <w:r>
              <w:rPr>
                <w:sz w:val="21"/>
                <w:szCs w:val="21"/>
              </w:rPr>
              <w:t>无码头</w:t>
            </w:r>
          </w:p>
        </w:tc>
        <w:tc>
          <w:tcPr>
            <w:tcW w:w="733" w:type="dxa"/>
            <w:vAlign w:val="center"/>
          </w:tcPr>
          <w:p w14:paraId="736ABD80">
            <w:pPr>
              <w:spacing w:line="240" w:lineRule="auto"/>
              <w:jc w:val="center"/>
              <w:rPr>
                <w:sz w:val="21"/>
                <w:szCs w:val="21"/>
              </w:rPr>
            </w:pPr>
            <w:r>
              <w:rPr>
                <w:sz w:val="21"/>
                <w:szCs w:val="21"/>
              </w:rPr>
              <w:t>0</w:t>
            </w:r>
          </w:p>
        </w:tc>
        <w:tc>
          <w:tcPr>
            <w:tcW w:w="1017" w:type="dxa"/>
            <w:vAlign w:val="center"/>
          </w:tcPr>
          <w:p w14:paraId="406E7DAF">
            <w:pPr>
              <w:spacing w:line="240" w:lineRule="auto"/>
              <w:jc w:val="center"/>
              <w:rPr>
                <w:sz w:val="21"/>
                <w:szCs w:val="21"/>
              </w:rPr>
            </w:pPr>
            <w:r>
              <w:rPr>
                <w:sz w:val="21"/>
                <w:szCs w:val="21"/>
              </w:rPr>
              <w:t>无&lt;0.1</w:t>
            </w:r>
          </w:p>
          <w:p w14:paraId="7B75D0D0">
            <w:pPr>
              <w:spacing w:line="240" w:lineRule="auto"/>
              <w:jc w:val="center"/>
              <w:rPr>
                <w:sz w:val="21"/>
                <w:szCs w:val="21"/>
              </w:rPr>
            </w:pPr>
            <w:r>
              <w:rPr>
                <w:sz w:val="21"/>
                <w:szCs w:val="21"/>
              </w:rPr>
              <w:t>&gt;0.1,</w:t>
            </w:r>
          </w:p>
          <w:p w14:paraId="3E9CB6D9">
            <w:pPr>
              <w:spacing w:line="240" w:lineRule="auto"/>
              <w:jc w:val="center"/>
              <w:rPr>
                <w:sz w:val="21"/>
                <w:szCs w:val="21"/>
              </w:rPr>
            </w:pPr>
            <w:r>
              <w:rPr>
                <w:sz w:val="21"/>
                <w:szCs w:val="21"/>
              </w:rPr>
              <w:t>&lt;1</w:t>
            </w:r>
          </w:p>
          <w:p w14:paraId="1A29A127">
            <w:pPr>
              <w:spacing w:line="240" w:lineRule="auto"/>
              <w:jc w:val="center"/>
              <w:rPr>
                <w:sz w:val="21"/>
                <w:szCs w:val="21"/>
              </w:rPr>
            </w:pPr>
            <w:r>
              <w:rPr>
                <w:sz w:val="21"/>
                <w:szCs w:val="21"/>
              </w:rPr>
              <w:t>1~5</w:t>
            </w:r>
          </w:p>
          <w:p w14:paraId="7CAF26FB">
            <w:pPr>
              <w:spacing w:line="240" w:lineRule="auto"/>
              <w:jc w:val="center"/>
              <w:rPr>
                <w:sz w:val="21"/>
                <w:szCs w:val="21"/>
              </w:rPr>
            </w:pPr>
            <w:r>
              <w:rPr>
                <w:sz w:val="21"/>
                <w:szCs w:val="21"/>
              </w:rPr>
              <w:t>5~10</w:t>
            </w:r>
          </w:p>
          <w:p w14:paraId="632DAA36">
            <w:pPr>
              <w:spacing w:line="240" w:lineRule="auto"/>
              <w:jc w:val="center"/>
              <w:rPr>
                <w:sz w:val="21"/>
                <w:szCs w:val="21"/>
              </w:rPr>
            </w:pPr>
            <w:r>
              <w:rPr>
                <w:sz w:val="21"/>
                <w:szCs w:val="21"/>
              </w:rPr>
              <w:t>10~50</w:t>
            </w:r>
          </w:p>
          <w:p w14:paraId="7556A992">
            <w:pPr>
              <w:spacing w:line="240" w:lineRule="auto"/>
              <w:jc w:val="center"/>
              <w:rPr>
                <w:sz w:val="21"/>
                <w:szCs w:val="21"/>
              </w:rPr>
            </w:pPr>
            <w:r>
              <w:rPr>
                <w:sz w:val="21"/>
                <w:szCs w:val="21"/>
              </w:rPr>
              <w:t>&gt;50</w:t>
            </w:r>
          </w:p>
        </w:tc>
        <w:tc>
          <w:tcPr>
            <w:tcW w:w="1133" w:type="dxa"/>
            <w:vAlign w:val="center"/>
          </w:tcPr>
          <w:p w14:paraId="3A5DCBCE">
            <w:pPr>
              <w:spacing w:line="240" w:lineRule="auto"/>
              <w:jc w:val="center"/>
              <w:rPr>
                <w:sz w:val="21"/>
                <w:szCs w:val="21"/>
              </w:rPr>
            </w:pPr>
            <w:r>
              <w:rPr>
                <w:sz w:val="21"/>
                <w:szCs w:val="21"/>
              </w:rPr>
              <w:t>0</w:t>
            </w:r>
          </w:p>
          <w:p w14:paraId="63EAD088">
            <w:pPr>
              <w:spacing w:line="240" w:lineRule="auto"/>
              <w:jc w:val="center"/>
              <w:rPr>
                <w:sz w:val="21"/>
                <w:szCs w:val="21"/>
              </w:rPr>
            </w:pPr>
            <w:r>
              <w:rPr>
                <w:sz w:val="21"/>
                <w:szCs w:val="21"/>
              </w:rPr>
              <w:t>1</w:t>
            </w:r>
          </w:p>
          <w:p w14:paraId="27B048A8">
            <w:pPr>
              <w:spacing w:line="240" w:lineRule="auto"/>
              <w:jc w:val="center"/>
              <w:rPr>
                <w:sz w:val="21"/>
                <w:szCs w:val="21"/>
              </w:rPr>
            </w:pPr>
            <w:r>
              <w:rPr>
                <w:sz w:val="21"/>
                <w:szCs w:val="21"/>
              </w:rPr>
              <w:t>2</w:t>
            </w:r>
          </w:p>
          <w:p w14:paraId="4009DA8D">
            <w:pPr>
              <w:spacing w:line="240" w:lineRule="auto"/>
              <w:jc w:val="center"/>
              <w:rPr>
                <w:sz w:val="21"/>
                <w:szCs w:val="21"/>
              </w:rPr>
            </w:pPr>
            <w:r>
              <w:rPr>
                <w:sz w:val="21"/>
                <w:szCs w:val="21"/>
              </w:rPr>
              <w:t>4</w:t>
            </w:r>
          </w:p>
          <w:p w14:paraId="0FF90C51">
            <w:pPr>
              <w:spacing w:line="240" w:lineRule="auto"/>
              <w:jc w:val="center"/>
              <w:rPr>
                <w:sz w:val="21"/>
                <w:szCs w:val="21"/>
              </w:rPr>
            </w:pPr>
            <w:r>
              <w:rPr>
                <w:sz w:val="21"/>
                <w:szCs w:val="21"/>
              </w:rPr>
              <w:t>6</w:t>
            </w:r>
          </w:p>
          <w:p w14:paraId="760EE937">
            <w:pPr>
              <w:spacing w:line="240" w:lineRule="auto"/>
              <w:jc w:val="center"/>
              <w:rPr>
                <w:sz w:val="21"/>
                <w:szCs w:val="21"/>
              </w:rPr>
            </w:pPr>
            <w:r>
              <w:rPr>
                <w:sz w:val="21"/>
                <w:szCs w:val="21"/>
              </w:rPr>
              <w:t>8</w:t>
            </w:r>
          </w:p>
          <w:p w14:paraId="19974FC1">
            <w:pPr>
              <w:spacing w:line="240" w:lineRule="auto"/>
              <w:jc w:val="center"/>
              <w:rPr>
                <w:sz w:val="21"/>
                <w:szCs w:val="21"/>
              </w:rPr>
            </w:pPr>
            <w:r>
              <w:rPr>
                <w:sz w:val="21"/>
                <w:szCs w:val="21"/>
              </w:rPr>
              <w:t>10</w:t>
            </w:r>
          </w:p>
        </w:tc>
        <w:tc>
          <w:tcPr>
            <w:tcW w:w="1750" w:type="dxa"/>
            <w:vAlign w:val="center"/>
          </w:tcPr>
          <w:p w14:paraId="515D0B91">
            <w:pPr>
              <w:spacing w:line="240" w:lineRule="auto"/>
              <w:jc w:val="center"/>
              <w:rPr>
                <w:sz w:val="21"/>
                <w:szCs w:val="21"/>
              </w:rPr>
            </w:pPr>
            <w:r>
              <w:rPr>
                <w:sz w:val="21"/>
                <w:szCs w:val="21"/>
              </w:rPr>
              <w:t>无码头</w:t>
            </w:r>
          </w:p>
        </w:tc>
        <w:tc>
          <w:tcPr>
            <w:tcW w:w="857" w:type="dxa"/>
            <w:vAlign w:val="center"/>
          </w:tcPr>
          <w:p w14:paraId="1469FDE8">
            <w:pPr>
              <w:spacing w:line="240" w:lineRule="auto"/>
              <w:jc w:val="center"/>
              <w:rPr>
                <w:sz w:val="21"/>
                <w:szCs w:val="21"/>
              </w:rPr>
            </w:pPr>
            <w:r>
              <w:rPr>
                <w:sz w:val="21"/>
                <w:szCs w:val="21"/>
              </w:rPr>
              <w:t>0</w:t>
            </w:r>
          </w:p>
        </w:tc>
      </w:tr>
      <w:tr w14:paraId="77A3A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76" w:hRule="atLeast"/>
          <w:jc w:val="center"/>
        </w:trPr>
        <w:tc>
          <w:tcPr>
            <w:tcW w:w="1587" w:type="dxa"/>
            <w:vAlign w:val="center"/>
          </w:tcPr>
          <w:p w14:paraId="0FB22B04">
            <w:pPr>
              <w:spacing w:line="240" w:lineRule="auto"/>
              <w:jc w:val="center"/>
              <w:rPr>
                <w:sz w:val="21"/>
                <w:szCs w:val="21"/>
              </w:rPr>
            </w:pPr>
            <w:r>
              <w:rPr>
                <w:sz w:val="21"/>
                <w:szCs w:val="21"/>
              </w:rPr>
              <w:t>污水处理设施</w:t>
            </w:r>
          </w:p>
          <w:p w14:paraId="1EC0D068">
            <w:pPr>
              <w:spacing w:line="240" w:lineRule="auto"/>
              <w:jc w:val="center"/>
              <w:rPr>
                <w:sz w:val="21"/>
                <w:szCs w:val="21"/>
              </w:rPr>
            </w:pPr>
            <w:r>
              <w:rPr>
                <w:sz w:val="21"/>
                <w:szCs w:val="21"/>
              </w:rPr>
              <w:t>（万吨/年）</w:t>
            </w:r>
          </w:p>
        </w:tc>
        <w:tc>
          <w:tcPr>
            <w:tcW w:w="1078" w:type="dxa"/>
            <w:vAlign w:val="center"/>
          </w:tcPr>
          <w:p w14:paraId="0BE08984">
            <w:pPr>
              <w:spacing w:line="240" w:lineRule="auto"/>
              <w:jc w:val="center"/>
              <w:rPr>
                <w:sz w:val="21"/>
                <w:szCs w:val="21"/>
              </w:rPr>
            </w:pPr>
            <w:r>
              <w:rPr>
                <w:sz w:val="21"/>
                <w:szCs w:val="21"/>
              </w:rPr>
              <w:t>无</w:t>
            </w:r>
          </w:p>
          <w:p w14:paraId="7107C752">
            <w:pPr>
              <w:spacing w:line="240" w:lineRule="auto"/>
              <w:jc w:val="center"/>
              <w:rPr>
                <w:sz w:val="21"/>
                <w:szCs w:val="21"/>
              </w:rPr>
            </w:pPr>
            <w:r>
              <w:rPr>
                <w:sz w:val="21"/>
                <w:szCs w:val="21"/>
              </w:rPr>
              <w:t>存在</w:t>
            </w:r>
          </w:p>
        </w:tc>
        <w:tc>
          <w:tcPr>
            <w:tcW w:w="858" w:type="dxa"/>
            <w:vAlign w:val="center"/>
          </w:tcPr>
          <w:p w14:paraId="00D493B8">
            <w:pPr>
              <w:spacing w:line="240" w:lineRule="auto"/>
              <w:jc w:val="center"/>
              <w:rPr>
                <w:sz w:val="21"/>
                <w:szCs w:val="21"/>
              </w:rPr>
            </w:pPr>
            <w:r>
              <w:rPr>
                <w:sz w:val="21"/>
                <w:szCs w:val="21"/>
              </w:rPr>
              <w:t>0</w:t>
            </w:r>
          </w:p>
          <w:p w14:paraId="589E3D06">
            <w:pPr>
              <w:spacing w:line="240" w:lineRule="auto"/>
              <w:jc w:val="center"/>
              <w:rPr>
                <w:sz w:val="21"/>
                <w:szCs w:val="21"/>
              </w:rPr>
            </w:pPr>
            <w:r>
              <w:rPr>
                <w:sz w:val="21"/>
                <w:szCs w:val="21"/>
              </w:rPr>
              <w:t>10</w:t>
            </w:r>
          </w:p>
        </w:tc>
        <w:tc>
          <w:tcPr>
            <w:tcW w:w="1708" w:type="dxa"/>
            <w:vAlign w:val="center"/>
          </w:tcPr>
          <w:p w14:paraId="52B1950B">
            <w:pPr>
              <w:spacing w:line="240" w:lineRule="auto"/>
              <w:jc w:val="center"/>
              <w:rPr>
                <w:sz w:val="21"/>
                <w:szCs w:val="21"/>
              </w:rPr>
            </w:pPr>
            <w:r>
              <w:rPr>
                <w:sz w:val="21"/>
                <w:szCs w:val="21"/>
              </w:rPr>
              <w:t>无污水处理设施</w:t>
            </w:r>
          </w:p>
        </w:tc>
        <w:tc>
          <w:tcPr>
            <w:tcW w:w="733" w:type="dxa"/>
            <w:vAlign w:val="center"/>
          </w:tcPr>
          <w:p w14:paraId="40E3653A">
            <w:pPr>
              <w:spacing w:line="240" w:lineRule="auto"/>
              <w:jc w:val="center"/>
              <w:rPr>
                <w:sz w:val="21"/>
                <w:szCs w:val="21"/>
              </w:rPr>
            </w:pPr>
            <w:r>
              <w:rPr>
                <w:sz w:val="21"/>
                <w:szCs w:val="21"/>
              </w:rPr>
              <w:t>0</w:t>
            </w:r>
          </w:p>
        </w:tc>
        <w:tc>
          <w:tcPr>
            <w:tcW w:w="1017" w:type="dxa"/>
            <w:vAlign w:val="center"/>
          </w:tcPr>
          <w:p w14:paraId="5DE91284">
            <w:pPr>
              <w:spacing w:line="240" w:lineRule="auto"/>
              <w:jc w:val="center"/>
              <w:rPr>
                <w:sz w:val="21"/>
                <w:szCs w:val="21"/>
              </w:rPr>
            </w:pPr>
            <w:r>
              <w:rPr>
                <w:sz w:val="21"/>
                <w:szCs w:val="21"/>
              </w:rPr>
              <w:t>无</w:t>
            </w:r>
          </w:p>
          <w:p w14:paraId="0B620336">
            <w:pPr>
              <w:spacing w:line="240" w:lineRule="auto"/>
              <w:jc w:val="center"/>
              <w:rPr>
                <w:sz w:val="21"/>
                <w:szCs w:val="21"/>
              </w:rPr>
            </w:pPr>
            <w:r>
              <w:rPr>
                <w:sz w:val="21"/>
                <w:szCs w:val="21"/>
              </w:rPr>
              <w:t>&lt;1</w:t>
            </w:r>
          </w:p>
          <w:p w14:paraId="0C937EC5">
            <w:pPr>
              <w:spacing w:line="240" w:lineRule="auto"/>
              <w:jc w:val="center"/>
              <w:rPr>
                <w:sz w:val="21"/>
                <w:szCs w:val="21"/>
              </w:rPr>
            </w:pPr>
            <w:r>
              <w:rPr>
                <w:sz w:val="21"/>
                <w:szCs w:val="21"/>
              </w:rPr>
              <w:t>1~2</w:t>
            </w:r>
          </w:p>
          <w:p w14:paraId="3F1A31D5">
            <w:pPr>
              <w:spacing w:line="240" w:lineRule="auto"/>
              <w:jc w:val="center"/>
              <w:rPr>
                <w:sz w:val="21"/>
                <w:szCs w:val="21"/>
              </w:rPr>
            </w:pPr>
            <w:r>
              <w:rPr>
                <w:sz w:val="21"/>
                <w:szCs w:val="21"/>
              </w:rPr>
              <w:t>3~5</w:t>
            </w:r>
          </w:p>
          <w:p w14:paraId="02439383">
            <w:pPr>
              <w:spacing w:line="240" w:lineRule="auto"/>
              <w:jc w:val="center"/>
              <w:rPr>
                <w:sz w:val="21"/>
                <w:szCs w:val="21"/>
              </w:rPr>
            </w:pPr>
            <w:r>
              <w:rPr>
                <w:sz w:val="21"/>
                <w:szCs w:val="21"/>
              </w:rPr>
              <w:t>6~8</w:t>
            </w:r>
          </w:p>
          <w:p w14:paraId="404A580E">
            <w:pPr>
              <w:spacing w:line="240" w:lineRule="auto"/>
              <w:jc w:val="center"/>
              <w:rPr>
                <w:sz w:val="21"/>
                <w:szCs w:val="21"/>
              </w:rPr>
            </w:pPr>
            <w:r>
              <w:rPr>
                <w:sz w:val="21"/>
                <w:szCs w:val="21"/>
              </w:rPr>
              <w:t>9~10</w:t>
            </w:r>
          </w:p>
          <w:p w14:paraId="012F1A61">
            <w:pPr>
              <w:spacing w:line="240" w:lineRule="auto"/>
              <w:jc w:val="center"/>
              <w:rPr>
                <w:sz w:val="21"/>
                <w:szCs w:val="21"/>
              </w:rPr>
            </w:pPr>
            <w:r>
              <w:rPr>
                <w:sz w:val="21"/>
                <w:szCs w:val="21"/>
              </w:rPr>
              <w:t>&gt;10</w:t>
            </w:r>
          </w:p>
        </w:tc>
        <w:tc>
          <w:tcPr>
            <w:tcW w:w="1133" w:type="dxa"/>
            <w:vAlign w:val="center"/>
          </w:tcPr>
          <w:p w14:paraId="05769C82">
            <w:pPr>
              <w:spacing w:line="240" w:lineRule="auto"/>
              <w:jc w:val="center"/>
              <w:rPr>
                <w:sz w:val="21"/>
                <w:szCs w:val="21"/>
              </w:rPr>
            </w:pPr>
            <w:r>
              <w:rPr>
                <w:sz w:val="21"/>
                <w:szCs w:val="21"/>
              </w:rPr>
              <w:t>0</w:t>
            </w:r>
          </w:p>
          <w:p w14:paraId="07DB119C">
            <w:pPr>
              <w:spacing w:line="240" w:lineRule="auto"/>
              <w:jc w:val="center"/>
              <w:rPr>
                <w:sz w:val="21"/>
                <w:szCs w:val="21"/>
              </w:rPr>
            </w:pPr>
            <w:r>
              <w:rPr>
                <w:sz w:val="21"/>
                <w:szCs w:val="21"/>
              </w:rPr>
              <w:t>1</w:t>
            </w:r>
          </w:p>
          <w:p w14:paraId="3E651D65">
            <w:pPr>
              <w:spacing w:line="240" w:lineRule="auto"/>
              <w:jc w:val="center"/>
              <w:rPr>
                <w:sz w:val="21"/>
                <w:szCs w:val="21"/>
              </w:rPr>
            </w:pPr>
            <w:r>
              <w:rPr>
                <w:sz w:val="21"/>
                <w:szCs w:val="21"/>
              </w:rPr>
              <w:t>3</w:t>
            </w:r>
          </w:p>
          <w:p w14:paraId="2CE77158">
            <w:pPr>
              <w:spacing w:line="240" w:lineRule="auto"/>
              <w:jc w:val="center"/>
              <w:rPr>
                <w:sz w:val="21"/>
                <w:szCs w:val="21"/>
              </w:rPr>
            </w:pPr>
            <w:r>
              <w:rPr>
                <w:sz w:val="21"/>
                <w:szCs w:val="21"/>
              </w:rPr>
              <w:t>4</w:t>
            </w:r>
          </w:p>
          <w:p w14:paraId="1579B2BE">
            <w:pPr>
              <w:spacing w:line="240" w:lineRule="auto"/>
              <w:jc w:val="center"/>
              <w:rPr>
                <w:sz w:val="21"/>
                <w:szCs w:val="21"/>
              </w:rPr>
            </w:pPr>
            <w:r>
              <w:rPr>
                <w:sz w:val="21"/>
                <w:szCs w:val="21"/>
              </w:rPr>
              <w:t>6</w:t>
            </w:r>
          </w:p>
          <w:p w14:paraId="4E709755">
            <w:pPr>
              <w:spacing w:line="240" w:lineRule="auto"/>
              <w:jc w:val="center"/>
              <w:rPr>
                <w:sz w:val="21"/>
                <w:szCs w:val="21"/>
              </w:rPr>
            </w:pPr>
            <w:r>
              <w:rPr>
                <w:sz w:val="21"/>
                <w:szCs w:val="21"/>
              </w:rPr>
              <w:t>8</w:t>
            </w:r>
          </w:p>
          <w:p w14:paraId="2320DD29">
            <w:pPr>
              <w:spacing w:line="240" w:lineRule="auto"/>
              <w:jc w:val="center"/>
              <w:rPr>
                <w:sz w:val="21"/>
                <w:szCs w:val="21"/>
              </w:rPr>
            </w:pPr>
            <w:r>
              <w:rPr>
                <w:sz w:val="21"/>
                <w:szCs w:val="21"/>
              </w:rPr>
              <w:t>10</w:t>
            </w:r>
          </w:p>
        </w:tc>
        <w:tc>
          <w:tcPr>
            <w:tcW w:w="1750" w:type="dxa"/>
            <w:vAlign w:val="center"/>
          </w:tcPr>
          <w:p w14:paraId="60A6DF7F">
            <w:pPr>
              <w:spacing w:line="240" w:lineRule="auto"/>
              <w:jc w:val="center"/>
              <w:rPr>
                <w:sz w:val="21"/>
                <w:szCs w:val="21"/>
              </w:rPr>
            </w:pPr>
            <w:r>
              <w:rPr>
                <w:sz w:val="21"/>
                <w:szCs w:val="21"/>
              </w:rPr>
              <w:t>无污水处理设施</w:t>
            </w:r>
          </w:p>
        </w:tc>
        <w:tc>
          <w:tcPr>
            <w:tcW w:w="857" w:type="dxa"/>
            <w:vAlign w:val="center"/>
          </w:tcPr>
          <w:p w14:paraId="7A2D11E3">
            <w:pPr>
              <w:spacing w:line="240" w:lineRule="auto"/>
              <w:jc w:val="center"/>
              <w:rPr>
                <w:sz w:val="21"/>
                <w:szCs w:val="21"/>
              </w:rPr>
            </w:pPr>
            <w:r>
              <w:rPr>
                <w:sz w:val="21"/>
                <w:szCs w:val="21"/>
              </w:rPr>
              <w:t>0</w:t>
            </w:r>
          </w:p>
        </w:tc>
      </w:tr>
      <w:tr w14:paraId="20F7C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587" w:type="dxa"/>
            <w:vAlign w:val="center"/>
          </w:tcPr>
          <w:p w14:paraId="41BDA2A2">
            <w:pPr>
              <w:spacing w:line="240" w:lineRule="auto"/>
              <w:jc w:val="center"/>
              <w:rPr>
                <w:sz w:val="21"/>
                <w:szCs w:val="21"/>
              </w:rPr>
            </w:pPr>
            <w:r>
              <w:rPr>
                <w:sz w:val="21"/>
                <w:szCs w:val="21"/>
              </w:rPr>
              <w:t>小计</w:t>
            </w:r>
          </w:p>
        </w:tc>
        <w:tc>
          <w:tcPr>
            <w:tcW w:w="1078" w:type="dxa"/>
            <w:vAlign w:val="center"/>
          </w:tcPr>
          <w:p w14:paraId="2023A70E">
            <w:pPr>
              <w:spacing w:line="240" w:lineRule="auto"/>
              <w:jc w:val="center"/>
              <w:rPr>
                <w:sz w:val="21"/>
                <w:szCs w:val="21"/>
              </w:rPr>
            </w:pPr>
          </w:p>
        </w:tc>
        <w:tc>
          <w:tcPr>
            <w:tcW w:w="858" w:type="dxa"/>
            <w:vAlign w:val="center"/>
          </w:tcPr>
          <w:p w14:paraId="5407D500">
            <w:pPr>
              <w:spacing w:line="240" w:lineRule="auto"/>
              <w:jc w:val="center"/>
              <w:rPr>
                <w:sz w:val="21"/>
                <w:szCs w:val="21"/>
              </w:rPr>
            </w:pPr>
            <w:r>
              <w:rPr>
                <w:sz w:val="21"/>
                <w:szCs w:val="21"/>
              </w:rPr>
              <w:t>0</w:t>
            </w:r>
          </w:p>
        </w:tc>
        <w:tc>
          <w:tcPr>
            <w:tcW w:w="1708" w:type="dxa"/>
            <w:vAlign w:val="center"/>
          </w:tcPr>
          <w:p w14:paraId="03F94662">
            <w:pPr>
              <w:spacing w:line="240" w:lineRule="auto"/>
              <w:jc w:val="center"/>
              <w:rPr>
                <w:sz w:val="21"/>
                <w:szCs w:val="21"/>
              </w:rPr>
            </w:pPr>
          </w:p>
        </w:tc>
        <w:tc>
          <w:tcPr>
            <w:tcW w:w="733" w:type="dxa"/>
            <w:vAlign w:val="center"/>
          </w:tcPr>
          <w:p w14:paraId="3540DF4C">
            <w:pPr>
              <w:spacing w:line="240" w:lineRule="auto"/>
              <w:jc w:val="center"/>
              <w:rPr>
                <w:sz w:val="21"/>
                <w:szCs w:val="21"/>
              </w:rPr>
            </w:pPr>
            <w:r>
              <w:rPr>
                <w:sz w:val="21"/>
                <w:szCs w:val="21"/>
              </w:rPr>
              <w:t>0</w:t>
            </w:r>
          </w:p>
        </w:tc>
        <w:tc>
          <w:tcPr>
            <w:tcW w:w="1017" w:type="dxa"/>
            <w:vAlign w:val="center"/>
          </w:tcPr>
          <w:p w14:paraId="40D52E7B">
            <w:pPr>
              <w:spacing w:line="240" w:lineRule="auto"/>
              <w:jc w:val="center"/>
              <w:rPr>
                <w:sz w:val="21"/>
                <w:szCs w:val="21"/>
              </w:rPr>
            </w:pPr>
          </w:p>
        </w:tc>
        <w:tc>
          <w:tcPr>
            <w:tcW w:w="1133" w:type="dxa"/>
            <w:vAlign w:val="center"/>
          </w:tcPr>
          <w:p w14:paraId="3ADE6184">
            <w:pPr>
              <w:spacing w:line="240" w:lineRule="auto"/>
              <w:jc w:val="center"/>
              <w:rPr>
                <w:sz w:val="21"/>
                <w:szCs w:val="21"/>
              </w:rPr>
            </w:pPr>
          </w:p>
        </w:tc>
        <w:tc>
          <w:tcPr>
            <w:tcW w:w="1750" w:type="dxa"/>
            <w:vAlign w:val="center"/>
          </w:tcPr>
          <w:p w14:paraId="3644EA33">
            <w:pPr>
              <w:spacing w:line="240" w:lineRule="auto"/>
              <w:jc w:val="center"/>
              <w:rPr>
                <w:sz w:val="21"/>
                <w:szCs w:val="21"/>
              </w:rPr>
            </w:pPr>
          </w:p>
        </w:tc>
        <w:tc>
          <w:tcPr>
            <w:tcW w:w="857" w:type="dxa"/>
            <w:vAlign w:val="center"/>
          </w:tcPr>
          <w:p w14:paraId="0E250EDC">
            <w:pPr>
              <w:spacing w:line="240" w:lineRule="auto"/>
              <w:jc w:val="center"/>
              <w:rPr>
                <w:sz w:val="21"/>
                <w:szCs w:val="21"/>
              </w:rPr>
            </w:pPr>
            <w:r>
              <w:rPr>
                <w:rFonts w:hint="eastAsia"/>
                <w:sz w:val="21"/>
                <w:szCs w:val="21"/>
              </w:rPr>
              <w:t>0</w:t>
            </w:r>
          </w:p>
        </w:tc>
      </w:tr>
    </w:tbl>
    <w:p w14:paraId="1D4C5110">
      <w:pPr>
        <w:ind w:firstLine="31680"/>
        <w:jc w:val="center"/>
      </w:pPr>
    </w:p>
    <w:p w14:paraId="01053793">
      <w:pPr>
        <w:ind w:firstLine="31680"/>
        <w:jc w:val="center"/>
      </w:pPr>
    </w:p>
    <w:p w14:paraId="0E0CA7C6">
      <w:pPr>
        <w:ind w:firstLine="31680"/>
        <w:jc w:val="center"/>
      </w:pPr>
    </w:p>
    <w:p w14:paraId="50CB75BF">
      <w:pPr>
        <w:ind w:firstLine="31680"/>
        <w:jc w:val="center"/>
      </w:pPr>
    </w:p>
    <w:p w14:paraId="66DA4D45">
      <w:pPr>
        <w:jc w:val="center"/>
        <w:rPr>
          <w:b/>
          <w:bCs/>
          <w:sz w:val="21"/>
          <w:szCs w:val="21"/>
        </w:rPr>
      </w:pPr>
      <w:r>
        <w:rPr>
          <w:b/>
          <w:bCs/>
          <w:sz w:val="21"/>
          <w:szCs w:val="21"/>
        </w:rPr>
        <w:t>表2-1</w:t>
      </w:r>
      <w:r>
        <w:rPr>
          <w:rFonts w:hint="eastAsia"/>
          <w:b/>
          <w:bCs/>
          <w:sz w:val="21"/>
          <w:szCs w:val="21"/>
        </w:rPr>
        <w:t>6</w:t>
      </w:r>
      <w:r>
        <w:rPr>
          <w:b/>
          <w:bCs/>
          <w:sz w:val="21"/>
          <w:szCs w:val="21"/>
        </w:rPr>
        <w:t xml:space="preserve"> 流动源评价指标及评分值（Rf）</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166"/>
        <w:gridCol w:w="1277"/>
        <w:gridCol w:w="1260"/>
        <w:gridCol w:w="737"/>
        <w:gridCol w:w="3378"/>
        <w:gridCol w:w="1337"/>
        <w:gridCol w:w="1217"/>
        <w:gridCol w:w="1010"/>
      </w:tblGrid>
      <w:tr w14:paraId="12B21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06" w:type="dxa"/>
            <w:vMerge w:val="restart"/>
            <w:tcBorders>
              <w:tl2br w:val="nil"/>
              <w:tr2bl w:val="nil"/>
            </w:tcBorders>
            <w:vAlign w:val="center"/>
          </w:tcPr>
          <w:p w14:paraId="3ECF52CD">
            <w:pPr>
              <w:spacing w:line="240" w:lineRule="auto"/>
              <w:jc w:val="center"/>
              <w:rPr>
                <w:sz w:val="21"/>
                <w:szCs w:val="21"/>
              </w:rPr>
            </w:pPr>
            <w:r>
              <w:rPr>
                <w:sz w:val="21"/>
                <w:szCs w:val="21"/>
              </w:rPr>
              <w:t>风险源</w:t>
            </w:r>
          </w:p>
        </w:tc>
        <w:tc>
          <w:tcPr>
            <w:tcW w:w="4440" w:type="dxa"/>
            <w:gridSpan w:val="4"/>
            <w:tcBorders>
              <w:tl2br w:val="nil"/>
              <w:tr2bl w:val="nil"/>
            </w:tcBorders>
            <w:vAlign w:val="center"/>
          </w:tcPr>
          <w:p w14:paraId="5C91E109">
            <w:pPr>
              <w:spacing w:line="240" w:lineRule="auto"/>
              <w:jc w:val="center"/>
              <w:rPr>
                <w:sz w:val="21"/>
                <w:szCs w:val="21"/>
              </w:rPr>
            </w:pPr>
            <w:r>
              <w:rPr>
                <w:sz w:val="21"/>
                <w:szCs w:val="21"/>
              </w:rPr>
              <w:t>一级保护区</w:t>
            </w:r>
          </w:p>
        </w:tc>
        <w:tc>
          <w:tcPr>
            <w:tcW w:w="6942" w:type="dxa"/>
            <w:gridSpan w:val="4"/>
            <w:tcBorders>
              <w:tl2br w:val="nil"/>
              <w:tr2bl w:val="nil"/>
            </w:tcBorders>
            <w:vAlign w:val="center"/>
          </w:tcPr>
          <w:p w14:paraId="70C7ABE0">
            <w:pPr>
              <w:spacing w:line="240" w:lineRule="auto"/>
              <w:jc w:val="center"/>
              <w:rPr>
                <w:sz w:val="21"/>
                <w:szCs w:val="21"/>
              </w:rPr>
            </w:pPr>
            <w:r>
              <w:rPr>
                <w:sz w:val="21"/>
                <w:szCs w:val="21"/>
              </w:rPr>
              <w:t>二级保护区</w:t>
            </w:r>
          </w:p>
        </w:tc>
      </w:tr>
      <w:tr w14:paraId="64D37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906" w:type="dxa"/>
            <w:vMerge w:val="continue"/>
            <w:tcBorders>
              <w:tl2br w:val="nil"/>
              <w:tr2bl w:val="nil"/>
            </w:tcBorders>
            <w:vAlign w:val="center"/>
          </w:tcPr>
          <w:p w14:paraId="55941BB2">
            <w:pPr>
              <w:spacing w:line="240" w:lineRule="auto"/>
              <w:jc w:val="center"/>
              <w:rPr>
                <w:sz w:val="21"/>
                <w:szCs w:val="21"/>
              </w:rPr>
            </w:pPr>
          </w:p>
        </w:tc>
        <w:tc>
          <w:tcPr>
            <w:tcW w:w="1166" w:type="dxa"/>
            <w:tcBorders>
              <w:tl2br w:val="nil"/>
              <w:tr2bl w:val="nil"/>
            </w:tcBorders>
            <w:vAlign w:val="center"/>
          </w:tcPr>
          <w:p w14:paraId="2CFD4BFC">
            <w:pPr>
              <w:spacing w:line="240" w:lineRule="auto"/>
              <w:jc w:val="center"/>
              <w:rPr>
                <w:sz w:val="21"/>
                <w:szCs w:val="21"/>
              </w:rPr>
            </w:pPr>
            <w:r>
              <w:rPr>
                <w:sz w:val="21"/>
                <w:szCs w:val="21"/>
              </w:rPr>
              <w:t>指标值</w:t>
            </w:r>
          </w:p>
        </w:tc>
        <w:tc>
          <w:tcPr>
            <w:tcW w:w="1277" w:type="dxa"/>
            <w:tcBorders>
              <w:tl2br w:val="nil"/>
              <w:tr2bl w:val="nil"/>
            </w:tcBorders>
            <w:vAlign w:val="center"/>
          </w:tcPr>
          <w:p w14:paraId="4AF2898C">
            <w:pPr>
              <w:spacing w:line="240" w:lineRule="auto"/>
              <w:jc w:val="center"/>
              <w:rPr>
                <w:sz w:val="21"/>
                <w:szCs w:val="21"/>
              </w:rPr>
            </w:pPr>
            <w:r>
              <w:rPr>
                <w:sz w:val="21"/>
                <w:szCs w:val="21"/>
              </w:rPr>
              <w:t>分值（F1）</w:t>
            </w:r>
          </w:p>
        </w:tc>
        <w:tc>
          <w:tcPr>
            <w:tcW w:w="1260" w:type="dxa"/>
            <w:tcBorders>
              <w:tl2br w:val="nil"/>
              <w:tr2bl w:val="nil"/>
            </w:tcBorders>
            <w:vAlign w:val="center"/>
          </w:tcPr>
          <w:p w14:paraId="1C67D82E">
            <w:pPr>
              <w:spacing w:line="240" w:lineRule="auto"/>
              <w:jc w:val="center"/>
              <w:rPr>
                <w:sz w:val="21"/>
                <w:szCs w:val="21"/>
              </w:rPr>
            </w:pPr>
            <w:r>
              <w:rPr>
                <w:sz w:val="21"/>
                <w:szCs w:val="21"/>
              </w:rPr>
              <w:t>现状描述</w:t>
            </w:r>
          </w:p>
        </w:tc>
        <w:tc>
          <w:tcPr>
            <w:tcW w:w="737" w:type="dxa"/>
            <w:tcBorders>
              <w:tl2br w:val="nil"/>
              <w:tr2bl w:val="nil"/>
            </w:tcBorders>
            <w:vAlign w:val="center"/>
          </w:tcPr>
          <w:p w14:paraId="526F98F3">
            <w:pPr>
              <w:spacing w:line="240" w:lineRule="auto"/>
              <w:jc w:val="center"/>
              <w:rPr>
                <w:sz w:val="21"/>
                <w:szCs w:val="21"/>
              </w:rPr>
            </w:pPr>
            <w:r>
              <w:rPr>
                <w:sz w:val="21"/>
                <w:szCs w:val="21"/>
              </w:rPr>
              <w:t>评分</w:t>
            </w:r>
          </w:p>
        </w:tc>
        <w:tc>
          <w:tcPr>
            <w:tcW w:w="3378" w:type="dxa"/>
            <w:tcBorders>
              <w:tl2br w:val="nil"/>
              <w:tr2bl w:val="nil"/>
            </w:tcBorders>
            <w:vAlign w:val="center"/>
          </w:tcPr>
          <w:p w14:paraId="3321B316">
            <w:pPr>
              <w:spacing w:line="240" w:lineRule="auto"/>
              <w:jc w:val="center"/>
              <w:rPr>
                <w:sz w:val="21"/>
                <w:szCs w:val="21"/>
              </w:rPr>
            </w:pPr>
            <w:r>
              <w:rPr>
                <w:sz w:val="21"/>
                <w:szCs w:val="21"/>
              </w:rPr>
              <w:t>指标值</w:t>
            </w:r>
          </w:p>
        </w:tc>
        <w:tc>
          <w:tcPr>
            <w:tcW w:w="1337" w:type="dxa"/>
            <w:tcBorders>
              <w:tl2br w:val="nil"/>
              <w:tr2bl w:val="nil"/>
            </w:tcBorders>
            <w:vAlign w:val="center"/>
          </w:tcPr>
          <w:p w14:paraId="4C3886F0">
            <w:pPr>
              <w:spacing w:line="240" w:lineRule="auto"/>
              <w:jc w:val="center"/>
              <w:rPr>
                <w:sz w:val="21"/>
                <w:szCs w:val="21"/>
              </w:rPr>
            </w:pPr>
            <w:r>
              <w:rPr>
                <w:sz w:val="21"/>
                <w:szCs w:val="21"/>
              </w:rPr>
              <w:t>分值（F2）</w:t>
            </w:r>
          </w:p>
        </w:tc>
        <w:tc>
          <w:tcPr>
            <w:tcW w:w="1217" w:type="dxa"/>
            <w:tcBorders>
              <w:tl2br w:val="nil"/>
              <w:tr2bl w:val="nil"/>
            </w:tcBorders>
            <w:vAlign w:val="center"/>
          </w:tcPr>
          <w:p w14:paraId="3856D5E9">
            <w:pPr>
              <w:spacing w:line="240" w:lineRule="auto"/>
              <w:jc w:val="center"/>
              <w:rPr>
                <w:sz w:val="21"/>
                <w:szCs w:val="21"/>
              </w:rPr>
            </w:pPr>
            <w:r>
              <w:rPr>
                <w:sz w:val="21"/>
                <w:szCs w:val="21"/>
              </w:rPr>
              <w:t>现状描述</w:t>
            </w:r>
          </w:p>
        </w:tc>
        <w:tc>
          <w:tcPr>
            <w:tcW w:w="1010" w:type="dxa"/>
            <w:tcBorders>
              <w:tl2br w:val="nil"/>
              <w:tr2bl w:val="nil"/>
            </w:tcBorders>
            <w:vAlign w:val="center"/>
          </w:tcPr>
          <w:p w14:paraId="7008C9E2">
            <w:pPr>
              <w:spacing w:line="240" w:lineRule="auto"/>
              <w:jc w:val="center"/>
              <w:rPr>
                <w:sz w:val="21"/>
                <w:szCs w:val="21"/>
              </w:rPr>
            </w:pPr>
            <w:r>
              <w:rPr>
                <w:sz w:val="21"/>
                <w:szCs w:val="21"/>
              </w:rPr>
              <w:t>评分</w:t>
            </w:r>
          </w:p>
        </w:tc>
      </w:tr>
      <w:tr w14:paraId="473FB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4" w:hRule="atLeast"/>
          <w:jc w:val="center"/>
        </w:trPr>
        <w:tc>
          <w:tcPr>
            <w:tcW w:w="906" w:type="dxa"/>
            <w:tcBorders>
              <w:tl2br w:val="nil"/>
              <w:tr2bl w:val="nil"/>
            </w:tcBorders>
            <w:vAlign w:val="center"/>
          </w:tcPr>
          <w:p w14:paraId="32ACE172">
            <w:pPr>
              <w:spacing w:line="240" w:lineRule="auto"/>
              <w:jc w:val="center"/>
              <w:rPr>
                <w:sz w:val="21"/>
                <w:szCs w:val="21"/>
              </w:rPr>
            </w:pPr>
            <w:r>
              <w:rPr>
                <w:sz w:val="21"/>
                <w:szCs w:val="21"/>
              </w:rPr>
              <w:t>陆运</w:t>
            </w:r>
          </w:p>
        </w:tc>
        <w:tc>
          <w:tcPr>
            <w:tcW w:w="1166" w:type="dxa"/>
            <w:tcBorders>
              <w:tl2br w:val="nil"/>
              <w:tr2bl w:val="nil"/>
            </w:tcBorders>
            <w:vAlign w:val="center"/>
          </w:tcPr>
          <w:p w14:paraId="353DB051">
            <w:pPr>
              <w:spacing w:line="240" w:lineRule="auto"/>
              <w:jc w:val="center"/>
              <w:rPr>
                <w:sz w:val="21"/>
                <w:szCs w:val="21"/>
              </w:rPr>
            </w:pPr>
            <w:r>
              <w:rPr>
                <w:sz w:val="21"/>
                <w:szCs w:val="21"/>
              </w:rPr>
              <w:t>无危险品运输</w:t>
            </w:r>
          </w:p>
          <w:p w14:paraId="7F29DF1F">
            <w:pPr>
              <w:spacing w:line="240" w:lineRule="auto"/>
              <w:jc w:val="center"/>
              <w:rPr>
                <w:sz w:val="21"/>
                <w:szCs w:val="21"/>
              </w:rPr>
            </w:pPr>
            <w:r>
              <w:rPr>
                <w:sz w:val="21"/>
                <w:szCs w:val="21"/>
              </w:rPr>
              <w:t>或L&gt;2r</w:t>
            </w:r>
            <w:r>
              <w:rPr>
                <w:sz w:val="21"/>
                <w:szCs w:val="21"/>
                <w:vertAlign w:val="subscript"/>
              </w:rPr>
              <w:t>d</w:t>
            </w:r>
          </w:p>
          <w:p w14:paraId="184E7C49">
            <w:pPr>
              <w:spacing w:line="240" w:lineRule="auto"/>
              <w:jc w:val="center"/>
              <w:rPr>
                <w:sz w:val="21"/>
                <w:szCs w:val="21"/>
              </w:rPr>
            </w:pPr>
            <w:r>
              <w:rPr>
                <w:sz w:val="21"/>
                <w:szCs w:val="21"/>
              </w:rPr>
              <w:t>L&lt;2r</w:t>
            </w:r>
            <w:r>
              <w:rPr>
                <w:sz w:val="21"/>
                <w:szCs w:val="21"/>
                <w:vertAlign w:val="subscript"/>
              </w:rPr>
              <w:t>d</w:t>
            </w:r>
          </w:p>
        </w:tc>
        <w:tc>
          <w:tcPr>
            <w:tcW w:w="1277" w:type="dxa"/>
            <w:tcBorders>
              <w:tl2br w:val="nil"/>
              <w:tr2bl w:val="nil"/>
            </w:tcBorders>
            <w:vAlign w:val="center"/>
          </w:tcPr>
          <w:p w14:paraId="257610C2">
            <w:pPr>
              <w:spacing w:line="240" w:lineRule="auto"/>
              <w:jc w:val="center"/>
              <w:rPr>
                <w:sz w:val="21"/>
                <w:szCs w:val="21"/>
              </w:rPr>
            </w:pPr>
            <w:r>
              <w:rPr>
                <w:sz w:val="21"/>
                <w:szCs w:val="21"/>
              </w:rPr>
              <w:t>0</w:t>
            </w:r>
          </w:p>
          <w:p w14:paraId="40487FE1">
            <w:pPr>
              <w:spacing w:line="240" w:lineRule="auto"/>
              <w:jc w:val="center"/>
              <w:rPr>
                <w:sz w:val="21"/>
                <w:szCs w:val="21"/>
              </w:rPr>
            </w:pPr>
          </w:p>
          <w:p w14:paraId="297F1C3F">
            <w:pPr>
              <w:spacing w:line="240" w:lineRule="auto"/>
              <w:jc w:val="center"/>
              <w:rPr>
                <w:sz w:val="21"/>
                <w:szCs w:val="21"/>
              </w:rPr>
            </w:pPr>
            <w:r>
              <w:rPr>
                <w:sz w:val="21"/>
                <w:szCs w:val="21"/>
              </w:rPr>
              <w:t>10</w:t>
            </w:r>
          </w:p>
          <w:p w14:paraId="2DBCB2E4">
            <w:pPr>
              <w:spacing w:line="240" w:lineRule="auto"/>
              <w:jc w:val="center"/>
              <w:rPr>
                <w:sz w:val="21"/>
                <w:szCs w:val="21"/>
              </w:rPr>
            </w:pPr>
            <w:r>
              <w:rPr>
                <w:sz w:val="21"/>
                <w:szCs w:val="21"/>
              </w:rPr>
              <w:t>9</w:t>
            </w:r>
          </w:p>
        </w:tc>
        <w:tc>
          <w:tcPr>
            <w:tcW w:w="1260" w:type="dxa"/>
            <w:tcBorders>
              <w:tl2br w:val="nil"/>
              <w:tr2bl w:val="nil"/>
            </w:tcBorders>
            <w:vAlign w:val="center"/>
          </w:tcPr>
          <w:p w14:paraId="5A2AC917">
            <w:pPr>
              <w:spacing w:line="240" w:lineRule="auto"/>
              <w:jc w:val="center"/>
              <w:rPr>
                <w:sz w:val="21"/>
                <w:szCs w:val="21"/>
              </w:rPr>
            </w:pPr>
            <w:r>
              <w:rPr>
                <w:sz w:val="21"/>
                <w:szCs w:val="21"/>
              </w:rPr>
              <w:t>保护区内</w:t>
            </w:r>
            <w:r>
              <w:rPr>
                <w:rFonts w:hint="eastAsia"/>
                <w:sz w:val="21"/>
                <w:szCs w:val="21"/>
              </w:rPr>
              <w:t>无航道及陆路</w:t>
            </w:r>
          </w:p>
        </w:tc>
        <w:tc>
          <w:tcPr>
            <w:tcW w:w="737" w:type="dxa"/>
            <w:tcBorders>
              <w:tl2br w:val="nil"/>
              <w:tr2bl w:val="nil"/>
            </w:tcBorders>
            <w:vAlign w:val="center"/>
          </w:tcPr>
          <w:p w14:paraId="11240CB4">
            <w:pPr>
              <w:spacing w:line="240" w:lineRule="auto"/>
              <w:jc w:val="center"/>
              <w:rPr>
                <w:sz w:val="21"/>
                <w:szCs w:val="21"/>
              </w:rPr>
            </w:pPr>
            <w:r>
              <w:rPr>
                <w:rFonts w:hint="eastAsia"/>
                <w:sz w:val="21"/>
                <w:szCs w:val="21"/>
              </w:rPr>
              <w:t>0</w:t>
            </w:r>
          </w:p>
        </w:tc>
        <w:tc>
          <w:tcPr>
            <w:tcW w:w="3378" w:type="dxa"/>
            <w:tcBorders>
              <w:tl2br w:val="nil"/>
              <w:tr2bl w:val="nil"/>
            </w:tcBorders>
          </w:tcPr>
          <w:p w14:paraId="224745A3">
            <w:pPr>
              <w:spacing w:line="240" w:lineRule="auto"/>
              <w:jc w:val="center"/>
              <w:rPr>
                <w:sz w:val="21"/>
                <w:szCs w:val="21"/>
              </w:rPr>
            </w:pPr>
          </w:p>
          <w:p w14:paraId="09F3FC9A">
            <w:pPr>
              <w:spacing w:line="240" w:lineRule="auto"/>
              <w:jc w:val="center"/>
              <w:rPr>
                <w:sz w:val="21"/>
                <w:szCs w:val="21"/>
              </w:rPr>
            </w:pPr>
            <w:r>
              <w:rPr>
                <w:sz w:val="21"/>
                <w:szCs w:val="21"/>
              </w:rPr>
              <w:t>无</w:t>
            </w:r>
          </w:p>
          <w:p w14:paraId="361D35A2">
            <w:pPr>
              <w:spacing w:line="240" w:lineRule="auto"/>
              <w:jc w:val="center"/>
              <w:rPr>
                <w:sz w:val="21"/>
                <w:szCs w:val="21"/>
              </w:rPr>
            </w:pPr>
            <w:r>
              <w:rPr>
                <w:sz w:val="21"/>
                <w:szCs w:val="21"/>
              </w:rPr>
              <w:t>有路仅可行走</w:t>
            </w:r>
          </w:p>
          <w:p w14:paraId="059F4710">
            <w:pPr>
              <w:spacing w:line="240" w:lineRule="auto"/>
              <w:jc w:val="center"/>
              <w:rPr>
                <w:sz w:val="21"/>
                <w:szCs w:val="21"/>
              </w:rPr>
            </w:pPr>
            <w:r>
              <w:rPr>
                <w:sz w:val="21"/>
                <w:szCs w:val="21"/>
              </w:rPr>
              <w:t>有路但不能通行</w:t>
            </w:r>
          </w:p>
          <w:p w14:paraId="24ED1D89">
            <w:pPr>
              <w:spacing w:line="240" w:lineRule="auto"/>
              <w:jc w:val="center"/>
              <w:rPr>
                <w:sz w:val="21"/>
                <w:szCs w:val="21"/>
              </w:rPr>
            </w:pPr>
            <w:r>
              <w:rPr>
                <w:sz w:val="21"/>
                <w:szCs w:val="21"/>
              </w:rPr>
              <w:t>机动车</w:t>
            </w:r>
          </w:p>
          <w:p w14:paraId="3B4606DD">
            <w:pPr>
              <w:spacing w:line="240" w:lineRule="auto"/>
              <w:jc w:val="center"/>
              <w:rPr>
                <w:sz w:val="21"/>
                <w:szCs w:val="21"/>
              </w:rPr>
            </w:pPr>
            <w:r>
              <w:rPr>
                <w:sz w:val="21"/>
                <w:szCs w:val="21"/>
              </w:rPr>
              <w:t>有机动车通行</w:t>
            </w:r>
          </w:p>
          <w:p w14:paraId="6FA35736">
            <w:pPr>
              <w:spacing w:line="240" w:lineRule="auto"/>
              <w:jc w:val="center"/>
              <w:rPr>
                <w:sz w:val="21"/>
                <w:szCs w:val="21"/>
              </w:rPr>
            </w:pPr>
            <w:r>
              <w:rPr>
                <w:sz w:val="21"/>
                <w:szCs w:val="21"/>
              </w:rPr>
              <w:t>有运输线路且长度较短L&lt;r</w:t>
            </w:r>
            <w:r>
              <w:rPr>
                <w:sz w:val="21"/>
                <w:szCs w:val="21"/>
                <w:vertAlign w:val="subscript"/>
              </w:rPr>
              <w:t>d</w:t>
            </w:r>
          </w:p>
          <w:p w14:paraId="7CC5FD92">
            <w:pPr>
              <w:spacing w:line="240" w:lineRule="auto"/>
              <w:jc w:val="center"/>
              <w:rPr>
                <w:sz w:val="21"/>
                <w:szCs w:val="21"/>
              </w:rPr>
            </w:pPr>
            <w:r>
              <w:rPr>
                <w:sz w:val="21"/>
                <w:szCs w:val="21"/>
              </w:rPr>
              <w:t>r</w:t>
            </w:r>
            <w:r>
              <w:rPr>
                <w:sz w:val="21"/>
                <w:szCs w:val="21"/>
                <w:vertAlign w:val="subscript"/>
              </w:rPr>
              <w:t>d</w:t>
            </w:r>
            <w:r>
              <w:rPr>
                <w:sz w:val="21"/>
                <w:szCs w:val="21"/>
              </w:rPr>
              <w:t>&lt;L&lt;2 r</w:t>
            </w:r>
            <w:r>
              <w:rPr>
                <w:sz w:val="21"/>
                <w:szCs w:val="21"/>
                <w:vertAlign w:val="subscript"/>
              </w:rPr>
              <w:t>d</w:t>
            </w:r>
            <w:r>
              <w:rPr>
                <w:sz w:val="21"/>
                <w:szCs w:val="21"/>
              </w:rPr>
              <w:t>；</w:t>
            </w:r>
          </w:p>
          <w:p w14:paraId="78769887">
            <w:pPr>
              <w:spacing w:line="240" w:lineRule="auto"/>
              <w:jc w:val="center"/>
              <w:rPr>
                <w:sz w:val="21"/>
                <w:szCs w:val="21"/>
              </w:rPr>
            </w:pPr>
            <w:r>
              <w:rPr>
                <w:sz w:val="21"/>
                <w:szCs w:val="21"/>
              </w:rPr>
              <w:t>或有小型桥梁L&gt;2 r</w:t>
            </w:r>
            <w:r>
              <w:rPr>
                <w:sz w:val="21"/>
                <w:szCs w:val="21"/>
                <w:vertAlign w:val="subscript"/>
              </w:rPr>
              <w:t>d</w:t>
            </w:r>
          </w:p>
          <w:p w14:paraId="4742C0DF">
            <w:pPr>
              <w:spacing w:line="240" w:lineRule="auto"/>
              <w:jc w:val="center"/>
              <w:rPr>
                <w:sz w:val="21"/>
                <w:szCs w:val="21"/>
              </w:rPr>
            </w:pPr>
            <w:r>
              <w:rPr>
                <w:sz w:val="21"/>
                <w:szCs w:val="21"/>
              </w:rPr>
              <w:t>有危险品运输；</w:t>
            </w:r>
          </w:p>
          <w:p w14:paraId="28D7B37B">
            <w:pPr>
              <w:spacing w:line="240" w:lineRule="auto"/>
              <w:jc w:val="center"/>
              <w:rPr>
                <w:sz w:val="21"/>
                <w:szCs w:val="21"/>
              </w:rPr>
            </w:pPr>
            <w:r>
              <w:rPr>
                <w:sz w:val="21"/>
                <w:szCs w:val="21"/>
              </w:rPr>
              <w:t>或有单车道跨线桥</w:t>
            </w:r>
          </w:p>
          <w:p w14:paraId="767EC699">
            <w:pPr>
              <w:spacing w:line="240" w:lineRule="auto"/>
              <w:jc w:val="center"/>
              <w:rPr>
                <w:sz w:val="21"/>
                <w:szCs w:val="21"/>
              </w:rPr>
            </w:pPr>
            <w:r>
              <w:rPr>
                <w:sz w:val="21"/>
                <w:szCs w:val="21"/>
              </w:rPr>
              <w:t>有危险品运输且</w:t>
            </w:r>
          </w:p>
          <w:p w14:paraId="77786EB2">
            <w:pPr>
              <w:spacing w:line="240" w:lineRule="auto"/>
              <w:jc w:val="center"/>
              <w:rPr>
                <w:sz w:val="21"/>
                <w:szCs w:val="21"/>
              </w:rPr>
            </w:pPr>
            <w:r>
              <w:rPr>
                <w:sz w:val="21"/>
                <w:szCs w:val="21"/>
              </w:rPr>
              <w:t>r</w:t>
            </w:r>
            <w:r>
              <w:rPr>
                <w:sz w:val="21"/>
                <w:szCs w:val="21"/>
                <w:vertAlign w:val="subscript"/>
              </w:rPr>
              <w:t>d</w:t>
            </w:r>
            <w:r>
              <w:rPr>
                <w:sz w:val="21"/>
                <w:szCs w:val="21"/>
              </w:rPr>
              <w:t>&lt;L&lt;2 r</w:t>
            </w:r>
            <w:r>
              <w:rPr>
                <w:sz w:val="21"/>
                <w:szCs w:val="21"/>
                <w:vertAlign w:val="subscript"/>
              </w:rPr>
              <w:t>d</w:t>
            </w:r>
          </w:p>
          <w:p w14:paraId="2D0F032E">
            <w:pPr>
              <w:spacing w:line="240" w:lineRule="auto"/>
              <w:jc w:val="center"/>
              <w:rPr>
                <w:sz w:val="21"/>
                <w:szCs w:val="21"/>
              </w:rPr>
            </w:pPr>
            <w:r>
              <w:rPr>
                <w:sz w:val="21"/>
                <w:szCs w:val="21"/>
              </w:rPr>
              <w:t>有危险品运输且L&gt;2r</w:t>
            </w:r>
            <w:r>
              <w:rPr>
                <w:sz w:val="21"/>
                <w:szCs w:val="21"/>
                <w:vertAlign w:val="subscript"/>
              </w:rPr>
              <w:t>d</w:t>
            </w:r>
          </w:p>
        </w:tc>
        <w:tc>
          <w:tcPr>
            <w:tcW w:w="1337" w:type="dxa"/>
            <w:tcBorders>
              <w:tl2br w:val="nil"/>
              <w:tr2bl w:val="nil"/>
            </w:tcBorders>
          </w:tcPr>
          <w:p w14:paraId="223F348F">
            <w:pPr>
              <w:spacing w:line="240" w:lineRule="auto"/>
              <w:jc w:val="center"/>
              <w:rPr>
                <w:sz w:val="21"/>
                <w:szCs w:val="21"/>
              </w:rPr>
            </w:pPr>
          </w:p>
          <w:p w14:paraId="3F244A01">
            <w:pPr>
              <w:spacing w:line="240" w:lineRule="auto"/>
              <w:jc w:val="center"/>
              <w:rPr>
                <w:sz w:val="21"/>
                <w:szCs w:val="21"/>
              </w:rPr>
            </w:pPr>
            <w:r>
              <w:rPr>
                <w:sz w:val="21"/>
                <w:szCs w:val="21"/>
              </w:rPr>
              <w:t>0</w:t>
            </w:r>
          </w:p>
          <w:p w14:paraId="7C1F3FCC">
            <w:pPr>
              <w:spacing w:line="240" w:lineRule="auto"/>
              <w:jc w:val="center"/>
              <w:rPr>
                <w:sz w:val="21"/>
                <w:szCs w:val="21"/>
              </w:rPr>
            </w:pPr>
            <w:r>
              <w:rPr>
                <w:sz w:val="21"/>
                <w:szCs w:val="21"/>
              </w:rPr>
              <w:t>1</w:t>
            </w:r>
          </w:p>
          <w:p w14:paraId="4C1253C4">
            <w:pPr>
              <w:spacing w:line="240" w:lineRule="auto"/>
              <w:jc w:val="center"/>
              <w:rPr>
                <w:sz w:val="21"/>
                <w:szCs w:val="21"/>
              </w:rPr>
            </w:pPr>
          </w:p>
          <w:p w14:paraId="4938D909">
            <w:pPr>
              <w:spacing w:line="240" w:lineRule="auto"/>
              <w:jc w:val="center"/>
              <w:rPr>
                <w:sz w:val="21"/>
                <w:szCs w:val="21"/>
              </w:rPr>
            </w:pPr>
            <w:r>
              <w:rPr>
                <w:sz w:val="21"/>
                <w:szCs w:val="21"/>
              </w:rPr>
              <w:t>2</w:t>
            </w:r>
          </w:p>
          <w:p w14:paraId="17608743">
            <w:pPr>
              <w:spacing w:line="240" w:lineRule="auto"/>
              <w:jc w:val="center"/>
              <w:rPr>
                <w:sz w:val="21"/>
                <w:szCs w:val="21"/>
              </w:rPr>
            </w:pPr>
          </w:p>
          <w:p w14:paraId="20092164">
            <w:pPr>
              <w:spacing w:line="240" w:lineRule="auto"/>
              <w:jc w:val="center"/>
              <w:rPr>
                <w:sz w:val="21"/>
                <w:szCs w:val="21"/>
              </w:rPr>
            </w:pPr>
            <w:r>
              <w:rPr>
                <w:sz w:val="21"/>
                <w:szCs w:val="21"/>
              </w:rPr>
              <w:t>3</w:t>
            </w:r>
          </w:p>
          <w:p w14:paraId="436C89CF">
            <w:pPr>
              <w:spacing w:line="240" w:lineRule="auto"/>
              <w:jc w:val="center"/>
              <w:rPr>
                <w:sz w:val="21"/>
                <w:szCs w:val="21"/>
              </w:rPr>
            </w:pPr>
            <w:r>
              <w:rPr>
                <w:sz w:val="21"/>
                <w:szCs w:val="21"/>
              </w:rPr>
              <w:t>4</w:t>
            </w:r>
          </w:p>
          <w:p w14:paraId="3786AB90">
            <w:pPr>
              <w:spacing w:line="240" w:lineRule="auto"/>
              <w:jc w:val="center"/>
              <w:rPr>
                <w:sz w:val="21"/>
                <w:szCs w:val="21"/>
              </w:rPr>
            </w:pPr>
            <w:r>
              <w:rPr>
                <w:sz w:val="21"/>
                <w:szCs w:val="21"/>
              </w:rPr>
              <w:t>5</w:t>
            </w:r>
          </w:p>
          <w:p w14:paraId="75084E8A">
            <w:pPr>
              <w:spacing w:line="240" w:lineRule="auto"/>
              <w:jc w:val="center"/>
              <w:rPr>
                <w:sz w:val="21"/>
                <w:szCs w:val="21"/>
              </w:rPr>
            </w:pPr>
            <w:r>
              <w:rPr>
                <w:sz w:val="21"/>
                <w:szCs w:val="21"/>
              </w:rPr>
              <w:t>6</w:t>
            </w:r>
          </w:p>
          <w:p w14:paraId="71EE2E94">
            <w:pPr>
              <w:spacing w:line="240" w:lineRule="auto"/>
              <w:jc w:val="center"/>
              <w:rPr>
                <w:sz w:val="21"/>
                <w:szCs w:val="21"/>
              </w:rPr>
            </w:pPr>
            <w:r>
              <w:rPr>
                <w:sz w:val="21"/>
                <w:szCs w:val="21"/>
              </w:rPr>
              <w:t>7</w:t>
            </w:r>
          </w:p>
          <w:p w14:paraId="20EAD74A">
            <w:pPr>
              <w:spacing w:line="240" w:lineRule="auto"/>
              <w:jc w:val="center"/>
              <w:rPr>
                <w:sz w:val="21"/>
                <w:szCs w:val="21"/>
              </w:rPr>
            </w:pPr>
            <w:r>
              <w:rPr>
                <w:sz w:val="21"/>
                <w:szCs w:val="21"/>
              </w:rPr>
              <w:t>8</w:t>
            </w:r>
          </w:p>
          <w:p w14:paraId="4474FED0">
            <w:pPr>
              <w:spacing w:line="240" w:lineRule="auto"/>
              <w:jc w:val="center"/>
              <w:rPr>
                <w:sz w:val="21"/>
                <w:szCs w:val="21"/>
              </w:rPr>
            </w:pPr>
          </w:p>
          <w:p w14:paraId="27CCE152">
            <w:pPr>
              <w:spacing w:line="240" w:lineRule="auto"/>
              <w:jc w:val="center"/>
              <w:rPr>
                <w:sz w:val="21"/>
                <w:szCs w:val="21"/>
              </w:rPr>
            </w:pPr>
            <w:r>
              <w:rPr>
                <w:sz w:val="21"/>
                <w:szCs w:val="21"/>
              </w:rPr>
              <w:t>9</w:t>
            </w:r>
          </w:p>
          <w:p w14:paraId="43E49906">
            <w:pPr>
              <w:spacing w:line="240" w:lineRule="auto"/>
              <w:jc w:val="center"/>
              <w:rPr>
                <w:sz w:val="21"/>
                <w:szCs w:val="21"/>
              </w:rPr>
            </w:pPr>
            <w:r>
              <w:rPr>
                <w:sz w:val="21"/>
                <w:szCs w:val="21"/>
              </w:rPr>
              <w:t>10</w:t>
            </w:r>
          </w:p>
        </w:tc>
        <w:tc>
          <w:tcPr>
            <w:tcW w:w="1217" w:type="dxa"/>
            <w:tcBorders>
              <w:tl2br w:val="nil"/>
              <w:tr2bl w:val="nil"/>
            </w:tcBorders>
            <w:vAlign w:val="center"/>
          </w:tcPr>
          <w:p w14:paraId="732F8A3A">
            <w:pPr>
              <w:spacing w:line="240" w:lineRule="auto"/>
              <w:jc w:val="center"/>
              <w:rPr>
                <w:sz w:val="21"/>
                <w:szCs w:val="21"/>
              </w:rPr>
            </w:pPr>
            <w:r>
              <w:rPr>
                <w:sz w:val="21"/>
                <w:szCs w:val="21"/>
              </w:rPr>
              <w:t>保护区内</w:t>
            </w:r>
            <w:r>
              <w:rPr>
                <w:rFonts w:hint="eastAsia"/>
                <w:sz w:val="21"/>
                <w:szCs w:val="21"/>
              </w:rPr>
              <w:t>无陆路及桥梁</w:t>
            </w:r>
          </w:p>
        </w:tc>
        <w:tc>
          <w:tcPr>
            <w:tcW w:w="1010" w:type="dxa"/>
            <w:tcBorders>
              <w:tl2br w:val="nil"/>
              <w:tr2bl w:val="nil"/>
            </w:tcBorders>
            <w:vAlign w:val="center"/>
          </w:tcPr>
          <w:p w14:paraId="26813B74">
            <w:pPr>
              <w:spacing w:line="240" w:lineRule="auto"/>
              <w:jc w:val="center"/>
              <w:rPr>
                <w:sz w:val="21"/>
                <w:szCs w:val="21"/>
              </w:rPr>
            </w:pPr>
            <w:r>
              <w:rPr>
                <w:rFonts w:hint="eastAsia"/>
                <w:sz w:val="21"/>
                <w:szCs w:val="21"/>
              </w:rPr>
              <w:t>0</w:t>
            </w:r>
          </w:p>
        </w:tc>
      </w:tr>
      <w:tr w14:paraId="1B623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906" w:type="dxa"/>
            <w:tcBorders>
              <w:tl2br w:val="nil"/>
              <w:tr2bl w:val="nil"/>
            </w:tcBorders>
            <w:vAlign w:val="center"/>
          </w:tcPr>
          <w:p w14:paraId="720D4E01">
            <w:pPr>
              <w:spacing w:line="240" w:lineRule="auto"/>
              <w:jc w:val="center"/>
              <w:rPr>
                <w:sz w:val="21"/>
                <w:szCs w:val="21"/>
              </w:rPr>
            </w:pPr>
            <w:r>
              <w:rPr>
                <w:sz w:val="21"/>
                <w:szCs w:val="21"/>
              </w:rPr>
              <w:t>小计</w:t>
            </w:r>
          </w:p>
        </w:tc>
        <w:tc>
          <w:tcPr>
            <w:tcW w:w="1166" w:type="dxa"/>
            <w:tcBorders>
              <w:tl2br w:val="nil"/>
              <w:tr2bl w:val="nil"/>
            </w:tcBorders>
            <w:vAlign w:val="center"/>
          </w:tcPr>
          <w:p w14:paraId="04EDE428">
            <w:pPr>
              <w:spacing w:line="240" w:lineRule="auto"/>
              <w:jc w:val="center"/>
              <w:rPr>
                <w:sz w:val="21"/>
                <w:szCs w:val="21"/>
              </w:rPr>
            </w:pPr>
          </w:p>
        </w:tc>
        <w:tc>
          <w:tcPr>
            <w:tcW w:w="1277" w:type="dxa"/>
            <w:tcBorders>
              <w:tl2br w:val="nil"/>
              <w:tr2bl w:val="nil"/>
            </w:tcBorders>
            <w:vAlign w:val="center"/>
          </w:tcPr>
          <w:p w14:paraId="65461FD7">
            <w:pPr>
              <w:spacing w:line="240" w:lineRule="auto"/>
              <w:jc w:val="center"/>
              <w:rPr>
                <w:sz w:val="21"/>
                <w:szCs w:val="21"/>
              </w:rPr>
            </w:pPr>
          </w:p>
        </w:tc>
        <w:tc>
          <w:tcPr>
            <w:tcW w:w="1260" w:type="dxa"/>
            <w:tcBorders>
              <w:tl2br w:val="nil"/>
              <w:tr2bl w:val="nil"/>
            </w:tcBorders>
            <w:vAlign w:val="center"/>
          </w:tcPr>
          <w:p w14:paraId="79777A34">
            <w:pPr>
              <w:spacing w:line="240" w:lineRule="auto"/>
              <w:jc w:val="center"/>
              <w:rPr>
                <w:sz w:val="21"/>
                <w:szCs w:val="21"/>
              </w:rPr>
            </w:pPr>
          </w:p>
        </w:tc>
        <w:tc>
          <w:tcPr>
            <w:tcW w:w="737" w:type="dxa"/>
            <w:tcBorders>
              <w:tl2br w:val="nil"/>
              <w:tr2bl w:val="nil"/>
            </w:tcBorders>
            <w:vAlign w:val="center"/>
          </w:tcPr>
          <w:p w14:paraId="4D94F291">
            <w:pPr>
              <w:spacing w:line="240" w:lineRule="auto"/>
              <w:jc w:val="center"/>
              <w:rPr>
                <w:sz w:val="21"/>
                <w:szCs w:val="21"/>
              </w:rPr>
            </w:pPr>
            <w:r>
              <w:rPr>
                <w:rFonts w:hint="eastAsia"/>
                <w:sz w:val="21"/>
                <w:szCs w:val="21"/>
              </w:rPr>
              <w:t>0</w:t>
            </w:r>
          </w:p>
        </w:tc>
        <w:tc>
          <w:tcPr>
            <w:tcW w:w="3378" w:type="dxa"/>
            <w:tcBorders>
              <w:tl2br w:val="nil"/>
              <w:tr2bl w:val="nil"/>
            </w:tcBorders>
            <w:vAlign w:val="center"/>
          </w:tcPr>
          <w:p w14:paraId="0352CEB6">
            <w:pPr>
              <w:spacing w:line="240" w:lineRule="auto"/>
              <w:jc w:val="center"/>
              <w:rPr>
                <w:sz w:val="21"/>
                <w:szCs w:val="21"/>
              </w:rPr>
            </w:pPr>
          </w:p>
        </w:tc>
        <w:tc>
          <w:tcPr>
            <w:tcW w:w="1337" w:type="dxa"/>
            <w:tcBorders>
              <w:tl2br w:val="nil"/>
              <w:tr2bl w:val="nil"/>
            </w:tcBorders>
            <w:vAlign w:val="center"/>
          </w:tcPr>
          <w:p w14:paraId="3B547BA4">
            <w:pPr>
              <w:spacing w:line="240" w:lineRule="auto"/>
              <w:jc w:val="center"/>
              <w:rPr>
                <w:sz w:val="21"/>
                <w:szCs w:val="21"/>
              </w:rPr>
            </w:pPr>
          </w:p>
        </w:tc>
        <w:tc>
          <w:tcPr>
            <w:tcW w:w="1217" w:type="dxa"/>
            <w:tcBorders>
              <w:tl2br w:val="nil"/>
              <w:tr2bl w:val="nil"/>
            </w:tcBorders>
            <w:vAlign w:val="center"/>
          </w:tcPr>
          <w:p w14:paraId="6C1B402A">
            <w:pPr>
              <w:spacing w:line="240" w:lineRule="auto"/>
              <w:jc w:val="center"/>
              <w:rPr>
                <w:sz w:val="21"/>
                <w:szCs w:val="21"/>
              </w:rPr>
            </w:pPr>
          </w:p>
        </w:tc>
        <w:tc>
          <w:tcPr>
            <w:tcW w:w="1010" w:type="dxa"/>
            <w:tcBorders>
              <w:tl2br w:val="nil"/>
              <w:tr2bl w:val="nil"/>
            </w:tcBorders>
            <w:vAlign w:val="center"/>
          </w:tcPr>
          <w:p w14:paraId="285889E5">
            <w:pPr>
              <w:spacing w:line="240" w:lineRule="auto"/>
              <w:jc w:val="center"/>
              <w:rPr>
                <w:sz w:val="21"/>
                <w:szCs w:val="21"/>
              </w:rPr>
            </w:pPr>
            <w:r>
              <w:rPr>
                <w:rFonts w:hint="eastAsia"/>
                <w:sz w:val="21"/>
                <w:szCs w:val="21"/>
              </w:rPr>
              <w:t>0</w:t>
            </w:r>
          </w:p>
        </w:tc>
      </w:tr>
    </w:tbl>
    <w:p w14:paraId="20155662">
      <w:pPr>
        <w:jc w:val="center"/>
      </w:pPr>
    </w:p>
    <w:p w14:paraId="457AF90F">
      <w:pPr>
        <w:jc w:val="center"/>
      </w:pPr>
    </w:p>
    <w:p w14:paraId="52303696">
      <w:pPr>
        <w:jc w:val="center"/>
      </w:pPr>
    </w:p>
    <w:p w14:paraId="4970E00D"/>
    <w:p w14:paraId="670C6D20">
      <w:pPr>
        <w:jc w:val="center"/>
        <w:rPr>
          <w:b/>
          <w:bCs/>
          <w:sz w:val="21"/>
          <w:szCs w:val="21"/>
        </w:rPr>
      </w:pPr>
      <w:r>
        <w:rPr>
          <w:b/>
          <w:bCs/>
          <w:sz w:val="21"/>
          <w:szCs w:val="21"/>
        </w:rPr>
        <w:t>表2-1</w:t>
      </w:r>
      <w:r>
        <w:rPr>
          <w:rFonts w:hint="eastAsia"/>
          <w:b/>
          <w:bCs/>
          <w:sz w:val="21"/>
          <w:szCs w:val="21"/>
        </w:rPr>
        <w:t>7</w:t>
      </w:r>
      <w:r>
        <w:rPr>
          <w:b/>
          <w:bCs/>
          <w:sz w:val="21"/>
          <w:szCs w:val="21"/>
        </w:rPr>
        <w:t xml:space="preserve"> 非点源评价指标及评分值（Ry）</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423"/>
        <w:gridCol w:w="933"/>
        <w:gridCol w:w="1467"/>
        <w:gridCol w:w="817"/>
        <w:gridCol w:w="1416"/>
        <w:gridCol w:w="1200"/>
        <w:gridCol w:w="1467"/>
        <w:gridCol w:w="844"/>
      </w:tblGrid>
      <w:tr w14:paraId="10567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33" w:type="dxa"/>
            <w:vMerge w:val="restart"/>
            <w:tcBorders>
              <w:tl2br w:val="nil"/>
              <w:tr2bl w:val="nil"/>
            </w:tcBorders>
            <w:vAlign w:val="center"/>
          </w:tcPr>
          <w:p w14:paraId="1158A920">
            <w:pPr>
              <w:spacing w:line="240" w:lineRule="auto"/>
              <w:jc w:val="center"/>
              <w:rPr>
                <w:sz w:val="21"/>
                <w:szCs w:val="21"/>
              </w:rPr>
            </w:pPr>
            <w:bookmarkStart w:id="232" w:name="_Toc391620374"/>
            <w:bookmarkStart w:id="233" w:name="_Toc388345501"/>
            <w:r>
              <w:rPr>
                <w:sz w:val="21"/>
                <w:szCs w:val="21"/>
              </w:rPr>
              <w:t>风险源</w:t>
            </w:r>
          </w:p>
        </w:tc>
        <w:tc>
          <w:tcPr>
            <w:tcW w:w="4640" w:type="dxa"/>
            <w:gridSpan w:val="4"/>
            <w:tcBorders>
              <w:tl2br w:val="nil"/>
              <w:tr2bl w:val="nil"/>
            </w:tcBorders>
            <w:vAlign w:val="center"/>
          </w:tcPr>
          <w:p w14:paraId="3D7664BD">
            <w:pPr>
              <w:spacing w:line="240" w:lineRule="auto"/>
              <w:jc w:val="center"/>
              <w:rPr>
                <w:sz w:val="21"/>
                <w:szCs w:val="21"/>
              </w:rPr>
            </w:pPr>
            <w:r>
              <w:rPr>
                <w:sz w:val="21"/>
                <w:szCs w:val="21"/>
              </w:rPr>
              <w:t>一级保护区</w:t>
            </w:r>
          </w:p>
        </w:tc>
        <w:tc>
          <w:tcPr>
            <w:tcW w:w="4927" w:type="dxa"/>
            <w:gridSpan w:val="4"/>
            <w:tcBorders>
              <w:tl2br w:val="nil"/>
              <w:tr2bl w:val="nil"/>
            </w:tcBorders>
            <w:vAlign w:val="center"/>
          </w:tcPr>
          <w:p w14:paraId="3FE3F370">
            <w:pPr>
              <w:spacing w:line="240" w:lineRule="auto"/>
              <w:jc w:val="center"/>
              <w:rPr>
                <w:sz w:val="21"/>
                <w:szCs w:val="21"/>
              </w:rPr>
            </w:pPr>
            <w:r>
              <w:rPr>
                <w:sz w:val="21"/>
                <w:szCs w:val="21"/>
              </w:rPr>
              <w:t>二级保护区</w:t>
            </w:r>
          </w:p>
        </w:tc>
      </w:tr>
      <w:tr w14:paraId="4B06E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033" w:type="dxa"/>
            <w:vMerge w:val="continue"/>
            <w:tcBorders>
              <w:tl2br w:val="nil"/>
              <w:tr2bl w:val="nil"/>
            </w:tcBorders>
            <w:vAlign w:val="center"/>
          </w:tcPr>
          <w:p w14:paraId="06CEE432">
            <w:pPr>
              <w:spacing w:line="240" w:lineRule="auto"/>
              <w:jc w:val="center"/>
              <w:rPr>
                <w:sz w:val="21"/>
                <w:szCs w:val="21"/>
              </w:rPr>
            </w:pPr>
          </w:p>
        </w:tc>
        <w:tc>
          <w:tcPr>
            <w:tcW w:w="1423" w:type="dxa"/>
            <w:tcBorders>
              <w:tl2br w:val="nil"/>
              <w:tr2bl w:val="nil"/>
            </w:tcBorders>
            <w:vAlign w:val="center"/>
          </w:tcPr>
          <w:p w14:paraId="198B39B6">
            <w:pPr>
              <w:spacing w:line="240" w:lineRule="auto"/>
              <w:jc w:val="center"/>
              <w:rPr>
                <w:sz w:val="21"/>
                <w:szCs w:val="21"/>
              </w:rPr>
            </w:pPr>
            <w:r>
              <w:rPr>
                <w:sz w:val="21"/>
                <w:szCs w:val="21"/>
              </w:rPr>
              <w:t>指标值</w:t>
            </w:r>
          </w:p>
        </w:tc>
        <w:tc>
          <w:tcPr>
            <w:tcW w:w="933" w:type="dxa"/>
            <w:tcBorders>
              <w:tl2br w:val="nil"/>
              <w:tr2bl w:val="nil"/>
            </w:tcBorders>
            <w:vAlign w:val="center"/>
          </w:tcPr>
          <w:p w14:paraId="0B285F39">
            <w:pPr>
              <w:spacing w:line="240" w:lineRule="auto"/>
              <w:jc w:val="center"/>
              <w:rPr>
                <w:sz w:val="21"/>
                <w:szCs w:val="21"/>
              </w:rPr>
            </w:pPr>
            <w:r>
              <w:rPr>
                <w:sz w:val="21"/>
                <w:szCs w:val="21"/>
              </w:rPr>
              <w:t>分值（Y1）</w:t>
            </w:r>
          </w:p>
        </w:tc>
        <w:tc>
          <w:tcPr>
            <w:tcW w:w="1467" w:type="dxa"/>
            <w:tcBorders>
              <w:tl2br w:val="nil"/>
              <w:tr2bl w:val="nil"/>
            </w:tcBorders>
            <w:vAlign w:val="center"/>
          </w:tcPr>
          <w:p w14:paraId="393BD0E1">
            <w:pPr>
              <w:spacing w:line="240" w:lineRule="auto"/>
              <w:jc w:val="center"/>
              <w:rPr>
                <w:sz w:val="21"/>
                <w:szCs w:val="21"/>
              </w:rPr>
            </w:pPr>
            <w:r>
              <w:rPr>
                <w:sz w:val="21"/>
                <w:szCs w:val="21"/>
              </w:rPr>
              <w:t>现状描述</w:t>
            </w:r>
          </w:p>
        </w:tc>
        <w:tc>
          <w:tcPr>
            <w:tcW w:w="817" w:type="dxa"/>
            <w:tcBorders>
              <w:tl2br w:val="nil"/>
              <w:tr2bl w:val="nil"/>
            </w:tcBorders>
            <w:vAlign w:val="center"/>
          </w:tcPr>
          <w:p w14:paraId="2E272821">
            <w:pPr>
              <w:spacing w:line="240" w:lineRule="auto"/>
              <w:jc w:val="center"/>
              <w:rPr>
                <w:sz w:val="21"/>
                <w:szCs w:val="21"/>
              </w:rPr>
            </w:pPr>
            <w:r>
              <w:rPr>
                <w:sz w:val="21"/>
                <w:szCs w:val="21"/>
              </w:rPr>
              <w:t>评分</w:t>
            </w:r>
          </w:p>
        </w:tc>
        <w:tc>
          <w:tcPr>
            <w:tcW w:w="1416" w:type="dxa"/>
            <w:tcBorders>
              <w:tl2br w:val="nil"/>
              <w:tr2bl w:val="nil"/>
            </w:tcBorders>
            <w:vAlign w:val="center"/>
          </w:tcPr>
          <w:p w14:paraId="3D4859CB">
            <w:pPr>
              <w:spacing w:line="240" w:lineRule="auto"/>
              <w:jc w:val="center"/>
              <w:rPr>
                <w:sz w:val="21"/>
                <w:szCs w:val="21"/>
              </w:rPr>
            </w:pPr>
            <w:r>
              <w:rPr>
                <w:sz w:val="21"/>
                <w:szCs w:val="21"/>
              </w:rPr>
              <w:t>指标值</w:t>
            </w:r>
          </w:p>
        </w:tc>
        <w:tc>
          <w:tcPr>
            <w:tcW w:w="1200" w:type="dxa"/>
            <w:tcBorders>
              <w:tl2br w:val="nil"/>
              <w:tr2bl w:val="nil"/>
            </w:tcBorders>
            <w:vAlign w:val="center"/>
          </w:tcPr>
          <w:p w14:paraId="1490AB25">
            <w:pPr>
              <w:spacing w:line="240" w:lineRule="auto"/>
              <w:jc w:val="center"/>
              <w:rPr>
                <w:sz w:val="21"/>
                <w:szCs w:val="21"/>
              </w:rPr>
            </w:pPr>
            <w:r>
              <w:rPr>
                <w:sz w:val="21"/>
                <w:szCs w:val="21"/>
              </w:rPr>
              <w:t>分值（Y2）</w:t>
            </w:r>
          </w:p>
        </w:tc>
        <w:tc>
          <w:tcPr>
            <w:tcW w:w="1467" w:type="dxa"/>
            <w:tcBorders>
              <w:tl2br w:val="nil"/>
              <w:tr2bl w:val="nil"/>
            </w:tcBorders>
            <w:vAlign w:val="center"/>
          </w:tcPr>
          <w:p w14:paraId="09B20253">
            <w:pPr>
              <w:spacing w:line="240" w:lineRule="auto"/>
              <w:jc w:val="center"/>
              <w:rPr>
                <w:sz w:val="21"/>
                <w:szCs w:val="21"/>
              </w:rPr>
            </w:pPr>
            <w:r>
              <w:rPr>
                <w:sz w:val="21"/>
                <w:szCs w:val="21"/>
              </w:rPr>
              <w:t>现状描述</w:t>
            </w:r>
          </w:p>
        </w:tc>
        <w:tc>
          <w:tcPr>
            <w:tcW w:w="844" w:type="dxa"/>
            <w:tcBorders>
              <w:tl2br w:val="nil"/>
              <w:tr2bl w:val="nil"/>
            </w:tcBorders>
            <w:vAlign w:val="center"/>
          </w:tcPr>
          <w:p w14:paraId="591C4C02">
            <w:pPr>
              <w:spacing w:line="240" w:lineRule="auto"/>
              <w:jc w:val="center"/>
              <w:rPr>
                <w:sz w:val="21"/>
                <w:szCs w:val="21"/>
              </w:rPr>
            </w:pPr>
            <w:r>
              <w:rPr>
                <w:sz w:val="21"/>
                <w:szCs w:val="21"/>
              </w:rPr>
              <w:t>评分</w:t>
            </w:r>
          </w:p>
        </w:tc>
      </w:tr>
      <w:tr w14:paraId="34CAE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0" w:hRule="atLeast"/>
          <w:jc w:val="center"/>
        </w:trPr>
        <w:tc>
          <w:tcPr>
            <w:tcW w:w="1033" w:type="dxa"/>
            <w:tcBorders>
              <w:tl2br w:val="nil"/>
              <w:tr2bl w:val="nil"/>
            </w:tcBorders>
            <w:vAlign w:val="center"/>
          </w:tcPr>
          <w:p w14:paraId="4D0C0379">
            <w:pPr>
              <w:spacing w:line="240" w:lineRule="auto"/>
              <w:jc w:val="center"/>
              <w:rPr>
                <w:sz w:val="21"/>
                <w:szCs w:val="21"/>
              </w:rPr>
            </w:pPr>
            <w:r>
              <w:rPr>
                <w:sz w:val="21"/>
                <w:szCs w:val="21"/>
              </w:rPr>
              <w:t>耕地面积所占比例</w:t>
            </w:r>
          </w:p>
        </w:tc>
        <w:tc>
          <w:tcPr>
            <w:tcW w:w="1423" w:type="dxa"/>
            <w:tcBorders>
              <w:tl2br w:val="nil"/>
              <w:tr2bl w:val="nil"/>
            </w:tcBorders>
            <w:vAlign w:val="center"/>
          </w:tcPr>
          <w:p w14:paraId="284B438B">
            <w:pPr>
              <w:spacing w:line="240" w:lineRule="auto"/>
              <w:jc w:val="center"/>
              <w:rPr>
                <w:sz w:val="21"/>
                <w:szCs w:val="21"/>
              </w:rPr>
            </w:pPr>
            <w:r>
              <w:rPr>
                <w:sz w:val="21"/>
                <w:szCs w:val="21"/>
              </w:rPr>
              <w:t>无</w:t>
            </w:r>
          </w:p>
          <w:p w14:paraId="0B67BA38">
            <w:pPr>
              <w:spacing w:line="240" w:lineRule="auto"/>
              <w:jc w:val="center"/>
              <w:rPr>
                <w:sz w:val="21"/>
                <w:szCs w:val="21"/>
              </w:rPr>
            </w:pPr>
            <w:r>
              <w:rPr>
                <w:sz w:val="21"/>
                <w:szCs w:val="21"/>
              </w:rPr>
              <w:t>存在</w:t>
            </w:r>
          </w:p>
        </w:tc>
        <w:tc>
          <w:tcPr>
            <w:tcW w:w="933" w:type="dxa"/>
            <w:tcBorders>
              <w:tl2br w:val="nil"/>
              <w:tr2bl w:val="nil"/>
            </w:tcBorders>
            <w:vAlign w:val="center"/>
          </w:tcPr>
          <w:p w14:paraId="11FCC42E">
            <w:pPr>
              <w:spacing w:line="240" w:lineRule="auto"/>
              <w:jc w:val="center"/>
              <w:rPr>
                <w:sz w:val="21"/>
                <w:szCs w:val="21"/>
              </w:rPr>
            </w:pPr>
            <w:r>
              <w:rPr>
                <w:sz w:val="21"/>
                <w:szCs w:val="21"/>
              </w:rPr>
              <w:t>0</w:t>
            </w:r>
          </w:p>
          <w:p w14:paraId="1E32CC2D">
            <w:pPr>
              <w:spacing w:line="240" w:lineRule="auto"/>
              <w:jc w:val="center"/>
              <w:rPr>
                <w:sz w:val="21"/>
                <w:szCs w:val="21"/>
              </w:rPr>
            </w:pPr>
            <w:r>
              <w:rPr>
                <w:sz w:val="21"/>
                <w:szCs w:val="21"/>
              </w:rPr>
              <w:t>10</w:t>
            </w:r>
          </w:p>
        </w:tc>
        <w:tc>
          <w:tcPr>
            <w:tcW w:w="1467" w:type="dxa"/>
            <w:tcBorders>
              <w:tl2br w:val="nil"/>
              <w:tr2bl w:val="nil"/>
            </w:tcBorders>
            <w:vAlign w:val="center"/>
          </w:tcPr>
          <w:p w14:paraId="6B7517BF">
            <w:pPr>
              <w:spacing w:line="240" w:lineRule="auto"/>
              <w:jc w:val="center"/>
              <w:rPr>
                <w:sz w:val="21"/>
                <w:szCs w:val="21"/>
              </w:rPr>
            </w:pPr>
            <w:r>
              <w:rPr>
                <w:sz w:val="21"/>
                <w:szCs w:val="21"/>
              </w:rPr>
              <w:t>一级保护区耕地约</w:t>
            </w:r>
            <w:r>
              <w:rPr>
                <w:rFonts w:hint="eastAsia"/>
                <w:sz w:val="21"/>
                <w:szCs w:val="21"/>
              </w:rPr>
              <w:t>10亩</w:t>
            </w:r>
            <w:r>
              <w:rPr>
                <w:sz w:val="21"/>
                <w:szCs w:val="21"/>
              </w:rPr>
              <w:t>，比例</w:t>
            </w:r>
            <w:r>
              <w:rPr>
                <w:rFonts w:hint="eastAsia"/>
                <w:sz w:val="21"/>
                <w:szCs w:val="21"/>
              </w:rPr>
              <w:t>31.25</w:t>
            </w:r>
            <w:r>
              <w:rPr>
                <w:sz w:val="21"/>
                <w:szCs w:val="21"/>
              </w:rPr>
              <w:t>%。</w:t>
            </w:r>
          </w:p>
          <w:p w14:paraId="5D4470CF">
            <w:pPr>
              <w:spacing w:line="240" w:lineRule="auto"/>
              <w:jc w:val="center"/>
              <w:rPr>
                <w:sz w:val="21"/>
                <w:szCs w:val="21"/>
              </w:rPr>
            </w:pPr>
          </w:p>
        </w:tc>
        <w:tc>
          <w:tcPr>
            <w:tcW w:w="817" w:type="dxa"/>
            <w:tcBorders>
              <w:tl2br w:val="nil"/>
              <w:tr2bl w:val="nil"/>
            </w:tcBorders>
            <w:vAlign w:val="center"/>
          </w:tcPr>
          <w:p w14:paraId="431255DA">
            <w:pPr>
              <w:spacing w:line="240" w:lineRule="auto"/>
              <w:jc w:val="center"/>
              <w:rPr>
                <w:sz w:val="21"/>
                <w:szCs w:val="21"/>
              </w:rPr>
            </w:pPr>
            <w:r>
              <w:rPr>
                <w:sz w:val="21"/>
                <w:szCs w:val="21"/>
              </w:rPr>
              <w:t>10</w:t>
            </w:r>
          </w:p>
        </w:tc>
        <w:tc>
          <w:tcPr>
            <w:tcW w:w="1416" w:type="dxa"/>
            <w:tcBorders>
              <w:tl2br w:val="nil"/>
              <w:tr2bl w:val="nil"/>
            </w:tcBorders>
            <w:vAlign w:val="center"/>
          </w:tcPr>
          <w:p w14:paraId="78832C8F">
            <w:pPr>
              <w:spacing w:line="240" w:lineRule="auto"/>
              <w:jc w:val="center"/>
              <w:rPr>
                <w:sz w:val="21"/>
                <w:szCs w:val="21"/>
              </w:rPr>
            </w:pPr>
            <w:r>
              <w:rPr>
                <w:sz w:val="21"/>
                <w:szCs w:val="21"/>
              </w:rPr>
              <w:t>无</w:t>
            </w:r>
          </w:p>
          <w:p w14:paraId="6D3B2288">
            <w:pPr>
              <w:spacing w:line="240" w:lineRule="auto"/>
              <w:jc w:val="center"/>
              <w:rPr>
                <w:sz w:val="21"/>
                <w:szCs w:val="21"/>
              </w:rPr>
            </w:pPr>
            <w:r>
              <w:rPr>
                <w:sz w:val="21"/>
                <w:szCs w:val="21"/>
              </w:rPr>
              <w:t>&lt;5%</w:t>
            </w:r>
          </w:p>
          <w:p w14:paraId="436AC770">
            <w:pPr>
              <w:spacing w:line="240" w:lineRule="auto"/>
              <w:jc w:val="center"/>
              <w:rPr>
                <w:sz w:val="21"/>
                <w:szCs w:val="21"/>
              </w:rPr>
            </w:pPr>
            <w:r>
              <w:rPr>
                <w:sz w:val="21"/>
                <w:szCs w:val="21"/>
              </w:rPr>
              <w:t>5%~10%</w:t>
            </w:r>
          </w:p>
          <w:p w14:paraId="437D38FC">
            <w:pPr>
              <w:spacing w:line="240" w:lineRule="auto"/>
              <w:jc w:val="center"/>
              <w:rPr>
                <w:sz w:val="21"/>
                <w:szCs w:val="21"/>
              </w:rPr>
            </w:pPr>
            <w:r>
              <w:rPr>
                <w:sz w:val="21"/>
                <w:szCs w:val="21"/>
              </w:rPr>
              <w:t>10%~20%</w:t>
            </w:r>
          </w:p>
          <w:p w14:paraId="2CFD65DD">
            <w:pPr>
              <w:spacing w:line="240" w:lineRule="auto"/>
              <w:jc w:val="center"/>
              <w:rPr>
                <w:sz w:val="21"/>
                <w:szCs w:val="21"/>
              </w:rPr>
            </w:pPr>
            <w:r>
              <w:rPr>
                <w:sz w:val="21"/>
                <w:szCs w:val="21"/>
              </w:rPr>
              <w:t>20%~30%</w:t>
            </w:r>
          </w:p>
          <w:p w14:paraId="6ECB75AC">
            <w:pPr>
              <w:spacing w:line="240" w:lineRule="auto"/>
              <w:jc w:val="center"/>
              <w:rPr>
                <w:sz w:val="21"/>
                <w:szCs w:val="21"/>
              </w:rPr>
            </w:pPr>
            <w:r>
              <w:rPr>
                <w:sz w:val="21"/>
                <w:szCs w:val="21"/>
              </w:rPr>
              <w:t>30%~40%</w:t>
            </w:r>
          </w:p>
          <w:p w14:paraId="70CCE672">
            <w:pPr>
              <w:spacing w:line="240" w:lineRule="auto"/>
              <w:jc w:val="center"/>
              <w:rPr>
                <w:sz w:val="21"/>
                <w:szCs w:val="21"/>
              </w:rPr>
            </w:pPr>
            <w:r>
              <w:rPr>
                <w:sz w:val="21"/>
                <w:szCs w:val="21"/>
              </w:rPr>
              <w:t>50%~60%</w:t>
            </w:r>
          </w:p>
          <w:p w14:paraId="305778F3">
            <w:pPr>
              <w:spacing w:line="240" w:lineRule="auto"/>
              <w:jc w:val="center"/>
              <w:rPr>
                <w:sz w:val="21"/>
                <w:szCs w:val="21"/>
              </w:rPr>
            </w:pPr>
            <w:r>
              <w:rPr>
                <w:sz w:val="21"/>
                <w:szCs w:val="21"/>
              </w:rPr>
              <w:t>60%~70%</w:t>
            </w:r>
          </w:p>
          <w:p w14:paraId="55368541">
            <w:pPr>
              <w:spacing w:line="240" w:lineRule="auto"/>
              <w:jc w:val="center"/>
              <w:rPr>
                <w:sz w:val="21"/>
                <w:szCs w:val="21"/>
              </w:rPr>
            </w:pPr>
            <w:r>
              <w:rPr>
                <w:sz w:val="21"/>
                <w:szCs w:val="21"/>
              </w:rPr>
              <w:t>70%80%</w:t>
            </w:r>
          </w:p>
          <w:p w14:paraId="176D6D53">
            <w:pPr>
              <w:spacing w:line="240" w:lineRule="auto"/>
              <w:jc w:val="center"/>
              <w:rPr>
                <w:sz w:val="21"/>
                <w:szCs w:val="21"/>
              </w:rPr>
            </w:pPr>
            <w:r>
              <w:rPr>
                <w:sz w:val="21"/>
                <w:szCs w:val="21"/>
              </w:rPr>
              <w:t>&gt;80%</w:t>
            </w:r>
          </w:p>
        </w:tc>
        <w:tc>
          <w:tcPr>
            <w:tcW w:w="1200" w:type="dxa"/>
            <w:tcBorders>
              <w:tl2br w:val="nil"/>
              <w:tr2bl w:val="nil"/>
            </w:tcBorders>
            <w:vAlign w:val="center"/>
          </w:tcPr>
          <w:p w14:paraId="330CE83C">
            <w:pPr>
              <w:spacing w:line="240" w:lineRule="auto"/>
              <w:jc w:val="center"/>
              <w:rPr>
                <w:sz w:val="21"/>
                <w:szCs w:val="21"/>
              </w:rPr>
            </w:pPr>
            <w:r>
              <w:rPr>
                <w:sz w:val="21"/>
                <w:szCs w:val="21"/>
              </w:rPr>
              <w:t>0</w:t>
            </w:r>
          </w:p>
          <w:p w14:paraId="386D8871">
            <w:pPr>
              <w:spacing w:line="240" w:lineRule="auto"/>
              <w:jc w:val="center"/>
              <w:rPr>
                <w:sz w:val="21"/>
                <w:szCs w:val="21"/>
              </w:rPr>
            </w:pPr>
            <w:r>
              <w:rPr>
                <w:sz w:val="21"/>
                <w:szCs w:val="21"/>
              </w:rPr>
              <w:t>2</w:t>
            </w:r>
          </w:p>
          <w:p w14:paraId="368A3F27">
            <w:pPr>
              <w:spacing w:line="240" w:lineRule="auto"/>
              <w:jc w:val="center"/>
              <w:rPr>
                <w:sz w:val="21"/>
                <w:szCs w:val="21"/>
              </w:rPr>
            </w:pPr>
            <w:r>
              <w:rPr>
                <w:sz w:val="21"/>
                <w:szCs w:val="21"/>
              </w:rPr>
              <w:t>3</w:t>
            </w:r>
          </w:p>
          <w:p w14:paraId="3B834CB1">
            <w:pPr>
              <w:spacing w:line="240" w:lineRule="auto"/>
              <w:jc w:val="center"/>
              <w:rPr>
                <w:sz w:val="21"/>
                <w:szCs w:val="21"/>
              </w:rPr>
            </w:pPr>
            <w:r>
              <w:rPr>
                <w:sz w:val="21"/>
                <w:szCs w:val="21"/>
              </w:rPr>
              <w:t>4</w:t>
            </w:r>
          </w:p>
          <w:p w14:paraId="0825E835">
            <w:pPr>
              <w:spacing w:line="240" w:lineRule="auto"/>
              <w:jc w:val="center"/>
              <w:rPr>
                <w:sz w:val="21"/>
                <w:szCs w:val="21"/>
              </w:rPr>
            </w:pPr>
            <w:r>
              <w:rPr>
                <w:sz w:val="21"/>
                <w:szCs w:val="21"/>
              </w:rPr>
              <w:t>5</w:t>
            </w:r>
          </w:p>
          <w:p w14:paraId="517D611B">
            <w:pPr>
              <w:spacing w:line="240" w:lineRule="auto"/>
              <w:jc w:val="center"/>
              <w:rPr>
                <w:sz w:val="21"/>
                <w:szCs w:val="21"/>
              </w:rPr>
            </w:pPr>
            <w:r>
              <w:rPr>
                <w:sz w:val="21"/>
                <w:szCs w:val="21"/>
              </w:rPr>
              <w:t>6</w:t>
            </w:r>
          </w:p>
          <w:p w14:paraId="6E31C8E7">
            <w:pPr>
              <w:spacing w:line="240" w:lineRule="auto"/>
              <w:jc w:val="center"/>
              <w:rPr>
                <w:sz w:val="21"/>
                <w:szCs w:val="21"/>
              </w:rPr>
            </w:pPr>
            <w:r>
              <w:rPr>
                <w:sz w:val="21"/>
                <w:szCs w:val="21"/>
              </w:rPr>
              <w:t>7</w:t>
            </w:r>
          </w:p>
          <w:p w14:paraId="0D812B43">
            <w:pPr>
              <w:spacing w:line="240" w:lineRule="auto"/>
              <w:jc w:val="center"/>
              <w:rPr>
                <w:sz w:val="21"/>
                <w:szCs w:val="21"/>
              </w:rPr>
            </w:pPr>
            <w:r>
              <w:rPr>
                <w:sz w:val="21"/>
                <w:szCs w:val="21"/>
              </w:rPr>
              <w:t>8</w:t>
            </w:r>
          </w:p>
          <w:p w14:paraId="5FE9D5C0">
            <w:pPr>
              <w:spacing w:line="240" w:lineRule="auto"/>
              <w:jc w:val="center"/>
              <w:rPr>
                <w:sz w:val="21"/>
                <w:szCs w:val="21"/>
              </w:rPr>
            </w:pPr>
            <w:r>
              <w:rPr>
                <w:sz w:val="21"/>
                <w:szCs w:val="21"/>
              </w:rPr>
              <w:t>9</w:t>
            </w:r>
          </w:p>
          <w:p w14:paraId="7039663B">
            <w:pPr>
              <w:spacing w:line="240" w:lineRule="auto"/>
              <w:jc w:val="center"/>
              <w:rPr>
                <w:sz w:val="21"/>
                <w:szCs w:val="21"/>
              </w:rPr>
            </w:pPr>
            <w:r>
              <w:rPr>
                <w:sz w:val="21"/>
                <w:szCs w:val="21"/>
              </w:rPr>
              <w:t>10</w:t>
            </w:r>
          </w:p>
        </w:tc>
        <w:tc>
          <w:tcPr>
            <w:tcW w:w="1467" w:type="dxa"/>
            <w:tcBorders>
              <w:tl2br w:val="nil"/>
              <w:tr2bl w:val="nil"/>
            </w:tcBorders>
            <w:vAlign w:val="center"/>
          </w:tcPr>
          <w:p w14:paraId="3A491165">
            <w:pPr>
              <w:spacing w:line="240" w:lineRule="auto"/>
              <w:jc w:val="center"/>
              <w:rPr>
                <w:sz w:val="21"/>
                <w:szCs w:val="21"/>
              </w:rPr>
            </w:pPr>
            <w:r>
              <w:rPr>
                <w:sz w:val="21"/>
                <w:szCs w:val="21"/>
              </w:rPr>
              <w:t>二级保护区耕地约</w:t>
            </w:r>
            <w:r>
              <w:rPr>
                <w:rFonts w:hint="eastAsia"/>
                <w:sz w:val="21"/>
                <w:szCs w:val="21"/>
              </w:rPr>
              <w:t>40亩</w:t>
            </w:r>
            <w:r>
              <w:rPr>
                <w:sz w:val="21"/>
                <w:szCs w:val="21"/>
              </w:rPr>
              <w:t>，比例</w:t>
            </w:r>
            <w:r>
              <w:rPr>
                <w:rFonts w:hint="eastAsia"/>
                <w:sz w:val="21"/>
                <w:szCs w:val="21"/>
              </w:rPr>
              <w:t>15.69</w:t>
            </w:r>
            <w:r>
              <w:rPr>
                <w:sz w:val="21"/>
                <w:szCs w:val="21"/>
              </w:rPr>
              <w:t>%。</w:t>
            </w:r>
          </w:p>
          <w:p w14:paraId="1BC81AEF">
            <w:pPr>
              <w:spacing w:line="240" w:lineRule="auto"/>
              <w:jc w:val="center"/>
              <w:rPr>
                <w:sz w:val="21"/>
                <w:szCs w:val="21"/>
              </w:rPr>
            </w:pPr>
          </w:p>
        </w:tc>
        <w:tc>
          <w:tcPr>
            <w:tcW w:w="844" w:type="dxa"/>
            <w:tcBorders>
              <w:tl2br w:val="nil"/>
              <w:tr2bl w:val="nil"/>
            </w:tcBorders>
            <w:vAlign w:val="center"/>
          </w:tcPr>
          <w:p w14:paraId="0E37F5A4">
            <w:pPr>
              <w:spacing w:line="240" w:lineRule="auto"/>
              <w:jc w:val="center"/>
              <w:rPr>
                <w:sz w:val="21"/>
                <w:szCs w:val="21"/>
              </w:rPr>
            </w:pPr>
            <w:r>
              <w:rPr>
                <w:rFonts w:hint="eastAsia"/>
                <w:sz w:val="21"/>
                <w:szCs w:val="21"/>
              </w:rPr>
              <w:t>4</w:t>
            </w:r>
          </w:p>
        </w:tc>
      </w:tr>
      <w:tr w14:paraId="4097E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1033" w:type="dxa"/>
            <w:tcBorders>
              <w:tl2br w:val="nil"/>
              <w:tr2bl w:val="nil"/>
            </w:tcBorders>
            <w:vAlign w:val="center"/>
          </w:tcPr>
          <w:p w14:paraId="590070BD">
            <w:pPr>
              <w:spacing w:line="240" w:lineRule="auto"/>
              <w:jc w:val="center"/>
              <w:rPr>
                <w:sz w:val="21"/>
                <w:szCs w:val="21"/>
              </w:rPr>
            </w:pPr>
            <w:r>
              <w:rPr>
                <w:sz w:val="21"/>
                <w:szCs w:val="21"/>
              </w:rPr>
              <w:t>生态缓冲带</w:t>
            </w:r>
          </w:p>
        </w:tc>
        <w:tc>
          <w:tcPr>
            <w:tcW w:w="1423" w:type="dxa"/>
            <w:tcBorders>
              <w:tl2br w:val="nil"/>
              <w:tr2bl w:val="nil"/>
            </w:tcBorders>
            <w:vAlign w:val="center"/>
          </w:tcPr>
          <w:p w14:paraId="68EF3ECF">
            <w:pPr>
              <w:spacing w:line="240" w:lineRule="auto"/>
              <w:jc w:val="center"/>
              <w:rPr>
                <w:sz w:val="21"/>
                <w:szCs w:val="21"/>
              </w:rPr>
            </w:pPr>
            <w:r>
              <w:rPr>
                <w:sz w:val="21"/>
                <w:szCs w:val="21"/>
              </w:rPr>
              <w:t>无</w:t>
            </w:r>
          </w:p>
          <w:p w14:paraId="0CCDC76C">
            <w:pPr>
              <w:spacing w:line="240" w:lineRule="auto"/>
              <w:jc w:val="center"/>
              <w:rPr>
                <w:sz w:val="21"/>
                <w:szCs w:val="21"/>
              </w:rPr>
            </w:pPr>
            <w:r>
              <w:rPr>
                <w:sz w:val="21"/>
                <w:szCs w:val="21"/>
              </w:rPr>
              <w:t>宽度＞50m</w:t>
            </w:r>
          </w:p>
          <w:p w14:paraId="6B51B85E">
            <w:pPr>
              <w:spacing w:line="240" w:lineRule="auto"/>
              <w:jc w:val="center"/>
              <w:rPr>
                <w:sz w:val="21"/>
                <w:szCs w:val="21"/>
              </w:rPr>
            </w:pPr>
            <w:r>
              <w:rPr>
                <w:sz w:val="21"/>
                <w:szCs w:val="21"/>
              </w:rPr>
              <w:t>宽度≤50m</w:t>
            </w:r>
          </w:p>
        </w:tc>
        <w:tc>
          <w:tcPr>
            <w:tcW w:w="933" w:type="dxa"/>
            <w:tcBorders>
              <w:tl2br w:val="nil"/>
              <w:tr2bl w:val="nil"/>
            </w:tcBorders>
            <w:vAlign w:val="center"/>
          </w:tcPr>
          <w:p w14:paraId="728DFC1D">
            <w:pPr>
              <w:spacing w:line="240" w:lineRule="auto"/>
              <w:jc w:val="center"/>
              <w:rPr>
                <w:sz w:val="21"/>
                <w:szCs w:val="21"/>
              </w:rPr>
            </w:pPr>
            <w:r>
              <w:rPr>
                <w:sz w:val="21"/>
                <w:szCs w:val="21"/>
              </w:rPr>
              <w:t>0</w:t>
            </w:r>
          </w:p>
          <w:p w14:paraId="09D58A24">
            <w:pPr>
              <w:spacing w:line="240" w:lineRule="auto"/>
              <w:jc w:val="center"/>
              <w:rPr>
                <w:sz w:val="21"/>
                <w:szCs w:val="21"/>
              </w:rPr>
            </w:pPr>
            <w:r>
              <w:rPr>
                <w:sz w:val="21"/>
                <w:szCs w:val="21"/>
              </w:rPr>
              <w:t>0</w:t>
            </w:r>
          </w:p>
          <w:p w14:paraId="5B1FD117">
            <w:pPr>
              <w:spacing w:line="240" w:lineRule="auto"/>
              <w:jc w:val="center"/>
              <w:rPr>
                <w:sz w:val="21"/>
                <w:szCs w:val="21"/>
              </w:rPr>
            </w:pPr>
            <w:r>
              <w:rPr>
                <w:sz w:val="21"/>
                <w:szCs w:val="21"/>
              </w:rPr>
              <w:t>2</w:t>
            </w:r>
          </w:p>
        </w:tc>
        <w:tc>
          <w:tcPr>
            <w:tcW w:w="1467" w:type="dxa"/>
            <w:tcBorders>
              <w:tl2br w:val="nil"/>
              <w:tr2bl w:val="nil"/>
            </w:tcBorders>
            <w:vAlign w:val="center"/>
          </w:tcPr>
          <w:p w14:paraId="76F9C41B">
            <w:pPr>
              <w:spacing w:line="240" w:lineRule="auto"/>
              <w:jc w:val="center"/>
              <w:rPr>
                <w:sz w:val="21"/>
                <w:szCs w:val="21"/>
              </w:rPr>
            </w:pPr>
            <w:r>
              <w:rPr>
                <w:rFonts w:hint="eastAsia"/>
                <w:sz w:val="21"/>
                <w:szCs w:val="21"/>
              </w:rPr>
              <w:t>无</w:t>
            </w:r>
          </w:p>
        </w:tc>
        <w:tc>
          <w:tcPr>
            <w:tcW w:w="817" w:type="dxa"/>
            <w:tcBorders>
              <w:tl2br w:val="nil"/>
              <w:tr2bl w:val="nil"/>
            </w:tcBorders>
            <w:vAlign w:val="center"/>
          </w:tcPr>
          <w:p w14:paraId="6EA10FD1">
            <w:pPr>
              <w:spacing w:line="240" w:lineRule="auto"/>
              <w:jc w:val="center"/>
              <w:rPr>
                <w:rFonts w:hint="eastAsia"/>
                <w:sz w:val="21"/>
                <w:szCs w:val="21"/>
              </w:rPr>
            </w:pPr>
            <w:r>
              <w:rPr>
                <w:rFonts w:hint="eastAsia"/>
                <w:sz w:val="21"/>
                <w:szCs w:val="21"/>
              </w:rPr>
              <w:t>0</w:t>
            </w:r>
          </w:p>
        </w:tc>
        <w:tc>
          <w:tcPr>
            <w:tcW w:w="1416" w:type="dxa"/>
            <w:tcBorders>
              <w:tl2br w:val="nil"/>
              <w:tr2bl w:val="nil"/>
            </w:tcBorders>
            <w:vAlign w:val="center"/>
          </w:tcPr>
          <w:p w14:paraId="6C39BD53">
            <w:pPr>
              <w:spacing w:line="240" w:lineRule="auto"/>
              <w:jc w:val="center"/>
              <w:rPr>
                <w:sz w:val="21"/>
                <w:szCs w:val="21"/>
              </w:rPr>
            </w:pPr>
            <w:r>
              <w:rPr>
                <w:sz w:val="21"/>
                <w:szCs w:val="21"/>
              </w:rPr>
              <w:t>无</w:t>
            </w:r>
          </w:p>
          <w:p w14:paraId="6977A156">
            <w:pPr>
              <w:spacing w:line="240" w:lineRule="auto"/>
              <w:jc w:val="center"/>
              <w:rPr>
                <w:sz w:val="21"/>
                <w:szCs w:val="21"/>
              </w:rPr>
            </w:pPr>
            <w:r>
              <w:rPr>
                <w:sz w:val="21"/>
                <w:szCs w:val="21"/>
              </w:rPr>
              <w:t>宽度＞40m</w:t>
            </w:r>
          </w:p>
          <w:p w14:paraId="7E15AEB9">
            <w:pPr>
              <w:spacing w:line="240" w:lineRule="auto"/>
              <w:jc w:val="center"/>
              <w:rPr>
                <w:sz w:val="21"/>
                <w:szCs w:val="21"/>
              </w:rPr>
            </w:pPr>
            <w:r>
              <w:rPr>
                <w:sz w:val="21"/>
                <w:szCs w:val="21"/>
              </w:rPr>
              <w:t>宽度≤40m</w:t>
            </w:r>
          </w:p>
        </w:tc>
        <w:tc>
          <w:tcPr>
            <w:tcW w:w="1200" w:type="dxa"/>
            <w:tcBorders>
              <w:tl2br w:val="nil"/>
              <w:tr2bl w:val="nil"/>
            </w:tcBorders>
            <w:vAlign w:val="center"/>
          </w:tcPr>
          <w:p w14:paraId="1D59D5E4">
            <w:pPr>
              <w:spacing w:line="240" w:lineRule="auto"/>
              <w:jc w:val="center"/>
              <w:rPr>
                <w:sz w:val="21"/>
                <w:szCs w:val="21"/>
              </w:rPr>
            </w:pPr>
            <w:r>
              <w:rPr>
                <w:sz w:val="21"/>
                <w:szCs w:val="21"/>
              </w:rPr>
              <w:t>0</w:t>
            </w:r>
          </w:p>
          <w:p w14:paraId="66244AFC">
            <w:pPr>
              <w:spacing w:line="240" w:lineRule="auto"/>
              <w:jc w:val="center"/>
              <w:rPr>
                <w:sz w:val="21"/>
                <w:szCs w:val="21"/>
              </w:rPr>
            </w:pPr>
            <w:r>
              <w:rPr>
                <w:sz w:val="21"/>
                <w:szCs w:val="21"/>
              </w:rPr>
              <w:t>0</w:t>
            </w:r>
          </w:p>
          <w:p w14:paraId="23A20601">
            <w:pPr>
              <w:spacing w:line="240" w:lineRule="auto"/>
              <w:jc w:val="center"/>
              <w:rPr>
                <w:sz w:val="21"/>
                <w:szCs w:val="21"/>
              </w:rPr>
            </w:pPr>
            <w:r>
              <w:rPr>
                <w:sz w:val="21"/>
                <w:szCs w:val="21"/>
              </w:rPr>
              <w:t>2</w:t>
            </w:r>
          </w:p>
        </w:tc>
        <w:tc>
          <w:tcPr>
            <w:tcW w:w="1467" w:type="dxa"/>
            <w:tcBorders>
              <w:tl2br w:val="nil"/>
              <w:tr2bl w:val="nil"/>
            </w:tcBorders>
            <w:vAlign w:val="center"/>
          </w:tcPr>
          <w:p w14:paraId="3F86BB08">
            <w:pPr>
              <w:spacing w:line="240" w:lineRule="auto"/>
              <w:jc w:val="center"/>
              <w:rPr>
                <w:sz w:val="21"/>
                <w:szCs w:val="21"/>
              </w:rPr>
            </w:pPr>
            <w:r>
              <w:rPr>
                <w:rFonts w:hint="eastAsia"/>
                <w:sz w:val="21"/>
                <w:szCs w:val="21"/>
              </w:rPr>
              <w:t>无</w:t>
            </w:r>
          </w:p>
        </w:tc>
        <w:tc>
          <w:tcPr>
            <w:tcW w:w="844" w:type="dxa"/>
            <w:tcBorders>
              <w:tl2br w:val="nil"/>
              <w:tr2bl w:val="nil"/>
            </w:tcBorders>
            <w:vAlign w:val="center"/>
          </w:tcPr>
          <w:p w14:paraId="73AE2BC9">
            <w:pPr>
              <w:spacing w:line="240" w:lineRule="auto"/>
              <w:jc w:val="center"/>
              <w:rPr>
                <w:sz w:val="21"/>
                <w:szCs w:val="21"/>
              </w:rPr>
            </w:pPr>
            <w:r>
              <w:rPr>
                <w:rFonts w:hint="eastAsia"/>
                <w:sz w:val="21"/>
                <w:szCs w:val="21"/>
              </w:rPr>
              <w:t>0</w:t>
            </w:r>
          </w:p>
        </w:tc>
      </w:tr>
      <w:tr w14:paraId="4D084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033" w:type="dxa"/>
            <w:tcBorders>
              <w:tl2br w:val="nil"/>
              <w:tr2bl w:val="nil"/>
            </w:tcBorders>
            <w:vAlign w:val="center"/>
          </w:tcPr>
          <w:p w14:paraId="07B0B876">
            <w:pPr>
              <w:spacing w:line="240" w:lineRule="auto"/>
              <w:jc w:val="center"/>
              <w:rPr>
                <w:sz w:val="21"/>
                <w:szCs w:val="21"/>
              </w:rPr>
            </w:pPr>
            <w:r>
              <w:rPr>
                <w:sz w:val="21"/>
                <w:szCs w:val="21"/>
              </w:rPr>
              <w:t>小计</w:t>
            </w:r>
          </w:p>
        </w:tc>
        <w:tc>
          <w:tcPr>
            <w:tcW w:w="1423" w:type="dxa"/>
            <w:tcBorders>
              <w:tl2br w:val="nil"/>
              <w:tr2bl w:val="nil"/>
            </w:tcBorders>
            <w:vAlign w:val="center"/>
          </w:tcPr>
          <w:p w14:paraId="0F845240">
            <w:pPr>
              <w:spacing w:line="240" w:lineRule="auto"/>
              <w:jc w:val="center"/>
              <w:rPr>
                <w:sz w:val="21"/>
                <w:szCs w:val="21"/>
              </w:rPr>
            </w:pPr>
          </w:p>
        </w:tc>
        <w:tc>
          <w:tcPr>
            <w:tcW w:w="933" w:type="dxa"/>
            <w:tcBorders>
              <w:tl2br w:val="nil"/>
              <w:tr2bl w:val="nil"/>
            </w:tcBorders>
            <w:vAlign w:val="center"/>
          </w:tcPr>
          <w:p w14:paraId="18FCC628">
            <w:pPr>
              <w:spacing w:line="240" w:lineRule="auto"/>
              <w:jc w:val="center"/>
              <w:rPr>
                <w:sz w:val="21"/>
                <w:szCs w:val="21"/>
              </w:rPr>
            </w:pPr>
          </w:p>
        </w:tc>
        <w:tc>
          <w:tcPr>
            <w:tcW w:w="1467" w:type="dxa"/>
            <w:tcBorders>
              <w:tl2br w:val="nil"/>
              <w:tr2bl w:val="nil"/>
            </w:tcBorders>
            <w:vAlign w:val="center"/>
          </w:tcPr>
          <w:p w14:paraId="0F405C28">
            <w:pPr>
              <w:spacing w:line="240" w:lineRule="auto"/>
              <w:jc w:val="center"/>
              <w:rPr>
                <w:sz w:val="21"/>
                <w:szCs w:val="21"/>
              </w:rPr>
            </w:pPr>
          </w:p>
        </w:tc>
        <w:tc>
          <w:tcPr>
            <w:tcW w:w="817" w:type="dxa"/>
            <w:tcBorders>
              <w:tl2br w:val="nil"/>
              <w:tr2bl w:val="nil"/>
            </w:tcBorders>
            <w:vAlign w:val="center"/>
          </w:tcPr>
          <w:p w14:paraId="7B7F81B9">
            <w:pPr>
              <w:spacing w:line="240" w:lineRule="auto"/>
              <w:jc w:val="center"/>
              <w:rPr>
                <w:rFonts w:hint="eastAsia"/>
                <w:sz w:val="21"/>
                <w:szCs w:val="21"/>
              </w:rPr>
            </w:pPr>
            <w:r>
              <w:rPr>
                <w:rFonts w:hint="eastAsia"/>
                <w:sz w:val="21"/>
                <w:szCs w:val="21"/>
              </w:rPr>
              <w:t>10</w:t>
            </w:r>
          </w:p>
        </w:tc>
        <w:tc>
          <w:tcPr>
            <w:tcW w:w="1416" w:type="dxa"/>
            <w:tcBorders>
              <w:tl2br w:val="nil"/>
              <w:tr2bl w:val="nil"/>
            </w:tcBorders>
            <w:vAlign w:val="center"/>
          </w:tcPr>
          <w:p w14:paraId="488BB6FC">
            <w:pPr>
              <w:spacing w:line="240" w:lineRule="auto"/>
              <w:jc w:val="center"/>
              <w:rPr>
                <w:sz w:val="21"/>
                <w:szCs w:val="21"/>
              </w:rPr>
            </w:pPr>
          </w:p>
        </w:tc>
        <w:tc>
          <w:tcPr>
            <w:tcW w:w="1200" w:type="dxa"/>
            <w:tcBorders>
              <w:tl2br w:val="nil"/>
              <w:tr2bl w:val="nil"/>
            </w:tcBorders>
            <w:vAlign w:val="center"/>
          </w:tcPr>
          <w:p w14:paraId="3FCFA7D7">
            <w:pPr>
              <w:spacing w:line="240" w:lineRule="auto"/>
              <w:jc w:val="center"/>
              <w:rPr>
                <w:sz w:val="21"/>
                <w:szCs w:val="21"/>
              </w:rPr>
            </w:pPr>
          </w:p>
        </w:tc>
        <w:tc>
          <w:tcPr>
            <w:tcW w:w="1467" w:type="dxa"/>
            <w:tcBorders>
              <w:tl2br w:val="nil"/>
              <w:tr2bl w:val="nil"/>
            </w:tcBorders>
            <w:vAlign w:val="center"/>
          </w:tcPr>
          <w:p w14:paraId="06970978">
            <w:pPr>
              <w:spacing w:line="240" w:lineRule="auto"/>
              <w:jc w:val="center"/>
              <w:rPr>
                <w:sz w:val="21"/>
                <w:szCs w:val="21"/>
              </w:rPr>
            </w:pPr>
          </w:p>
        </w:tc>
        <w:tc>
          <w:tcPr>
            <w:tcW w:w="844" w:type="dxa"/>
            <w:tcBorders>
              <w:tl2br w:val="nil"/>
              <w:tr2bl w:val="nil"/>
            </w:tcBorders>
            <w:vAlign w:val="center"/>
          </w:tcPr>
          <w:p w14:paraId="347E747D">
            <w:pPr>
              <w:spacing w:line="240" w:lineRule="auto"/>
              <w:jc w:val="center"/>
              <w:rPr>
                <w:sz w:val="21"/>
                <w:szCs w:val="21"/>
              </w:rPr>
            </w:pPr>
            <w:r>
              <w:rPr>
                <w:rFonts w:hint="eastAsia"/>
                <w:sz w:val="21"/>
                <w:szCs w:val="21"/>
              </w:rPr>
              <w:t>4</w:t>
            </w:r>
          </w:p>
        </w:tc>
      </w:tr>
    </w:tbl>
    <w:p w14:paraId="7D8D39D0">
      <w:pPr>
        <w:pStyle w:val="4"/>
        <w:tabs>
          <w:tab w:val="left" w:pos="0"/>
          <w:tab w:val="left" w:pos="180"/>
        </w:tabs>
        <w:spacing w:after="120"/>
        <w:rPr>
          <w:rStyle w:val="49"/>
          <w:b/>
        </w:rPr>
        <w:sectPr>
          <w:pgSz w:w="16838" w:h="11906" w:orient="landscape"/>
          <w:pgMar w:top="1803" w:right="1440" w:bottom="1803" w:left="1440" w:header="992" w:footer="992" w:gutter="0"/>
          <w:cols w:space="720" w:num="1"/>
          <w:docGrid w:linePitch="332" w:charSpace="0"/>
        </w:sectPr>
      </w:pPr>
    </w:p>
    <w:p w14:paraId="649938BE">
      <w:r>
        <w:rPr>
          <w:rFonts w:hint="eastAsia"/>
          <w:lang w:val="en-US" w:eastAsia="zh-CN"/>
        </w:rPr>
        <w:t>3</w:t>
      </w:r>
      <w:r>
        <w:t>.3.2.2风险源计算</w:t>
      </w:r>
    </w:p>
    <w:p w14:paraId="2ACDB3D0">
      <w:pPr>
        <w:pStyle w:val="17"/>
        <w:adjustRightInd w:val="0"/>
        <w:snapToGrid w:val="0"/>
        <w:spacing w:before="0" w:beforeAutospacing="0" w:after="0" w:afterAutospacing="0"/>
        <w:ind w:firstLine="480" w:firstLineChars="200"/>
      </w:pPr>
      <w:r>
        <w:t>通过风险源项分析并根据风险源所在保护区内的影响程度和影响范围，按照固定源、流动源和非点源分别对饮用水源保护区存在的环境风险进行评价。</w:t>
      </w:r>
    </w:p>
    <w:p w14:paraId="31EFC539">
      <w:pPr>
        <w:pStyle w:val="17"/>
        <w:adjustRightInd w:val="0"/>
        <w:snapToGrid w:val="0"/>
        <w:spacing w:before="0" w:beforeAutospacing="0" w:after="0" w:afterAutospacing="0"/>
        <w:ind w:firstLine="480" w:firstLineChars="200"/>
      </w:pPr>
      <w:r>
        <w:t>固定源：R</w:t>
      </w:r>
      <w:r>
        <w:rPr>
          <w:vertAlign w:val="subscript"/>
        </w:rPr>
        <w:t>p</w:t>
      </w:r>
      <w:r>
        <w:t>=P</w:t>
      </w:r>
      <w:r>
        <w:rPr>
          <w:vertAlign w:val="subscript"/>
        </w:rPr>
        <w:t>1</w:t>
      </w:r>
      <w:r>
        <w:t>+P</w:t>
      </w:r>
      <w:r>
        <w:rPr>
          <w:vertAlign w:val="subscript"/>
        </w:rPr>
        <w:t>2</w:t>
      </w:r>
      <w:r>
        <w:t>+P</w:t>
      </w:r>
      <w:r>
        <w:rPr>
          <w:vertAlign w:val="subscript"/>
        </w:rPr>
        <w:t>3</w:t>
      </w:r>
    </w:p>
    <w:p w14:paraId="1D75D106">
      <w:pPr>
        <w:pStyle w:val="17"/>
        <w:adjustRightInd w:val="0"/>
        <w:snapToGrid w:val="0"/>
        <w:spacing w:before="0" w:beforeAutospacing="0" w:after="0" w:afterAutospacing="0"/>
        <w:ind w:firstLine="480" w:firstLineChars="200"/>
      </w:pPr>
      <w:r>
        <w:t>流动源：R</w:t>
      </w:r>
      <w:r>
        <w:rPr>
          <w:vertAlign w:val="subscript"/>
        </w:rPr>
        <w:t>f</w:t>
      </w:r>
      <w:r>
        <w:t>=F</w:t>
      </w:r>
      <w:r>
        <w:rPr>
          <w:vertAlign w:val="subscript"/>
        </w:rPr>
        <w:t>1</w:t>
      </w:r>
      <w:r>
        <w:t>+F</w:t>
      </w:r>
      <w:r>
        <w:rPr>
          <w:vertAlign w:val="subscript"/>
        </w:rPr>
        <w:t>2</w:t>
      </w:r>
      <w:r>
        <w:t>+F</w:t>
      </w:r>
      <w:r>
        <w:rPr>
          <w:vertAlign w:val="subscript"/>
        </w:rPr>
        <w:t>3</w:t>
      </w:r>
    </w:p>
    <w:p w14:paraId="0DCE71D3">
      <w:pPr>
        <w:pStyle w:val="17"/>
        <w:adjustRightInd w:val="0"/>
        <w:snapToGrid w:val="0"/>
        <w:spacing w:before="0" w:beforeAutospacing="0" w:after="0" w:afterAutospacing="0"/>
        <w:ind w:firstLine="480" w:firstLineChars="200"/>
      </w:pPr>
      <w:r>
        <w:rPr>
          <w:rFonts w:hint="eastAsia"/>
        </w:rPr>
        <w:t>非点</w:t>
      </w:r>
      <w:r>
        <w:t>源：R</w:t>
      </w:r>
      <w:r>
        <w:rPr>
          <w:vertAlign w:val="subscript"/>
        </w:rPr>
        <w:t>y</w:t>
      </w:r>
      <w:r>
        <w:t>=Y</w:t>
      </w:r>
      <w:r>
        <w:rPr>
          <w:vertAlign w:val="subscript"/>
        </w:rPr>
        <w:t>1</w:t>
      </w:r>
      <w:r>
        <w:t>+Y</w:t>
      </w:r>
      <w:r>
        <w:rPr>
          <w:vertAlign w:val="subscript"/>
        </w:rPr>
        <w:t>2</w:t>
      </w:r>
      <w:r>
        <w:t>+Y</w:t>
      </w:r>
      <w:r>
        <w:rPr>
          <w:vertAlign w:val="subscript"/>
        </w:rPr>
        <w:t>3</w:t>
      </w:r>
    </w:p>
    <w:p w14:paraId="01FF7911">
      <w:pPr>
        <w:pStyle w:val="17"/>
        <w:adjustRightInd w:val="0"/>
        <w:snapToGrid w:val="0"/>
        <w:spacing w:before="0" w:beforeAutospacing="0" w:after="0" w:afterAutospacing="0"/>
        <w:ind w:firstLine="480" w:firstLineChars="200"/>
        <w:rPr>
          <w:spacing w:val="6"/>
        </w:rPr>
      </w:pPr>
      <w:r>
        <w:t>R</w:t>
      </w:r>
      <w:r>
        <w:rPr>
          <w:vertAlign w:val="subscript"/>
        </w:rPr>
        <w:t>p</w:t>
      </w:r>
      <w:r>
        <w:rPr>
          <w:spacing w:val="6"/>
        </w:rPr>
        <w:t>、</w:t>
      </w:r>
      <w:r>
        <w:t>R</w:t>
      </w:r>
      <w:r>
        <w:rPr>
          <w:vertAlign w:val="subscript"/>
        </w:rPr>
        <w:t>f</w:t>
      </w:r>
      <w:r>
        <w:rPr>
          <w:spacing w:val="6"/>
        </w:rPr>
        <w:t>、</w:t>
      </w:r>
      <w:r>
        <w:t>R</w:t>
      </w:r>
      <w:r>
        <w:rPr>
          <w:vertAlign w:val="subscript"/>
        </w:rPr>
        <w:t>y</w:t>
      </w:r>
      <w:r>
        <w:rPr>
          <w:spacing w:val="6"/>
        </w:rPr>
        <w:t>分别为表3-</w:t>
      </w:r>
      <w:r>
        <w:rPr>
          <w:rFonts w:hint="eastAsia"/>
          <w:spacing w:val="6"/>
        </w:rPr>
        <w:t>15</w:t>
      </w:r>
      <w:r>
        <w:rPr>
          <w:spacing w:val="6"/>
        </w:rPr>
        <w:t>，表3-1</w:t>
      </w:r>
      <w:r>
        <w:rPr>
          <w:rFonts w:hint="eastAsia"/>
          <w:spacing w:val="6"/>
        </w:rPr>
        <w:t>6</w:t>
      </w:r>
      <w:r>
        <w:rPr>
          <w:spacing w:val="6"/>
        </w:rPr>
        <w:t>和表3-1</w:t>
      </w:r>
      <w:r>
        <w:rPr>
          <w:rFonts w:hint="eastAsia"/>
          <w:spacing w:val="6"/>
        </w:rPr>
        <w:t>7</w:t>
      </w:r>
      <w:r>
        <w:rPr>
          <w:spacing w:val="6"/>
        </w:rPr>
        <w:t>中所列的各种潜在风险源的评分值。</w:t>
      </w:r>
    </w:p>
    <w:p w14:paraId="4C4B63C0">
      <w:pPr>
        <w:pStyle w:val="17"/>
        <w:adjustRightInd w:val="0"/>
        <w:snapToGrid w:val="0"/>
        <w:spacing w:before="0" w:beforeAutospacing="0" w:after="0" w:afterAutospacing="0"/>
        <w:ind w:firstLine="504" w:firstLineChars="200"/>
        <w:rPr>
          <w:spacing w:val="6"/>
        </w:rPr>
      </w:pPr>
      <w:r>
        <w:rPr>
          <w:spacing w:val="6"/>
        </w:rPr>
        <w:t>通过计算，水源地保护区环境风险值为：</w:t>
      </w:r>
    </w:p>
    <w:p w14:paraId="58CFA92F">
      <w:pPr>
        <w:pStyle w:val="17"/>
        <w:adjustRightInd w:val="0"/>
        <w:snapToGrid w:val="0"/>
        <w:spacing w:before="0" w:beforeAutospacing="0" w:after="0" w:afterAutospacing="0"/>
        <w:ind w:firstLine="480" w:firstLineChars="200"/>
      </w:pPr>
      <w:r>
        <w:t>Rp=P1+P2=</w:t>
      </w:r>
      <w:r>
        <w:rPr>
          <w:rFonts w:hint="eastAsia"/>
        </w:rPr>
        <w:t>0</w:t>
      </w:r>
      <w:r>
        <w:t>；</w:t>
      </w:r>
    </w:p>
    <w:p w14:paraId="1A59A28A">
      <w:pPr>
        <w:pStyle w:val="17"/>
        <w:adjustRightInd w:val="0"/>
        <w:snapToGrid w:val="0"/>
        <w:spacing w:before="0" w:beforeAutospacing="0" w:after="0" w:afterAutospacing="0"/>
        <w:ind w:firstLine="480" w:firstLineChars="200"/>
      </w:pPr>
      <w:r>
        <w:t>Rf=F1+F2=</w:t>
      </w:r>
      <w:r>
        <w:rPr>
          <w:rFonts w:hint="eastAsia"/>
        </w:rPr>
        <w:t>0</w:t>
      </w:r>
      <w:r>
        <w:t>；</w:t>
      </w:r>
    </w:p>
    <w:p w14:paraId="56F08355">
      <w:pPr>
        <w:pStyle w:val="17"/>
        <w:adjustRightInd w:val="0"/>
        <w:snapToGrid w:val="0"/>
        <w:spacing w:before="0" w:beforeAutospacing="0" w:after="0" w:afterAutospacing="0"/>
        <w:ind w:firstLine="480" w:firstLineChars="200"/>
        <w:rPr>
          <w:spacing w:val="6"/>
        </w:rPr>
      </w:pPr>
      <w:r>
        <w:t>Ry=Y1+Y2=1</w:t>
      </w:r>
      <w:r>
        <w:rPr>
          <w:rFonts w:hint="eastAsia"/>
        </w:rPr>
        <w:t>4</w:t>
      </w:r>
      <w:r>
        <w:t>。</w:t>
      </w:r>
    </w:p>
    <w:p w14:paraId="43FD572F">
      <w:r>
        <w:rPr>
          <w:rFonts w:hint="eastAsia"/>
          <w:lang w:val="en-US" w:eastAsia="zh-CN"/>
        </w:rPr>
        <w:t>3</w:t>
      </w:r>
      <w:r>
        <w:t>.3.2.3风险源评估</w:t>
      </w:r>
    </w:p>
    <w:p w14:paraId="39828515">
      <w:pPr>
        <w:pStyle w:val="17"/>
        <w:adjustRightInd w:val="0"/>
        <w:snapToGrid w:val="0"/>
        <w:spacing w:before="0" w:beforeAutospacing="0" w:after="0" w:afterAutospacing="0"/>
        <w:ind w:firstLine="480" w:firstLineChars="200"/>
        <w:jc w:val="both"/>
      </w:pPr>
      <w:r>
        <w:t>一般来说，环境风险值的可接受程度分别以R</w:t>
      </w:r>
      <w:r>
        <w:rPr>
          <w:vertAlign w:val="subscript"/>
        </w:rPr>
        <w:t>p</w:t>
      </w:r>
      <w:r>
        <w:rPr>
          <w:spacing w:val="6"/>
        </w:rPr>
        <w:t>（或</w:t>
      </w:r>
      <w:r>
        <w:t>R</w:t>
      </w:r>
      <w:r>
        <w:rPr>
          <w:vertAlign w:val="subscript"/>
        </w:rPr>
        <w:t>f</w:t>
      </w:r>
      <w:r>
        <w:rPr>
          <w:spacing w:val="6"/>
        </w:rPr>
        <w:t>、</w:t>
      </w:r>
      <w:r>
        <w:t>R</w:t>
      </w:r>
      <w:r>
        <w:rPr>
          <w:vertAlign w:val="subscript"/>
        </w:rPr>
        <w:t>y</w:t>
      </w:r>
      <w:r>
        <w:rPr>
          <w:spacing w:val="6"/>
        </w:rPr>
        <w:t>）≤3作为背景值，当风险值超过此限，当3＜</w:t>
      </w:r>
      <w:r>
        <w:t>R</w:t>
      </w:r>
      <w:r>
        <w:rPr>
          <w:vertAlign w:val="subscript"/>
        </w:rPr>
        <w:t>p</w:t>
      </w:r>
      <w:r>
        <w:rPr>
          <w:spacing w:val="6"/>
        </w:rPr>
        <w:t>（或</w:t>
      </w:r>
      <w:r>
        <w:t>R</w:t>
      </w:r>
      <w:r>
        <w:rPr>
          <w:vertAlign w:val="subscript"/>
        </w:rPr>
        <w:t>f</w:t>
      </w:r>
      <w:r>
        <w:rPr>
          <w:spacing w:val="6"/>
        </w:rPr>
        <w:t>、</w:t>
      </w:r>
      <w:r>
        <w:t>R</w:t>
      </w:r>
      <w:r>
        <w:rPr>
          <w:vertAlign w:val="subscript"/>
        </w:rPr>
        <w:t>y</w:t>
      </w:r>
      <w:r>
        <w:rPr>
          <w:spacing w:val="6"/>
        </w:rPr>
        <w:t>）≤7时，应按照</w:t>
      </w:r>
      <w:r>
        <w:t>《地表饮用水源保护区环境应急管理工作指南（试行）》采取风险防范措施；当7＜Rp（或Rf、Ry）≤9时，应采取风险预警措施；当9＜Rp（或Rf、Ry）时，应采取风险应急措施。</w:t>
      </w:r>
    </w:p>
    <w:p w14:paraId="26C30B28">
      <w:pPr>
        <w:pStyle w:val="17"/>
        <w:adjustRightInd w:val="0"/>
        <w:snapToGrid w:val="0"/>
        <w:spacing w:before="0" w:beforeAutospacing="0" w:after="0" w:afterAutospacing="0"/>
        <w:ind w:firstLine="480" w:firstLineChars="200"/>
        <w:jc w:val="both"/>
      </w:pPr>
      <w:r>
        <w:t>因此，</w:t>
      </w:r>
      <w:r>
        <w:rPr>
          <w:rFonts w:hint="eastAsia"/>
        </w:rPr>
        <w:t>绥宁县关峡苗族乡兰溪水饮用水水源地保护区</w:t>
      </w:r>
      <w:r>
        <w:t>需要采取风险应急措施。</w:t>
      </w:r>
    </w:p>
    <w:p w14:paraId="266CFDFD">
      <w:pPr>
        <w:pStyle w:val="4"/>
        <w:rPr>
          <w:rFonts w:hint="eastAsia"/>
        </w:rPr>
      </w:pPr>
      <w:bookmarkStart w:id="234" w:name="_Toc529124863"/>
      <w:bookmarkStart w:id="235" w:name="_Toc18674"/>
      <w:bookmarkStart w:id="236" w:name="_Toc151"/>
      <w:bookmarkStart w:id="237" w:name="_Toc492841620"/>
      <w:bookmarkStart w:id="238" w:name="_Toc1312"/>
      <w:bookmarkStart w:id="239" w:name="_Toc11215_WPSOffice_Level2"/>
      <w:r>
        <w:rPr>
          <w:rFonts w:hint="eastAsia"/>
          <w:lang w:val="en-US" w:eastAsia="zh-CN"/>
        </w:rPr>
        <w:t>3</w:t>
      </w:r>
      <w:r>
        <w:rPr>
          <w:rFonts w:hint="eastAsia"/>
        </w:rPr>
        <w:t>.4水源地保护区现有应急防控体系</w:t>
      </w:r>
      <w:bookmarkEnd w:id="234"/>
      <w:r>
        <w:rPr>
          <w:rFonts w:hint="eastAsia"/>
        </w:rPr>
        <w:t>及应急能力建设</w:t>
      </w:r>
      <w:bookmarkEnd w:id="235"/>
      <w:bookmarkEnd w:id="236"/>
    </w:p>
    <w:p w14:paraId="5CD770A7">
      <w:pPr>
        <w:pStyle w:val="5"/>
        <w:rPr>
          <w:rFonts w:hint="eastAsia"/>
          <w:bCs/>
          <w:sz w:val="28"/>
          <w:szCs w:val="28"/>
        </w:rPr>
      </w:pPr>
      <w:bookmarkStart w:id="240" w:name="_Toc3332"/>
      <w:r>
        <w:rPr>
          <w:rFonts w:hint="eastAsia"/>
          <w:lang w:val="en-US" w:eastAsia="zh-CN"/>
        </w:rPr>
        <w:t>3</w:t>
      </w:r>
      <w:r>
        <w:rPr>
          <w:rFonts w:hint="eastAsia"/>
        </w:rPr>
        <w:t>.4.1</w:t>
      </w:r>
      <w:r>
        <w:rPr>
          <w:rFonts w:hint="eastAsia"/>
          <w:bCs/>
          <w:sz w:val="28"/>
          <w:szCs w:val="28"/>
        </w:rPr>
        <w:t>水源地保护区风险管理及排查制度建设情况</w:t>
      </w:r>
      <w:bookmarkEnd w:id="240"/>
    </w:p>
    <w:p w14:paraId="2F6A6555">
      <w:pPr>
        <w:pStyle w:val="17"/>
        <w:adjustRightInd w:val="0"/>
        <w:snapToGrid w:val="0"/>
        <w:spacing w:before="0" w:beforeAutospacing="0" w:after="0" w:afterAutospacing="0"/>
        <w:ind w:firstLine="480" w:firstLineChars="200"/>
      </w:pPr>
      <w:r>
        <w:rPr>
          <w:rFonts w:hint="eastAsia"/>
        </w:rPr>
        <w:t>绥宁县</w:t>
      </w:r>
      <w:r>
        <w:t>政府根据《饮用水水源保护区污染防治管理规定》（[89]环管字第201号）要求</w:t>
      </w:r>
      <w:r>
        <w:rPr>
          <w:rFonts w:hint="eastAsia"/>
        </w:rPr>
        <w:t>和湖南省千吨万人饮用水水源地环境问题整治清单要求，绥宁县政府成立了绥宁县关峡水厂“千吨万人”饮用水水源地保护整治工作小组，对整治工作进行统一领导和工作推进，并于2020年8月11日之前全部整改完毕</w:t>
      </w:r>
      <w:r>
        <w:t>。</w:t>
      </w:r>
    </w:p>
    <w:p w14:paraId="4F3E06BC">
      <w:pPr>
        <w:pStyle w:val="17"/>
        <w:adjustRightInd w:val="0"/>
        <w:snapToGrid w:val="0"/>
        <w:spacing w:before="0" w:beforeAutospacing="0" w:after="0" w:afterAutospacing="0"/>
        <w:ind w:firstLine="480" w:firstLineChars="200"/>
      </w:pPr>
      <w:r>
        <w:rPr>
          <w:rFonts w:hint="eastAsia"/>
        </w:rPr>
        <w:t>绥宁县关峡水厂“千吨万人”饮用水水源地保护整治工作小组对关峡水厂二级保护区陆域内5户居民生活污水通过120m收集管网，均采用三格化粪池处置后，4户就近接入2个6平方米小湿地，1户因地制宜引入鱼塘消纳，共投资5万元，确保了生活污水不外排。</w:t>
      </w:r>
    </w:p>
    <w:p w14:paraId="510E548A">
      <w:pPr>
        <w:pStyle w:val="17"/>
        <w:adjustRightInd w:val="0"/>
        <w:snapToGrid w:val="0"/>
        <w:spacing w:before="0" w:beforeAutospacing="0" w:after="0" w:afterAutospacing="0"/>
        <w:ind w:firstLine="480" w:firstLineChars="200"/>
        <w:jc w:val="both"/>
        <w:rPr>
          <w:rFonts w:hint="eastAsia"/>
        </w:rPr>
      </w:pPr>
      <w:r>
        <w:rPr>
          <w:rFonts w:hint="eastAsia"/>
        </w:rPr>
        <w:t>目前保护区未建立专职的应急管理部门，主要由绥宁县自来水公司兼职负责绥宁县关峡苗族乡兰溪水饮用水水源地保护区安全预警与应急救援，突发环境事件时由绥宁县自来水公司上报至绥宁县应急管理局跟邵阳市生态环境局绥宁分局等。</w:t>
      </w:r>
    </w:p>
    <w:p w14:paraId="27E1919F">
      <w:pPr>
        <w:pStyle w:val="17"/>
        <w:adjustRightInd w:val="0"/>
        <w:snapToGrid w:val="0"/>
        <w:spacing w:before="0" w:beforeAutospacing="0" w:after="0" w:afterAutospacing="0"/>
        <w:ind w:firstLine="480" w:firstLineChars="200"/>
        <w:rPr>
          <w:rFonts w:hint="eastAsia"/>
        </w:rPr>
      </w:pPr>
      <w:r>
        <w:t>因此，水源地环境风险监管有待完善，还需补充下述制度：水源地环境隐患排查治理制度、水源地应急演练管理制度、水源地环境风险宣传管理制度等</w:t>
      </w:r>
      <w:r>
        <w:rPr>
          <w:rFonts w:hint="eastAsia"/>
        </w:rPr>
        <w:t>。</w:t>
      </w:r>
    </w:p>
    <w:p w14:paraId="21B943F4">
      <w:pPr>
        <w:pStyle w:val="5"/>
        <w:rPr>
          <w:rFonts w:hint="eastAsia"/>
        </w:rPr>
      </w:pPr>
      <w:bookmarkStart w:id="241" w:name="_Toc9596"/>
      <w:bookmarkStart w:id="242" w:name="_Toc529124864"/>
      <w:r>
        <w:rPr>
          <w:rFonts w:hint="eastAsia"/>
          <w:lang w:val="en-US" w:eastAsia="zh-CN"/>
        </w:rPr>
        <w:t>3</w:t>
      </w:r>
      <w:r>
        <w:rPr>
          <w:rFonts w:hint="eastAsia"/>
        </w:rPr>
        <w:t>.4</w:t>
      </w:r>
      <w:r>
        <w:t>.</w:t>
      </w:r>
      <w:r>
        <w:rPr>
          <w:rFonts w:hint="eastAsia"/>
        </w:rPr>
        <w:t>2</w:t>
      </w:r>
      <w:r>
        <w:t xml:space="preserve"> </w:t>
      </w:r>
      <w:r>
        <w:rPr>
          <w:rFonts w:hint="eastAsia"/>
        </w:rPr>
        <w:t>应急能力评估</w:t>
      </w:r>
      <w:bookmarkEnd w:id="241"/>
      <w:bookmarkEnd w:id="242"/>
    </w:p>
    <w:p w14:paraId="20EF4447">
      <w:pPr>
        <w:pStyle w:val="6"/>
        <w:rPr>
          <w:rFonts w:hint="eastAsia"/>
        </w:rPr>
      </w:pPr>
      <w:r>
        <w:rPr>
          <w:rFonts w:hint="eastAsia"/>
          <w:lang w:val="en-US" w:eastAsia="zh-CN"/>
        </w:rPr>
        <w:t>3</w:t>
      </w:r>
      <w:r>
        <w:rPr>
          <w:rFonts w:hint="eastAsia"/>
        </w:rPr>
        <w:t>.4</w:t>
      </w:r>
      <w:r>
        <w:t>.</w:t>
      </w:r>
      <w:r>
        <w:rPr>
          <w:rFonts w:hint="eastAsia"/>
        </w:rPr>
        <w:t>2</w:t>
      </w:r>
      <w:r>
        <w:t>.1</w:t>
      </w:r>
      <w:r>
        <w:rPr>
          <w:rFonts w:hint="eastAsia"/>
        </w:rPr>
        <w:t>现有应急能力情况说明</w:t>
      </w:r>
    </w:p>
    <w:p w14:paraId="1BC82692">
      <w:pPr>
        <w:pStyle w:val="17"/>
        <w:adjustRightInd w:val="0"/>
        <w:snapToGrid w:val="0"/>
        <w:spacing w:before="0" w:beforeAutospacing="0" w:after="0" w:afterAutospacing="0"/>
        <w:ind w:firstLine="480" w:firstLineChars="200"/>
        <w:jc w:val="both"/>
        <w:rPr>
          <w:rFonts w:hint="eastAsia"/>
          <w:sz w:val="21"/>
          <w:szCs w:val="21"/>
        </w:rPr>
      </w:pPr>
      <w:r>
        <w:rPr>
          <w:rFonts w:hint="eastAsia"/>
        </w:rPr>
        <w:t>（1）根据现场调查，水源地保护区沿岸及周边设立了界碑6块、宣传牌1块、交通警示牌2块等</w:t>
      </w:r>
    </w:p>
    <w:p w14:paraId="0449C365">
      <w:pPr>
        <w:pStyle w:val="17"/>
        <w:adjustRightInd w:val="0"/>
        <w:snapToGrid w:val="0"/>
        <w:spacing w:before="0" w:beforeAutospacing="0" w:after="0" w:afterAutospacing="0"/>
        <w:ind w:firstLine="480" w:firstLineChars="200"/>
        <w:rPr>
          <w:rFonts w:hint="eastAsia"/>
        </w:rPr>
      </w:pPr>
      <w:r>
        <w:rPr>
          <w:rFonts w:hint="eastAsia"/>
        </w:rPr>
        <w:t>（2）水源地保护区内无规模化畜禽养殖，已完成隔离栏设置；</w:t>
      </w:r>
    </w:p>
    <w:p w14:paraId="2DCB652F">
      <w:pPr>
        <w:pStyle w:val="17"/>
        <w:adjustRightInd w:val="0"/>
        <w:snapToGrid w:val="0"/>
        <w:spacing w:before="0" w:beforeAutospacing="0" w:after="0" w:afterAutospacing="0"/>
        <w:ind w:firstLine="480" w:firstLineChars="200"/>
        <w:rPr>
          <w:rFonts w:hint="eastAsia"/>
        </w:rPr>
      </w:pPr>
      <w:r>
        <w:rPr>
          <w:rFonts w:hint="eastAsia"/>
        </w:rPr>
        <w:t>（3）水厂取水口的水源地管理机构由绥宁县自来水公司负责日常管理，绥宁县住建局负责监督；</w:t>
      </w:r>
    </w:p>
    <w:p w14:paraId="1C0B3FCF">
      <w:pPr>
        <w:pStyle w:val="17"/>
        <w:adjustRightInd w:val="0"/>
        <w:snapToGrid w:val="0"/>
        <w:spacing w:before="0" w:beforeAutospacing="0" w:after="0" w:afterAutospacing="0"/>
        <w:ind w:firstLine="480" w:firstLineChars="200"/>
        <w:rPr>
          <w:rFonts w:hint="eastAsia"/>
        </w:rPr>
      </w:pPr>
      <w:r>
        <w:rPr>
          <w:rFonts w:hint="eastAsia"/>
        </w:rPr>
        <w:t>（4）已建立完善的水源保护区监测体系，保护区内水厂应急预案未编制；</w:t>
      </w:r>
    </w:p>
    <w:p w14:paraId="64FEAAB6">
      <w:pPr>
        <w:ind w:firstLine="480"/>
        <w:rPr>
          <w:rFonts w:hint="eastAsia"/>
        </w:rPr>
      </w:pPr>
      <w:r>
        <w:rPr>
          <w:rFonts w:hint="eastAsia"/>
        </w:rPr>
        <w:t>（5）绥宁县关峡水厂定期会对取水口河段水质进行常规检测，绥宁县生态环境监测站</w:t>
      </w:r>
      <w:r>
        <w:t>对</w:t>
      </w:r>
      <w:r>
        <w:rPr>
          <w:rFonts w:hint="eastAsia"/>
        </w:rPr>
        <w:t>绥宁县关峡苗族乡兰溪水饮用水水源地保护区</w:t>
      </w:r>
      <w:r>
        <w:t>每季度采样监测1次，如遇异常情况，则须加密监测。每2年开展1次水质全分析监测</w:t>
      </w:r>
      <w:r>
        <w:rPr>
          <w:rFonts w:hint="eastAsia"/>
        </w:rPr>
        <w:t>。</w:t>
      </w:r>
    </w:p>
    <w:p w14:paraId="68191820">
      <w:pPr>
        <w:pStyle w:val="6"/>
        <w:rPr>
          <w:rFonts w:hint="eastAsia"/>
          <w:bCs/>
          <w:sz w:val="28"/>
          <w:szCs w:val="28"/>
        </w:rPr>
      </w:pPr>
      <w:r>
        <w:rPr>
          <w:rFonts w:hint="eastAsia"/>
          <w:lang w:val="en-US" w:eastAsia="zh-CN"/>
        </w:rPr>
        <w:t>3</w:t>
      </w:r>
      <w:r>
        <w:rPr>
          <w:rFonts w:hint="eastAsia"/>
        </w:rPr>
        <w:t>.4.2.2</w:t>
      </w:r>
      <w:r>
        <w:rPr>
          <w:rFonts w:hint="eastAsia"/>
          <w:bCs/>
          <w:sz w:val="28"/>
          <w:szCs w:val="28"/>
        </w:rPr>
        <w:t>水源地水质预警监测</w:t>
      </w:r>
    </w:p>
    <w:p w14:paraId="6D5E289E">
      <w:pPr>
        <w:ind w:firstLine="480"/>
        <w:rPr>
          <w:rFonts w:hint="eastAsia" w:ascii="宋体" w:hAnsi="宋体"/>
        </w:rPr>
      </w:pPr>
      <w:r>
        <w:rPr>
          <w:rFonts w:hint="eastAsia" w:ascii="宋体" w:hAnsi="宋体"/>
        </w:rPr>
        <w:t>绥宁县关峡水厂兰溪集中式饮用水源地保护区的常规监测工作由绥宁县</w:t>
      </w:r>
      <w:r>
        <w:rPr>
          <w:rFonts w:hint="eastAsia"/>
        </w:rPr>
        <w:t>生态环境站</w:t>
      </w:r>
      <w:r>
        <w:rPr>
          <w:rFonts w:hint="eastAsia" w:ascii="宋体" w:hAnsi="宋体"/>
        </w:rPr>
        <w:t>完成。</w:t>
      </w:r>
    </w:p>
    <w:p w14:paraId="769CC744">
      <w:pPr>
        <w:ind w:firstLine="480"/>
        <w:rPr>
          <w:rFonts w:hint="eastAsia"/>
        </w:rPr>
      </w:pPr>
      <w:r>
        <w:rPr>
          <w:rFonts w:hint="eastAsia"/>
        </w:rPr>
        <w:t>设置常规监测断面和预警断面，常规监测断面：绥宁县关峡水厂水源地取水口上游</w:t>
      </w:r>
      <w:r>
        <w:t>100</w:t>
      </w:r>
      <w:r>
        <w:rPr>
          <w:rFonts w:hint="eastAsia"/>
        </w:rPr>
        <w:t>米处设一个一级保护区监测断面；预警断面：</w:t>
      </w:r>
      <w:r>
        <w:rPr>
          <w:rFonts w:hint="eastAsia"/>
          <w:u w:val="wave"/>
        </w:rPr>
        <w:t>二级保护区上游</w:t>
      </w:r>
      <w:r>
        <w:rPr>
          <w:rFonts w:hint="eastAsia"/>
          <w:u w:val="wave"/>
          <w:lang w:val="en-US" w:eastAsia="zh-CN"/>
        </w:rPr>
        <w:t>4</w:t>
      </w:r>
      <w:r>
        <w:rPr>
          <w:u w:val="wave"/>
        </w:rPr>
        <w:t>00</w:t>
      </w:r>
      <w:r>
        <w:rPr>
          <w:rFonts w:hint="eastAsia"/>
          <w:u w:val="wave"/>
        </w:rPr>
        <w:t>米处设一个预警断面。</w:t>
      </w:r>
    </w:p>
    <w:p w14:paraId="66CB3BA4">
      <w:pPr>
        <w:ind w:firstLine="480"/>
        <w:rPr>
          <w:rFonts w:hint="eastAsia"/>
        </w:rPr>
      </w:pPr>
      <w:r>
        <w:rPr>
          <w:rFonts w:hint="eastAsia"/>
        </w:rPr>
        <w:t>监测频次：对绥宁县关峡水厂饮用水水源地每季度采样监测1次，如遇异常情况，则须加密监测。每2年开展1次水质全分析监测。</w:t>
      </w:r>
    </w:p>
    <w:p w14:paraId="03BD12AD">
      <w:pPr>
        <w:ind w:firstLine="480"/>
      </w:pPr>
      <w:r>
        <w:rPr>
          <w:rFonts w:hint="eastAsia"/>
        </w:rPr>
        <w:t>每季度监测项目：每季度监测项目：《地表水环境质量标准》（</w:t>
      </w:r>
      <w:r>
        <w:t>GB3838-2002</w:t>
      </w:r>
      <w:r>
        <w:rPr>
          <w:rFonts w:hint="eastAsia"/>
        </w:rPr>
        <w:t>）表</w:t>
      </w:r>
      <w:r>
        <w:t>1</w:t>
      </w:r>
      <w:r>
        <w:rPr>
          <w:rFonts w:hint="eastAsia"/>
        </w:rPr>
        <w:t>的基本项目（</w:t>
      </w:r>
      <w:r>
        <w:t>23</w:t>
      </w:r>
      <w:r>
        <w:rPr>
          <w:rFonts w:hint="eastAsia"/>
        </w:rPr>
        <w:t>项，化学需氧量除外）、表</w:t>
      </w:r>
      <w:r>
        <w:t>2</w:t>
      </w:r>
      <w:r>
        <w:rPr>
          <w:rFonts w:hint="eastAsia"/>
        </w:rPr>
        <w:t>的补充项目（</w:t>
      </w:r>
      <w:r>
        <w:t>5</w:t>
      </w:r>
      <w:r>
        <w:rPr>
          <w:rFonts w:hint="eastAsia"/>
        </w:rPr>
        <w:t>项）和表</w:t>
      </w:r>
      <w:r>
        <w:t>3</w:t>
      </w:r>
      <w:r>
        <w:rPr>
          <w:rFonts w:hint="eastAsia"/>
        </w:rPr>
        <w:t>的优选特定项目（</w:t>
      </w:r>
      <w:r>
        <w:t>33</w:t>
      </w:r>
      <w:r>
        <w:rPr>
          <w:rFonts w:hint="eastAsia"/>
        </w:rPr>
        <w:t>项，监测项目及推荐方法详见环办函【</w:t>
      </w:r>
      <w:r>
        <w:t>2012</w:t>
      </w:r>
      <w:r>
        <w:rPr>
          <w:rFonts w:hint="eastAsia"/>
        </w:rPr>
        <w:t>】</w:t>
      </w:r>
      <w:r>
        <w:t>1266</w:t>
      </w:r>
      <w:r>
        <w:rPr>
          <w:rFonts w:hint="eastAsia"/>
        </w:rPr>
        <w:t>号），共</w:t>
      </w:r>
      <w:r>
        <w:t>61</w:t>
      </w:r>
      <w:r>
        <w:rPr>
          <w:rFonts w:hint="eastAsia"/>
        </w:rPr>
        <w:t>项；</w:t>
      </w:r>
    </w:p>
    <w:p w14:paraId="5C1BA099">
      <w:pPr>
        <w:pStyle w:val="10"/>
        <w:ind w:firstLine="480"/>
        <w:jc w:val="both"/>
      </w:pPr>
      <w:r>
        <w:rPr>
          <w:rFonts w:hint="eastAsia"/>
        </w:rPr>
        <w:t>每</w:t>
      </w:r>
      <w:r>
        <w:t>2</w:t>
      </w:r>
      <w:r>
        <w:rPr>
          <w:rFonts w:hint="eastAsia"/>
        </w:rPr>
        <w:t>年全分析项目：《地表水环境质量标准》（</w:t>
      </w:r>
      <w:r>
        <w:t>GB3838-2002</w:t>
      </w:r>
      <w:r>
        <w:rPr>
          <w:rFonts w:hint="eastAsia"/>
        </w:rPr>
        <w:t>）中的</w:t>
      </w:r>
      <w:r>
        <w:t>108</w:t>
      </w:r>
      <w:r>
        <w:rPr>
          <w:rFonts w:hint="eastAsia"/>
        </w:rPr>
        <w:t>项（</w:t>
      </w:r>
      <w:r>
        <w:t>COD</w:t>
      </w:r>
      <w:r>
        <w:rPr>
          <w:rFonts w:hint="eastAsia"/>
        </w:rPr>
        <w:t>可除外）。</w:t>
      </w:r>
    </w:p>
    <w:p w14:paraId="77A906FE">
      <w:pPr>
        <w:pStyle w:val="5"/>
        <w:rPr>
          <w:rFonts w:hint="eastAsia"/>
          <w:sz w:val="30"/>
        </w:rPr>
      </w:pPr>
      <w:bookmarkStart w:id="243" w:name="_Toc17405"/>
      <w:r>
        <w:rPr>
          <w:rFonts w:hint="eastAsia"/>
          <w:sz w:val="30"/>
          <w:lang w:val="en-US" w:eastAsia="zh-CN"/>
        </w:rPr>
        <w:t>3</w:t>
      </w:r>
      <w:r>
        <w:rPr>
          <w:rFonts w:hint="eastAsia"/>
          <w:sz w:val="30"/>
        </w:rPr>
        <w:t>.4</w:t>
      </w:r>
      <w:r>
        <w:rPr>
          <w:sz w:val="30"/>
        </w:rPr>
        <w:t>.</w:t>
      </w:r>
      <w:r>
        <w:rPr>
          <w:rFonts w:hint="eastAsia"/>
          <w:sz w:val="30"/>
        </w:rPr>
        <w:t>3固定风险源环境风险防控能力分析</w:t>
      </w:r>
      <w:bookmarkEnd w:id="243"/>
    </w:p>
    <w:p w14:paraId="2A16198B">
      <w:pPr>
        <w:ind w:firstLine="480"/>
        <w:rPr>
          <w:rFonts w:hint="eastAsia"/>
        </w:rPr>
      </w:pPr>
      <w:r>
        <w:rPr>
          <w:rFonts w:hint="eastAsia"/>
        </w:rPr>
        <w:t>根据现场调查，存在以下问题：</w:t>
      </w:r>
    </w:p>
    <w:p w14:paraId="5947799D">
      <w:pPr>
        <w:ind w:firstLine="480"/>
        <w:rPr>
          <w:rFonts w:hint="eastAsia" w:hAnsi="宋体"/>
        </w:rPr>
      </w:pPr>
      <w:r>
        <w:rPr>
          <w:color w:val="000000"/>
        </w:rPr>
        <w:t>绥宁云峰新能源有限公司</w:t>
      </w:r>
      <w:r>
        <w:rPr>
          <w:rFonts w:hint="eastAsia"/>
          <w:color w:val="000000"/>
        </w:rPr>
        <w:t>、</w:t>
      </w:r>
      <w:r>
        <w:rPr>
          <w:color w:val="000000"/>
        </w:rPr>
        <w:t>绥宁县关峡鑫峰木制品厂</w:t>
      </w:r>
      <w:r>
        <w:rPr>
          <w:rFonts w:hint="eastAsia"/>
          <w:color w:val="000000"/>
        </w:rPr>
        <w:t>、</w:t>
      </w:r>
      <w:r>
        <w:rPr>
          <w:color w:val="000000"/>
        </w:rPr>
        <w:t>绥宁县友娣竹木制品厂</w:t>
      </w:r>
      <w:r>
        <w:rPr>
          <w:rFonts w:hint="eastAsia"/>
          <w:color w:val="000000"/>
        </w:rPr>
        <w:t>和绥宁县关峡乡自来水厂生产工艺均较简单，无环境风险物质存在，但</w:t>
      </w:r>
      <w:r>
        <w:rPr>
          <w:color w:val="000000"/>
        </w:rPr>
        <w:t>绥宁县关峡鑫峰木制品厂</w:t>
      </w:r>
      <w:r>
        <w:rPr>
          <w:rFonts w:hint="eastAsia"/>
          <w:color w:val="000000"/>
        </w:rPr>
        <w:t>、绥宁县骏峰建设工程有限公司</w:t>
      </w:r>
      <w:r>
        <w:rPr>
          <w:rFonts w:hint="eastAsia"/>
          <w:color w:val="000000"/>
          <w:lang w:eastAsia="zh-CN"/>
        </w:rPr>
        <w:t>、</w:t>
      </w:r>
      <w:r>
        <w:rPr>
          <w:color w:val="000000"/>
        </w:rPr>
        <w:t>绥宁县友娣竹木制品厂</w:t>
      </w:r>
      <w:r>
        <w:rPr>
          <w:rFonts w:hint="eastAsia"/>
          <w:color w:val="000000"/>
        </w:rPr>
        <w:t>原辅材料均</w:t>
      </w:r>
      <w:r>
        <w:rPr>
          <w:rFonts w:hint="eastAsia"/>
          <w:color w:val="000000"/>
          <w:lang w:val="en-US" w:eastAsia="zh-CN"/>
        </w:rPr>
        <w:t>有</w:t>
      </w:r>
      <w:r>
        <w:rPr>
          <w:rFonts w:hint="eastAsia"/>
          <w:color w:val="000000"/>
        </w:rPr>
        <w:t>易燃</w:t>
      </w:r>
      <w:r>
        <w:rPr>
          <w:rFonts w:hint="eastAsia"/>
          <w:color w:val="000000"/>
          <w:lang w:val="en-US" w:eastAsia="zh-CN"/>
        </w:rPr>
        <w:t>物质</w:t>
      </w:r>
      <w:r>
        <w:rPr>
          <w:rFonts w:hint="eastAsia"/>
          <w:color w:val="000000"/>
        </w:rPr>
        <w:t>，一旦发生火灾</w:t>
      </w:r>
      <w:r>
        <w:rPr>
          <w:rFonts w:hint="eastAsia"/>
        </w:rPr>
        <w:t>，</w:t>
      </w:r>
      <w:r>
        <w:rPr>
          <w:rFonts w:hint="eastAsia" w:hAnsi="宋体"/>
        </w:rPr>
        <w:t>消防废水可能沿地势进入关峡水厂上游，威胁水源地保护区水质及水生生态，严重时会影响关峡水厂的正常取水。</w:t>
      </w:r>
    </w:p>
    <w:p w14:paraId="298B18F0">
      <w:pPr>
        <w:ind w:firstLine="480"/>
        <w:rPr>
          <w:rFonts w:hint="eastAsia"/>
        </w:rPr>
      </w:pPr>
      <w:r>
        <w:rPr>
          <w:rFonts w:hint="eastAsia"/>
          <w:b/>
          <w:bCs/>
        </w:rPr>
        <w:t>整改方案：</w:t>
      </w:r>
    </w:p>
    <w:p w14:paraId="38729E6B">
      <w:pPr>
        <w:ind w:firstLine="480" w:firstLineChars="200"/>
        <w:rPr>
          <w:color w:val="000000"/>
        </w:rPr>
      </w:pPr>
      <w:r>
        <w:rPr>
          <w:color w:val="000000"/>
        </w:rPr>
        <w:t>县政府委托</w:t>
      </w:r>
      <w:r>
        <w:rPr>
          <w:rFonts w:hint="eastAsia"/>
          <w:color w:val="000000"/>
        </w:rPr>
        <w:t>邵阳市生态环境局绥宁分局</w:t>
      </w:r>
      <w:r>
        <w:rPr>
          <w:color w:val="000000"/>
        </w:rPr>
        <w:t>应责令绥宁县</w:t>
      </w:r>
      <w:r>
        <w:rPr>
          <w:rFonts w:hint="eastAsia"/>
          <w:color w:val="000000"/>
        </w:rPr>
        <w:t>关峡苗族乡兰溪水</w:t>
      </w:r>
      <w:r>
        <w:rPr>
          <w:color w:val="000000"/>
        </w:rPr>
        <w:t>水源地保护区</w:t>
      </w:r>
      <w:r>
        <w:rPr>
          <w:rFonts w:hint="eastAsia"/>
          <w:color w:val="000000"/>
        </w:rPr>
        <w:t>周边</w:t>
      </w:r>
      <w:r>
        <w:rPr>
          <w:color w:val="000000"/>
        </w:rPr>
        <w:t>固定源单位</w:t>
      </w:r>
      <w:r>
        <w:rPr>
          <w:rFonts w:hint="eastAsia"/>
          <w:color w:val="000000"/>
          <w:lang w:val="en-US" w:eastAsia="zh-CN"/>
        </w:rPr>
        <w:t>尤其是绥宁县骏峰建设工程有限公司</w:t>
      </w:r>
      <w:r>
        <w:rPr>
          <w:color w:val="000000"/>
        </w:rPr>
        <w:t>加强企业环境风险防范工作，定期排查事故隐患，排查频次可暂定为每</w:t>
      </w:r>
      <w:r>
        <w:rPr>
          <w:rFonts w:hint="eastAsia"/>
          <w:color w:val="000000"/>
          <w:u w:val="wave"/>
          <w:lang w:val="en-US" w:eastAsia="zh-CN"/>
        </w:rPr>
        <w:t>周</w:t>
      </w:r>
      <w:r>
        <w:rPr>
          <w:color w:val="000000"/>
        </w:rPr>
        <w:t>一次。</w:t>
      </w:r>
    </w:p>
    <w:p w14:paraId="4B34B4F3">
      <w:pPr>
        <w:ind w:firstLine="480" w:firstLineChars="200"/>
        <w:rPr>
          <w:color w:val="000000"/>
        </w:rPr>
      </w:pPr>
      <w:r>
        <w:rPr>
          <w:color w:val="000000"/>
        </w:rPr>
        <w:t>各工业企业应完善应急防控措施，编制企业</w:t>
      </w:r>
      <w:r>
        <w:rPr>
          <w:rFonts w:hint="eastAsia"/>
          <w:color w:val="000000"/>
        </w:rPr>
        <w:t>环境风险</w:t>
      </w:r>
      <w:r>
        <w:rPr>
          <w:color w:val="000000"/>
        </w:rPr>
        <w:t>应急预案，储备必要的应急物资，完善应急池等应急收集设施，在污染治理设施不能正常运行或由安全生产事故以及自然灾害等导致泄漏行为时，保障污染物和泄漏物质能集中收集，防止排向外环境。企业应急池不能满足特殊情况应急需要时，可在适当范围采取拦截措施，防止污染物、泄漏物质以及消防废水等排向外环境。</w:t>
      </w:r>
    </w:p>
    <w:p w14:paraId="741E6520">
      <w:pPr>
        <w:ind w:firstLine="480" w:firstLineChars="200"/>
        <w:rPr>
          <w:color w:val="000000"/>
        </w:rPr>
      </w:pPr>
      <w:r>
        <w:rPr>
          <w:color w:val="000000"/>
        </w:rPr>
        <w:t>固定源企业应定期开展演练活动，演练频次可暂定为一年一次，并根据预案的实际演练情况，进一步完善风险防范措施，提高风险防控水平，避免或减少对饮用水源保护区的水质影响。</w:t>
      </w:r>
    </w:p>
    <w:p w14:paraId="07E01CB3">
      <w:pPr>
        <w:ind w:firstLine="480" w:firstLineChars="200"/>
        <w:rPr>
          <w:rFonts w:hint="eastAsia"/>
        </w:rPr>
      </w:pPr>
      <w:r>
        <w:rPr>
          <w:rFonts w:hint="eastAsia"/>
          <w:color w:val="000000"/>
        </w:rPr>
        <w:t>邵阳市生态环境局绥宁分局</w:t>
      </w:r>
      <w:r>
        <w:rPr>
          <w:color w:val="000000"/>
        </w:rPr>
        <w:t>应将水源地保护区内固定源工业企业建档立案，一源一档，并实施动态分类管理。重点监控对水源地保护区潜在影响较大的</w:t>
      </w:r>
      <w:r>
        <w:rPr>
          <w:rFonts w:hint="eastAsia"/>
          <w:color w:val="000000"/>
        </w:rPr>
        <w:t>固定源</w:t>
      </w:r>
      <w:r>
        <w:rPr>
          <w:color w:val="000000"/>
        </w:rPr>
        <w:t>企业。</w:t>
      </w:r>
      <w:r>
        <w:rPr>
          <w:rFonts w:hint="eastAsia"/>
          <w:color w:val="000000"/>
        </w:rPr>
        <w:t>邵阳市生态环境局绥宁分局</w:t>
      </w:r>
      <w:r>
        <w:rPr>
          <w:color w:val="000000"/>
        </w:rPr>
        <w:t>应定期检查并指导企业的环境风险防范工作（检查频次可暂定每半年一次），督促落实企业应急预案编制及风险防范措施的落实工作。</w:t>
      </w:r>
    </w:p>
    <w:p w14:paraId="263161B2">
      <w:pPr>
        <w:pStyle w:val="5"/>
        <w:rPr>
          <w:rFonts w:hint="eastAsia"/>
          <w:sz w:val="30"/>
        </w:rPr>
      </w:pPr>
      <w:bookmarkStart w:id="244" w:name="_Toc12014"/>
      <w:r>
        <w:rPr>
          <w:rFonts w:hint="eastAsia"/>
          <w:sz w:val="30"/>
          <w:lang w:val="en-US" w:eastAsia="zh-CN"/>
        </w:rPr>
        <w:t>3</w:t>
      </w:r>
      <w:r>
        <w:rPr>
          <w:rFonts w:hint="eastAsia"/>
          <w:sz w:val="30"/>
        </w:rPr>
        <w:t>.4.4流动风险源环境风险防控能力分析</w:t>
      </w:r>
      <w:bookmarkEnd w:id="244"/>
    </w:p>
    <w:p w14:paraId="2D9D4344">
      <w:pPr>
        <w:ind w:firstLine="480" w:firstLineChars="200"/>
        <w:rPr>
          <w:rFonts w:hint="eastAsia"/>
          <w:bCs/>
          <w:lang w:bidi="th-TH"/>
        </w:rPr>
      </w:pPr>
      <w:r>
        <w:rPr>
          <w:rFonts w:hint="eastAsia"/>
          <w:lang w:bidi="th-TH"/>
        </w:rPr>
        <w:t>在水源地保护区一、</w:t>
      </w:r>
      <w:r>
        <w:rPr>
          <w:lang w:bidi="th-TH"/>
        </w:rPr>
        <w:t>二级保护区内，</w:t>
      </w:r>
      <w:r>
        <w:rPr>
          <w:rFonts w:hint="eastAsia"/>
          <w:lang w:bidi="th-TH"/>
        </w:rPr>
        <w:t>不涉及</w:t>
      </w:r>
      <w:r>
        <w:rPr>
          <w:lang w:bidi="th-TH"/>
        </w:rPr>
        <w:t>服务站、加油站</w:t>
      </w:r>
      <w:r>
        <w:rPr>
          <w:rFonts w:hint="eastAsia"/>
          <w:lang w:bidi="th-TH"/>
        </w:rPr>
        <w:t>等设施</w:t>
      </w:r>
      <w:r>
        <w:rPr>
          <w:lang w:bidi="th-TH"/>
        </w:rPr>
        <w:t>。</w:t>
      </w:r>
      <w:r>
        <w:rPr>
          <w:rFonts w:hint="eastAsia"/>
          <w:lang w:bidi="th-TH"/>
        </w:rPr>
        <w:t>其主要的流动风险源为S248</w:t>
      </w:r>
      <w:r>
        <w:rPr>
          <w:lang w:bidi="th-TH"/>
        </w:rPr>
        <w:t>，</w:t>
      </w:r>
      <w:r>
        <w:rPr>
          <w:rFonts w:hint="eastAsia"/>
          <w:lang w:bidi="th-TH"/>
        </w:rPr>
        <w:t>其与兰溪伴行</w:t>
      </w:r>
      <w:r>
        <w:rPr>
          <w:lang w:bidi="th-TH"/>
        </w:rPr>
        <w:t>。</w:t>
      </w:r>
      <w:r>
        <w:rPr>
          <w:rFonts w:hint="eastAsia"/>
          <w:bCs/>
          <w:lang w:bidi="th-TH"/>
        </w:rPr>
        <w:t>通过现场调查可知，</w:t>
      </w:r>
      <w:r>
        <w:rPr>
          <w:rFonts w:hint="eastAsia"/>
          <w:lang w:bidi="th-TH"/>
        </w:rPr>
        <w:t>S248迎水侧</w:t>
      </w:r>
      <w:r>
        <w:rPr>
          <w:rFonts w:hint="eastAsia"/>
          <w:bCs/>
          <w:lang w:bidi="th-TH"/>
        </w:rPr>
        <w:t>未设置防撞栏、导流沟、应急事故池和视频监控等防控措施，若发生危险物质泄漏时，泄漏物会无任何阻挡地进入水源地保护区水体中。</w:t>
      </w:r>
    </w:p>
    <w:p w14:paraId="24B32884">
      <w:pPr>
        <w:ind w:firstLine="480" w:firstLineChars="200"/>
        <w:rPr>
          <w:rFonts w:hint="eastAsia"/>
          <w:b/>
          <w:lang w:bidi="th-TH"/>
        </w:rPr>
      </w:pPr>
      <w:r>
        <w:rPr>
          <w:rFonts w:hint="eastAsia"/>
          <w:b/>
          <w:lang w:bidi="th-TH"/>
        </w:rPr>
        <w:t>整改方案：</w:t>
      </w:r>
    </w:p>
    <w:p w14:paraId="399C3865">
      <w:pPr>
        <w:ind w:firstLine="480" w:firstLineChars="200"/>
        <w:rPr>
          <w:rFonts w:hint="eastAsia"/>
          <w:lang w:bidi="th-TH"/>
        </w:rPr>
      </w:pPr>
      <w:r>
        <w:rPr>
          <w:rFonts w:hint="eastAsia"/>
          <w:b/>
          <w:lang w:bidi="th-TH"/>
        </w:rPr>
        <w:t xml:space="preserve"> </w:t>
      </w:r>
      <w:r>
        <w:rPr>
          <w:lang w:bidi="th-TH"/>
        </w:rPr>
        <w:fldChar w:fldCharType="begin"/>
      </w:r>
      <w:r>
        <w:rPr>
          <w:lang w:bidi="th-TH"/>
        </w:rPr>
        <w:instrText xml:space="preserve"> </w:instrText>
      </w:r>
      <w:r>
        <w:rPr>
          <w:rFonts w:hint="eastAsia"/>
          <w:lang w:bidi="th-TH"/>
        </w:rPr>
        <w:instrText xml:space="preserve">= 1 \* GB3</w:instrText>
      </w:r>
      <w:r>
        <w:rPr>
          <w:lang w:bidi="th-TH"/>
        </w:rPr>
        <w:instrText xml:space="preserve"> </w:instrText>
      </w:r>
      <w:r>
        <w:rPr>
          <w:lang w:bidi="th-TH"/>
        </w:rPr>
        <w:fldChar w:fldCharType="separate"/>
      </w:r>
      <w:r>
        <w:rPr>
          <w:rFonts w:hint="eastAsia"/>
          <w:lang w:bidi="th-TH"/>
        </w:rPr>
        <w:t>①</w:t>
      </w:r>
      <w:r>
        <w:rPr>
          <w:lang w:bidi="th-TH"/>
        </w:rPr>
        <w:fldChar w:fldCharType="end"/>
      </w:r>
      <w:r>
        <w:rPr>
          <w:rFonts w:hint="eastAsia" w:hAnsi="宋体"/>
          <w:bCs/>
        </w:rPr>
        <w:t>在S248与水源地一级、二级保护区距离相近处以及S248跨越兰溪桥梁处及与兰溪伴行较近处建立交通警示牌，并在迎水侧建设防撞栏、导流沟、应急池等防控措施，避免</w:t>
      </w:r>
      <w:r>
        <w:rPr>
          <w:rFonts w:hAnsi="宋体"/>
          <w:bCs/>
        </w:rPr>
        <w:t>运输危险化学品、危险废物及其他影响饮用水安全物质的车辆等交通工具发生交通事故或泄露，可</w:t>
      </w:r>
      <w:r>
        <w:rPr>
          <w:rFonts w:hint="eastAsia" w:hAnsi="宋体"/>
          <w:bCs/>
        </w:rPr>
        <w:t>能</w:t>
      </w:r>
      <w:r>
        <w:rPr>
          <w:rFonts w:hAnsi="宋体"/>
          <w:bCs/>
        </w:rPr>
        <w:t>导致有毒有害</w:t>
      </w:r>
      <w:r>
        <w:rPr>
          <w:rFonts w:hint="eastAsia" w:hAnsi="宋体"/>
          <w:bCs/>
        </w:rPr>
        <w:t>物质</w:t>
      </w:r>
      <w:r>
        <w:rPr>
          <w:rFonts w:hAnsi="宋体"/>
          <w:bCs/>
        </w:rPr>
        <w:t>流入</w:t>
      </w:r>
      <w:r>
        <w:rPr>
          <w:rFonts w:hint="eastAsia" w:hAnsi="宋体"/>
          <w:bCs/>
        </w:rPr>
        <w:t>水源地保护区的事件发生</w:t>
      </w:r>
      <w:r>
        <w:rPr>
          <w:rFonts w:hint="eastAsia"/>
          <w:bCs/>
          <w:lang w:bidi="th-TH"/>
        </w:rPr>
        <w:t>。</w:t>
      </w:r>
    </w:p>
    <w:p w14:paraId="1ABDE2D6">
      <w:pPr>
        <w:pStyle w:val="5"/>
        <w:rPr>
          <w:rFonts w:hint="eastAsia"/>
          <w:sz w:val="30"/>
        </w:rPr>
      </w:pPr>
      <w:bookmarkStart w:id="245" w:name="_Toc24626"/>
      <w:r>
        <w:rPr>
          <w:rFonts w:hint="eastAsia"/>
          <w:sz w:val="30"/>
          <w:lang w:val="en-US" w:eastAsia="zh-CN"/>
        </w:rPr>
        <w:t>3</w:t>
      </w:r>
      <w:r>
        <w:rPr>
          <w:rFonts w:hint="eastAsia"/>
          <w:sz w:val="30"/>
        </w:rPr>
        <w:t>.4</w:t>
      </w:r>
      <w:r>
        <w:rPr>
          <w:sz w:val="30"/>
        </w:rPr>
        <w:t>.</w:t>
      </w:r>
      <w:r>
        <w:rPr>
          <w:rFonts w:hint="eastAsia"/>
          <w:sz w:val="30"/>
        </w:rPr>
        <w:t>5非点源环境风险防控能力分析</w:t>
      </w:r>
      <w:bookmarkEnd w:id="245"/>
    </w:p>
    <w:p w14:paraId="465AA39E">
      <w:bookmarkStart w:id="246" w:name="_Toc529124865"/>
      <w:r>
        <w:rPr>
          <w:rFonts w:hint="eastAsia"/>
          <w:lang w:val="en-US" w:eastAsia="zh-CN"/>
        </w:rPr>
        <w:t>3</w:t>
      </w:r>
      <w:r>
        <w:t>.4.</w:t>
      </w:r>
      <w:r>
        <w:rPr>
          <w:rFonts w:hint="eastAsia"/>
        </w:rPr>
        <w:t>5</w:t>
      </w:r>
      <w:r>
        <w:t>.1生活污染风险防控能力分析</w:t>
      </w:r>
    </w:p>
    <w:p w14:paraId="79E5CD6E">
      <w:pPr>
        <w:ind w:firstLine="480" w:firstLineChars="200"/>
      </w:pPr>
      <w:r>
        <w:t>现</w:t>
      </w:r>
      <w:r>
        <w:rPr>
          <w:rFonts w:hint="eastAsia"/>
        </w:rPr>
        <w:t>二级</w:t>
      </w:r>
      <w:r>
        <w:t>保护区内居民</w:t>
      </w:r>
      <w:r>
        <w:rPr>
          <w:rFonts w:hint="eastAsia"/>
        </w:rPr>
        <w:t>和保护区上游居民点较密集的村落</w:t>
      </w:r>
      <w:r>
        <w:t>生活污水通过化粪池处理后进入</w:t>
      </w:r>
      <w:r>
        <w:rPr>
          <w:rFonts w:hint="eastAsia"/>
        </w:rPr>
        <w:t>湘商产业园</w:t>
      </w:r>
      <w:r>
        <w:t>污水处理厂处理，保护区内居民生活污染固体废弃物通过垃圾箱等收集后垃圾通过专门的转运车运至</w:t>
      </w:r>
      <w:r>
        <w:rPr>
          <w:rFonts w:hint="eastAsia"/>
          <w:u w:val="wave"/>
          <w:lang w:val="en-US" w:eastAsia="zh-CN"/>
        </w:rPr>
        <w:t>洞口县垃圾焚烧发电厂</w:t>
      </w:r>
      <w:r>
        <w:t>处理。县政府需组织相关部门加强保护区内</w:t>
      </w:r>
      <w:r>
        <w:rPr>
          <w:rFonts w:hint="eastAsia"/>
        </w:rPr>
        <w:t>及上游</w:t>
      </w:r>
      <w:r>
        <w:t>居民生活污水和生活污染固体废弃物的监管与整治。</w:t>
      </w:r>
    </w:p>
    <w:p w14:paraId="15BF29D5">
      <w:r>
        <w:rPr>
          <w:rFonts w:hint="eastAsia"/>
          <w:lang w:val="en-US" w:eastAsia="zh-CN"/>
        </w:rPr>
        <w:t>3</w:t>
      </w:r>
      <w:r>
        <w:t>.4.</w:t>
      </w:r>
      <w:r>
        <w:rPr>
          <w:rFonts w:hint="eastAsia"/>
        </w:rPr>
        <w:t>5</w:t>
      </w:r>
      <w:r>
        <w:t>.2农业污染风险防控能力分析</w:t>
      </w:r>
    </w:p>
    <w:p w14:paraId="6DDF55D1">
      <w:pPr>
        <w:ind w:firstLine="480" w:firstLineChars="200"/>
        <w:rPr>
          <w:rFonts w:hint="eastAsia"/>
        </w:rPr>
      </w:pPr>
      <w:r>
        <w:t>县政府、县农业</w:t>
      </w:r>
      <w:r>
        <w:rPr>
          <w:rFonts w:hint="eastAsia"/>
        </w:rPr>
        <w:t>农村水利</w:t>
      </w:r>
      <w:r>
        <w:t>局应重视非点源风险防范工作，综合治理农业面源污染。一级保护区禁止从事放牧、网箱养殖等污染水体的活动。二级保护区禁止集约化农作物种植，占用耕地的部分建议发展有机农业；农业部门引导周边农户减少农业种植中有机氯、有机磷以及氨基甲酸酯等杀虫剂的使用，减少氮肥施用，防止多余氮通过土壤污染地下水，科学引导农业种植。</w:t>
      </w:r>
    </w:p>
    <w:p w14:paraId="5513FDF6">
      <w:pPr>
        <w:pStyle w:val="5"/>
        <w:rPr>
          <w:rFonts w:hint="eastAsia"/>
        </w:rPr>
      </w:pPr>
      <w:bookmarkStart w:id="247" w:name="_Toc26062"/>
      <w:r>
        <w:rPr>
          <w:rFonts w:hint="eastAsia"/>
          <w:lang w:val="en-US" w:eastAsia="zh-CN"/>
        </w:rPr>
        <w:t>3</w:t>
      </w:r>
      <w:r>
        <w:rPr>
          <w:rFonts w:hint="eastAsia"/>
        </w:rPr>
        <w:t>.4</w:t>
      </w:r>
      <w:r>
        <w:t>.</w:t>
      </w:r>
      <w:r>
        <w:rPr>
          <w:rFonts w:hint="eastAsia"/>
        </w:rPr>
        <w:t>6 水源保护区的环境风险防范措施</w:t>
      </w:r>
      <w:bookmarkEnd w:id="246"/>
      <w:bookmarkEnd w:id="247"/>
    </w:p>
    <w:p w14:paraId="5570061D">
      <w:pPr>
        <w:pStyle w:val="6"/>
        <w:rPr>
          <w:rFonts w:hint="eastAsia"/>
        </w:rPr>
      </w:pPr>
      <w:r>
        <w:rPr>
          <w:rFonts w:hint="eastAsia"/>
          <w:lang w:val="en-US" w:eastAsia="zh-CN"/>
        </w:rPr>
        <w:t>3</w:t>
      </w:r>
      <w:r>
        <w:rPr>
          <w:rFonts w:hint="eastAsia"/>
        </w:rPr>
        <w:t>.4</w:t>
      </w:r>
      <w:r>
        <w:t>.</w:t>
      </w:r>
      <w:r>
        <w:rPr>
          <w:rFonts w:hint="eastAsia"/>
        </w:rPr>
        <w:t>6</w:t>
      </w:r>
      <w:r>
        <w:t>.1</w:t>
      </w:r>
      <w:r>
        <w:rPr>
          <w:rFonts w:hint="eastAsia"/>
        </w:rPr>
        <w:t>水源保护区的环境风险防范</w:t>
      </w:r>
    </w:p>
    <w:p w14:paraId="6A5F5843">
      <w:pPr>
        <w:rPr>
          <w:rFonts w:hint="eastAsia"/>
        </w:rPr>
      </w:pPr>
      <w:r>
        <w:rPr>
          <w:rFonts w:hint="eastAsia"/>
          <w:lang w:val="en-US" w:eastAsia="zh-CN"/>
        </w:rPr>
        <w:t>3</w:t>
      </w:r>
      <w:r>
        <w:rPr>
          <w:rFonts w:hint="eastAsia"/>
        </w:rPr>
        <w:t xml:space="preserve">.4.6.1.1 </w:t>
      </w:r>
      <w:r>
        <w:t>水源地标志设置</w:t>
      </w:r>
    </w:p>
    <w:p w14:paraId="7270FFAE">
      <w:pPr>
        <w:ind w:firstLine="480" w:firstLineChars="200"/>
        <w:rPr>
          <w:lang w:bidi="th-TH"/>
        </w:rPr>
      </w:pPr>
      <w:r>
        <w:rPr>
          <w:lang w:bidi="th-TH"/>
        </w:rPr>
        <w:t>水源地一级保护区、二级保护区处已设立饮用水源一级保护区、饮用水源二级保护区标牌</w:t>
      </w:r>
      <w:r>
        <w:rPr>
          <w:rFonts w:hint="eastAsia"/>
          <w:lang w:bidi="th-TH"/>
        </w:rPr>
        <w:t>、宣传牌、界碑等</w:t>
      </w:r>
      <w:r>
        <w:rPr>
          <w:lang w:bidi="th-TH"/>
        </w:rPr>
        <w:t>。</w:t>
      </w:r>
    </w:p>
    <w:p w14:paraId="7BDD7ED7">
      <w:r>
        <w:rPr>
          <w:rFonts w:hint="eastAsia"/>
          <w:lang w:val="en-US" w:eastAsia="zh-CN"/>
        </w:rPr>
        <w:t>3</w:t>
      </w:r>
      <w:r>
        <w:rPr>
          <w:rFonts w:hint="eastAsia"/>
        </w:rPr>
        <w:t>.4</w:t>
      </w:r>
      <w:r>
        <w:t>.</w:t>
      </w:r>
      <w:r>
        <w:rPr>
          <w:rFonts w:hint="eastAsia"/>
        </w:rPr>
        <w:t>6</w:t>
      </w:r>
      <w:r>
        <w:t>.1.2 风险源管理</w:t>
      </w:r>
    </w:p>
    <w:p w14:paraId="392AB7D2">
      <w:pPr>
        <w:ind w:firstLine="480" w:firstLineChars="200"/>
        <w:rPr>
          <w:rFonts w:hint="eastAsia"/>
        </w:rPr>
      </w:pPr>
      <w:r>
        <w:rPr>
          <w:rFonts w:hint="eastAsia"/>
        </w:rPr>
        <w:t>邵阳市生态环境局绥宁分局已明确风险源责任人和监管任务；严格环评审批，禁止在水源一级保护区内新建、改建、扩建与供水设施和保护水源无关的建设项目；禁止在水源二级保护区内新建、改建、扩建排放污染物的建设项目；禁止在水源保护区内建设工业固废集中贮存、处置的设施、场所和生活垃圾填埋场；坚决依法取缔水源地内的重污染行业企业。管线所属企业在设计阶段应尽量避让水源地；无法避让确需跨越水源地的，要完善风险防范措施。</w:t>
      </w:r>
    </w:p>
    <w:p w14:paraId="3B828221">
      <w:pPr>
        <w:ind w:firstLine="480" w:firstLineChars="200"/>
      </w:pPr>
      <w:r>
        <w:rPr>
          <w:rFonts w:hint="eastAsia"/>
        </w:rPr>
        <w:t>县交通运输局、应急管理局应严格控制运输危险化学品、危险废物及其它影响饮用水安全等物质进入水源地，必须进入者应事先申请并经有关部门批准、登记，并设置防渗、防溢、防漏等设施。</w:t>
      </w:r>
    </w:p>
    <w:p w14:paraId="05153D86">
      <w:pPr>
        <w:rPr>
          <w:rFonts w:hint="eastAsia"/>
        </w:rPr>
      </w:pPr>
      <w:r>
        <w:rPr>
          <w:rFonts w:hint="eastAsia"/>
          <w:lang w:val="en-US" w:eastAsia="zh-CN"/>
        </w:rPr>
        <w:t>3</w:t>
      </w:r>
      <w:r>
        <w:rPr>
          <w:rFonts w:hint="eastAsia"/>
        </w:rPr>
        <w:t>.4.6.1.3 风险防范措施</w:t>
      </w:r>
    </w:p>
    <w:p w14:paraId="5024CBFC">
      <w:pPr>
        <w:ind w:firstLine="480" w:firstLineChars="200"/>
      </w:pPr>
      <w:r>
        <w:rPr>
          <w:rFonts w:hint="eastAsia"/>
        </w:rPr>
        <w:t>关峡水厂取水口河段饮用水保护区应组织制定风险防控方案，对可能面临的风险按照紧急程度和需要重视程度进行排序，评估各种风险控制方法的可行性、成本及收益，制定风险控制、转移措施方案，提升自身的降污、截污、疏浚、稀释、备用等功能。</w:t>
      </w:r>
    </w:p>
    <w:p w14:paraId="0E9732C5">
      <w:pPr>
        <w:pStyle w:val="6"/>
        <w:rPr>
          <w:rFonts w:hint="eastAsia"/>
        </w:rPr>
      </w:pPr>
      <w:r>
        <w:rPr>
          <w:rFonts w:hint="eastAsia"/>
          <w:lang w:val="en-US" w:eastAsia="zh-CN"/>
        </w:rPr>
        <w:t>3</w:t>
      </w:r>
      <w:r>
        <w:rPr>
          <w:rFonts w:hint="eastAsia"/>
        </w:rPr>
        <w:t>.4</w:t>
      </w:r>
      <w:r>
        <w:t>.</w:t>
      </w:r>
      <w:r>
        <w:rPr>
          <w:rFonts w:hint="eastAsia"/>
        </w:rPr>
        <w:t>6</w:t>
      </w:r>
      <w:r>
        <w:t>.</w:t>
      </w:r>
      <w:r>
        <w:rPr>
          <w:rFonts w:hint="eastAsia"/>
        </w:rPr>
        <w:t>2取水安全保障</w:t>
      </w:r>
    </w:p>
    <w:p w14:paraId="0B59FD57">
      <w:pPr>
        <w:rPr>
          <w:rFonts w:hint="eastAsia"/>
        </w:rPr>
      </w:pPr>
      <w:r>
        <w:rPr>
          <w:rFonts w:hint="eastAsia"/>
          <w:lang w:val="en-US" w:eastAsia="zh-CN"/>
        </w:rPr>
        <w:t>3</w:t>
      </w:r>
      <w:r>
        <w:rPr>
          <w:rFonts w:hint="eastAsia"/>
        </w:rPr>
        <w:t>.4.6.2.1 信息共享</w:t>
      </w:r>
    </w:p>
    <w:p w14:paraId="1E444E9B">
      <w:pPr>
        <w:ind w:firstLine="480" w:firstLineChars="200"/>
        <w:rPr>
          <w:rFonts w:hint="eastAsia"/>
        </w:rPr>
      </w:pPr>
      <w:r>
        <w:rPr>
          <w:rFonts w:hint="eastAsia"/>
        </w:rPr>
        <w:t>县应急管理、生态环境、农业农村水利、住建、卫健、产业园管委会等部门、关峡水厂等单位应建立联动机制，制定联动方案，共享水源地水质变化信息、取水信息、供水水质信息，共同应对饮用水突发环境事件。</w:t>
      </w:r>
    </w:p>
    <w:p w14:paraId="5BF9235D">
      <w:pPr>
        <w:rPr>
          <w:rFonts w:hint="eastAsia"/>
        </w:rPr>
      </w:pPr>
      <w:r>
        <w:rPr>
          <w:rFonts w:hint="eastAsia"/>
          <w:lang w:val="en-US" w:eastAsia="zh-CN"/>
        </w:rPr>
        <w:t>3</w:t>
      </w:r>
      <w:r>
        <w:rPr>
          <w:rFonts w:hint="eastAsia"/>
        </w:rPr>
        <w:t>.4.6.2.2 取水保障</w:t>
      </w:r>
    </w:p>
    <w:p w14:paraId="32D257BF">
      <w:pPr>
        <w:ind w:firstLine="480" w:firstLineChars="200"/>
        <w:rPr>
          <w:rFonts w:hint="eastAsia"/>
        </w:rPr>
      </w:pPr>
      <w:r>
        <w:rPr>
          <w:rFonts w:hint="eastAsia"/>
        </w:rPr>
        <w:t>取水安全保障主要由绥宁县关峡水厂负责，关峡水厂储备聚合硫酸铁（混凝用）等应急救援物资和水质监测设备，关峡水厂未完成突发环境事件应急预案编制工作，绥宁县关峡水厂定期向县应急管理局、产业园管委会、县住建局、县生态环境分局等报告水厂运行情况、水质监测情况等信息，发生突发环境事故上报县应急管理局、县住建局、产业园管委会、县生态环境分局等；取水安全的信息共享及联动机制有待完善。</w:t>
      </w:r>
    </w:p>
    <w:p w14:paraId="36108C80">
      <w:pPr>
        <w:pStyle w:val="6"/>
        <w:rPr>
          <w:rFonts w:hint="eastAsia"/>
        </w:rPr>
      </w:pPr>
      <w:r>
        <w:rPr>
          <w:rFonts w:hint="eastAsia"/>
          <w:lang w:val="en-US" w:eastAsia="zh-CN"/>
        </w:rPr>
        <w:t>3</w:t>
      </w:r>
      <w:r>
        <w:rPr>
          <w:rFonts w:hint="eastAsia"/>
        </w:rPr>
        <w:t>.4.6.3供水安全保障</w:t>
      </w:r>
    </w:p>
    <w:p w14:paraId="265D196A">
      <w:pPr>
        <w:ind w:firstLine="480" w:firstLineChars="200"/>
        <w:rPr>
          <w:b/>
          <w:sz w:val="30"/>
          <w:szCs w:val="30"/>
        </w:rPr>
      </w:pPr>
      <w:r>
        <w:rPr>
          <w:rFonts w:hint="eastAsia"/>
        </w:rPr>
        <w:t>关峡水厂目前未完成突发环境事件应急预案编制工作，并无深度处理工艺，应规范停止取水、中断供水管理等措施，提高供水安全保障能力。在污染能够通过供水企业治理达标的情况下，尽量不停止供水；或通过管道管理只停止饮用水供应，尽量减少对居民其他用水和社会经济活动的影响。建议绥宁县人民政府及相关部门加强备用水源建设。</w:t>
      </w:r>
    </w:p>
    <w:p w14:paraId="7EA6F52B">
      <w:pPr>
        <w:pStyle w:val="5"/>
      </w:pPr>
      <w:bookmarkStart w:id="248" w:name="_Toc31156"/>
      <w:r>
        <w:rPr>
          <w:rFonts w:hint="eastAsia"/>
          <w:lang w:val="en-US" w:eastAsia="zh-CN"/>
        </w:rPr>
        <w:t>3</w:t>
      </w:r>
      <w:r>
        <w:rPr>
          <w:rFonts w:hint="eastAsia"/>
        </w:rPr>
        <w:t>.4.7</w:t>
      </w:r>
      <w:r>
        <w:t>特殊时期污染风险防控能力分析</w:t>
      </w:r>
      <w:bookmarkEnd w:id="248"/>
    </w:p>
    <w:p w14:paraId="68FA2E03">
      <w:pPr>
        <w:ind w:firstLine="480" w:firstLineChars="200"/>
        <w:rPr>
          <w:color w:val="000000"/>
        </w:rPr>
      </w:pPr>
      <w:r>
        <w:rPr>
          <w:color w:val="000000"/>
        </w:rPr>
        <w:t>在汛期、旱期、雨雪冰冻等特殊时期，</w:t>
      </w:r>
      <w:r>
        <w:rPr>
          <w:rFonts w:hint="eastAsia"/>
          <w:color w:val="000000"/>
        </w:rPr>
        <w:t>邵阳市生态环境局绥宁分局</w:t>
      </w:r>
      <w:r>
        <w:rPr>
          <w:color w:val="000000"/>
        </w:rPr>
        <w:t>应及时向县政府提出工作建议和对策，提升特殊时期环境风险防控能力，具体防范措施如下：</w:t>
      </w:r>
    </w:p>
    <w:p w14:paraId="4E4D0CA8">
      <w:pPr>
        <w:ind w:firstLine="480" w:firstLineChars="200"/>
      </w:pPr>
      <w:bookmarkStart w:id="249" w:name="_Toc20078_WPSOffice_Level2"/>
      <w:bookmarkStart w:id="250" w:name="_Toc28728_WPSOffice_Level2"/>
      <w:r>
        <w:t>（1）汛期</w:t>
      </w:r>
      <w:bookmarkEnd w:id="249"/>
      <w:bookmarkEnd w:id="250"/>
    </w:p>
    <w:p w14:paraId="77056D08">
      <w:pPr>
        <w:ind w:firstLine="480" w:firstLineChars="200"/>
        <w:rPr>
          <w:color w:val="000000"/>
        </w:rPr>
      </w:pPr>
      <w:r>
        <w:rPr>
          <w:color w:val="000000"/>
        </w:rPr>
        <w:t>根据绥宁县实际情况，针对重大汛情，</w:t>
      </w:r>
      <w:r>
        <w:rPr>
          <w:rFonts w:hint="eastAsia"/>
          <w:color w:val="000000"/>
        </w:rPr>
        <w:t>邵阳市生态环境局绥宁分局</w:t>
      </w:r>
      <w:r>
        <w:rPr>
          <w:color w:val="000000"/>
        </w:rPr>
        <w:t>组织对水源地保护区内及周边重点污染源进行全面排查，督促企业整改。重点监控、防范企业趁汛期偷排超标污水；增加企业监测频次；联合</w:t>
      </w:r>
      <w:r>
        <w:rPr>
          <w:rFonts w:hint="eastAsia"/>
          <w:color w:val="000000"/>
        </w:rPr>
        <w:t>卫健</w:t>
      </w:r>
      <w:r>
        <w:rPr>
          <w:color w:val="000000"/>
        </w:rPr>
        <w:t>等部门加强水源地保护区水质监测工作，重点监测细菌总数、大肠菌群、浊度、重金属等。</w:t>
      </w:r>
    </w:p>
    <w:p w14:paraId="2498CC91">
      <w:pPr>
        <w:ind w:firstLine="480" w:firstLineChars="200"/>
        <w:rPr>
          <w:color w:val="000000"/>
        </w:rPr>
      </w:pPr>
      <w:r>
        <w:rPr>
          <w:color w:val="000000"/>
        </w:rPr>
        <w:t>汛期饮用水异常，判断可能是水源被污染时，</w:t>
      </w:r>
      <w:r>
        <w:rPr>
          <w:rFonts w:hint="eastAsia"/>
          <w:color w:val="000000"/>
        </w:rPr>
        <w:t>邵阳市生态环境局绥宁分局</w:t>
      </w:r>
      <w:r>
        <w:rPr>
          <w:color w:val="000000"/>
        </w:rPr>
        <w:t>应建议县政府查找原因并科学应对，通过设立警示牌、清除主要污染源、强化环境监管等措施，保障水源地保护区的水质安全。</w:t>
      </w:r>
    </w:p>
    <w:p w14:paraId="0E457329">
      <w:pPr>
        <w:ind w:firstLine="480" w:firstLineChars="200"/>
        <w:rPr>
          <w:color w:val="000000"/>
        </w:rPr>
      </w:pPr>
      <w:r>
        <w:rPr>
          <w:color w:val="000000"/>
        </w:rPr>
        <w:t>当发生泥石流等自然灾害时，</w:t>
      </w:r>
      <w:r>
        <w:rPr>
          <w:rFonts w:hint="eastAsia"/>
          <w:color w:val="000000"/>
        </w:rPr>
        <w:t>邵阳市生态环境局绥宁分局</w:t>
      </w:r>
      <w:r>
        <w:rPr>
          <w:color w:val="000000"/>
        </w:rPr>
        <w:t>应参照环境保护部印发的《舟曲特大山洪泥石流灾害救灾及灾后重建饮用水安全保障技术指南》建议县政府开展相关工作。对现有水源地保护区进行评估，按照水量充足、水质良好、取水便捷安全等条件，判断现有水源地保护区是否可以继续使用。对水源地保护区加强防护，并纳入清淤重点；建立水源保护制度，专人定期巡查，防止人为破坏。</w:t>
      </w:r>
    </w:p>
    <w:p w14:paraId="66F37B2D">
      <w:pPr>
        <w:ind w:firstLine="480" w:firstLineChars="200"/>
      </w:pPr>
      <w:bookmarkStart w:id="251" w:name="_Toc12589_WPSOffice_Level2"/>
      <w:bookmarkStart w:id="252" w:name="_Toc26470_WPSOffice_Level2"/>
      <w:r>
        <w:t>（2）重大旱情</w:t>
      </w:r>
      <w:bookmarkEnd w:id="251"/>
      <w:bookmarkEnd w:id="252"/>
      <w:r>
        <w:t xml:space="preserve">  </w:t>
      </w:r>
    </w:p>
    <w:p w14:paraId="5CFDBE55">
      <w:pPr>
        <w:ind w:firstLine="480" w:firstLineChars="200"/>
        <w:rPr>
          <w:color w:val="000000"/>
        </w:rPr>
      </w:pPr>
      <w:r>
        <w:rPr>
          <w:color w:val="000000"/>
        </w:rPr>
        <w:t>严密监控水质变化。在重大旱情时期，</w:t>
      </w:r>
      <w:r>
        <w:rPr>
          <w:rFonts w:hint="eastAsia"/>
          <w:color w:val="000000"/>
        </w:rPr>
        <w:t>邵阳市生态环境局绥宁分局</w:t>
      </w:r>
      <w:r>
        <w:rPr>
          <w:color w:val="000000"/>
        </w:rPr>
        <w:t>应加大与</w:t>
      </w:r>
      <w:r>
        <w:rPr>
          <w:rFonts w:hint="eastAsia"/>
          <w:color w:val="000000"/>
        </w:rPr>
        <w:t>关峡水厂</w:t>
      </w:r>
      <w:r>
        <w:rPr>
          <w:color w:val="000000"/>
        </w:rPr>
        <w:t>、县</w:t>
      </w:r>
      <w:r>
        <w:rPr>
          <w:rFonts w:hint="eastAsia"/>
          <w:color w:val="000000"/>
        </w:rPr>
        <w:t>卫健局</w:t>
      </w:r>
      <w:r>
        <w:rPr>
          <w:color w:val="000000"/>
        </w:rPr>
        <w:t>、县</w:t>
      </w:r>
      <w:r>
        <w:rPr>
          <w:rFonts w:hint="eastAsia"/>
          <w:color w:val="000000"/>
        </w:rPr>
        <w:t>农业农村</w:t>
      </w:r>
      <w:r>
        <w:rPr>
          <w:color w:val="000000"/>
        </w:rPr>
        <w:t>水利局等部门的沟通联系，对水源地保护区进行加密监测，及时掌握水质变化情况。</w:t>
      </w:r>
    </w:p>
    <w:p w14:paraId="1743D5BE">
      <w:pPr>
        <w:ind w:firstLine="480" w:firstLineChars="200"/>
      </w:pPr>
      <w:bookmarkStart w:id="253" w:name="_Toc5401_WPSOffice_Level2"/>
      <w:bookmarkStart w:id="254" w:name="_Toc26966_WPSOffice_Level2"/>
      <w:r>
        <w:t>（3）雨雪冰冻时期</w:t>
      </w:r>
      <w:bookmarkEnd w:id="253"/>
      <w:bookmarkEnd w:id="254"/>
    </w:p>
    <w:p w14:paraId="4D7F0F38">
      <w:pPr>
        <w:ind w:firstLine="480" w:firstLineChars="200"/>
      </w:pPr>
      <w:r>
        <w:t>积极应对雨雪冰冻灾害。</w:t>
      </w:r>
      <w:r>
        <w:rPr>
          <w:rFonts w:hint="eastAsia"/>
        </w:rPr>
        <w:t>邵阳市生态环境局绥宁分局</w:t>
      </w:r>
      <w:r>
        <w:t>应同电力、气象等</w:t>
      </w:r>
      <w:r>
        <w:rPr>
          <w:rFonts w:hint="eastAsia"/>
        </w:rPr>
        <w:t>单位</w:t>
      </w:r>
      <w:r>
        <w:t>加强信息沟通，了解灾害性天气信息。灾害期间，</w:t>
      </w:r>
      <w:r>
        <w:rPr>
          <w:rFonts w:hint="eastAsia"/>
        </w:rPr>
        <w:t>生态环境</w:t>
      </w:r>
      <w:r>
        <w:t>部门应密切关注融雪剂的使用对水源地保护区的影响。加强对风险源排放口、取水口附近地表水的水质监测，增加可溶性盐类和亚硝酸盐的监测。对水源地保护区在线监测设施采取保护措施，防止因低温发生运行故障；因停电停止运行，供电恢复后要及时恢复运行，按规定校准仪器，各项指标合格后方可正式上报数据。</w:t>
      </w:r>
    </w:p>
    <w:p w14:paraId="05A7EF38">
      <w:pPr>
        <w:pStyle w:val="5"/>
        <w:rPr>
          <w:rFonts w:hint="eastAsia"/>
        </w:rPr>
      </w:pPr>
      <w:bookmarkStart w:id="255" w:name="_Toc15622"/>
      <w:r>
        <w:rPr>
          <w:rFonts w:hint="eastAsia"/>
          <w:lang w:val="en-US" w:eastAsia="zh-CN"/>
        </w:rPr>
        <w:t>3</w:t>
      </w:r>
      <w:r>
        <w:rPr>
          <w:rFonts w:hint="eastAsia"/>
        </w:rPr>
        <w:t>.4.8应急措施差距性分析</w:t>
      </w:r>
      <w:bookmarkEnd w:id="255"/>
    </w:p>
    <w:p w14:paraId="32738C90">
      <w:pPr>
        <w:pStyle w:val="6"/>
        <w:rPr>
          <w:rFonts w:hint="eastAsia"/>
        </w:rPr>
      </w:pPr>
      <w:r>
        <w:rPr>
          <w:rFonts w:hint="eastAsia"/>
          <w:lang w:val="en-US" w:eastAsia="zh-CN"/>
        </w:rPr>
        <w:t>3</w:t>
      </w:r>
      <w:r>
        <w:rPr>
          <w:rFonts w:hint="eastAsia"/>
        </w:rPr>
        <w:t>.4.8.1队伍建设</w:t>
      </w:r>
    </w:p>
    <w:p w14:paraId="4C98817B">
      <w:pPr>
        <w:ind w:firstLine="480" w:firstLineChars="200"/>
        <w:rPr>
          <w:rFonts w:hint="eastAsia"/>
        </w:rPr>
      </w:pPr>
      <w:r>
        <w:rPr>
          <w:rFonts w:hint="eastAsia"/>
        </w:rPr>
        <w:t>根据《绥宁县虾子溪集中式饮用水水源地保护区突发环境事件应急预案》，县政府已成立绥宁县虾子溪集中式饮用水水源地保护区突发环境事件应急组织指挥部，统一指挥、领导、组织和协调水源地保护区突发环境事件应急工作。为精简机构、统一指挥，绥宁县虾子溪集中式饮用水水源地保护区突发环境事件应急组织指挥部可更名为</w:t>
      </w:r>
      <w:r>
        <w:rPr>
          <w:rFonts w:hint="eastAsia"/>
          <w:u w:val="wave"/>
        </w:rPr>
        <w:t>绥宁县集中式饮用水水源地保护区突发环境事件应急组织指挥部</w:t>
      </w:r>
      <w:r>
        <w:rPr>
          <w:rFonts w:hint="eastAsia"/>
        </w:rPr>
        <w:t>，统一负责关峡苗族乡兰溪水水源地保护区和绥宁县虾子溪集中式饮用水水源地保护区突发环境事件的组织协调工作（其后如新增县级或乡镇级集中式饮用水水源地保护区可同样处置）。应急组织指挥部及协调办公室联系人员及联系方式详见附件5-12。</w:t>
      </w:r>
    </w:p>
    <w:p w14:paraId="65F816B1">
      <w:pPr>
        <w:ind w:firstLine="480" w:firstLineChars="200"/>
      </w:pPr>
      <w:r>
        <w:rPr>
          <w:rFonts w:hint="eastAsia"/>
        </w:rPr>
        <w:t>关峡水厂饮用水水源地水质监测由绥宁县生态环境监测站负责，如发生突发环境事故，超出绥宁县生态环境监测站应急监测能力，应与湖南省邵阳生态环境监测中心、湖南省生态环境监测中心进行沟通，请求支援。</w:t>
      </w:r>
    </w:p>
    <w:p w14:paraId="06536456">
      <w:pPr>
        <w:ind w:firstLine="480" w:firstLineChars="200"/>
      </w:pPr>
      <w:r>
        <w:rPr>
          <w:rFonts w:hint="eastAsia"/>
        </w:rPr>
        <w:t>若水源地发生突发环境事故，超出县人民政府善后处置能力时，可上报邵阳市人民政府，请求财政及物资等补贴；请求邵阳市专家技术指导。</w:t>
      </w:r>
    </w:p>
    <w:p w14:paraId="114AB588">
      <w:pPr>
        <w:ind w:firstLine="480" w:firstLineChars="200"/>
        <w:rPr>
          <w:rFonts w:hint="eastAsia"/>
          <w:b/>
          <w:bCs/>
        </w:rPr>
      </w:pPr>
      <w:r>
        <w:rPr>
          <w:rFonts w:hint="eastAsia"/>
        </w:rPr>
        <w:t>外部应急救援及联系方式见下表2-18。</w:t>
      </w:r>
    </w:p>
    <w:p w14:paraId="49127A53">
      <w:pPr>
        <w:pStyle w:val="10"/>
        <w:ind w:firstLine="0"/>
        <w:jc w:val="center"/>
        <w:rPr>
          <w:rFonts w:hint="eastAsia"/>
          <w:b/>
          <w:bCs/>
        </w:rPr>
      </w:pPr>
      <w:r>
        <w:rPr>
          <w:rFonts w:hint="eastAsia"/>
          <w:b/>
          <w:bCs/>
          <w:sz w:val="21"/>
          <w:szCs w:val="21"/>
        </w:rPr>
        <w:t>表2-18  外部应急救援队伍</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21"/>
        <w:gridCol w:w="3762"/>
        <w:gridCol w:w="3010"/>
      </w:tblGrid>
      <w:tr w14:paraId="426A75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1" w:type="dxa"/>
            <w:vAlign w:val="center"/>
          </w:tcPr>
          <w:p w14:paraId="7343075D">
            <w:pPr>
              <w:spacing w:line="240" w:lineRule="auto"/>
              <w:jc w:val="center"/>
              <w:rPr>
                <w:rFonts w:hint="eastAsia"/>
                <w:b/>
                <w:bCs/>
                <w:sz w:val="21"/>
                <w:szCs w:val="21"/>
                <w:u w:val="wave"/>
              </w:rPr>
            </w:pPr>
            <w:r>
              <w:rPr>
                <w:rFonts w:hint="eastAsia"/>
                <w:b/>
                <w:bCs/>
                <w:sz w:val="21"/>
                <w:szCs w:val="21"/>
                <w:u w:val="wave"/>
              </w:rPr>
              <w:t>序号</w:t>
            </w:r>
          </w:p>
        </w:tc>
        <w:tc>
          <w:tcPr>
            <w:tcW w:w="3762" w:type="dxa"/>
            <w:vAlign w:val="center"/>
          </w:tcPr>
          <w:p w14:paraId="5B8303E2">
            <w:pPr>
              <w:spacing w:line="240" w:lineRule="auto"/>
              <w:jc w:val="center"/>
              <w:rPr>
                <w:b/>
                <w:bCs/>
                <w:sz w:val="21"/>
                <w:szCs w:val="21"/>
                <w:u w:val="wave"/>
              </w:rPr>
            </w:pPr>
            <w:r>
              <w:rPr>
                <w:b/>
                <w:bCs/>
                <w:sz w:val="21"/>
                <w:szCs w:val="21"/>
                <w:u w:val="wave"/>
              </w:rPr>
              <w:t>单位</w:t>
            </w:r>
          </w:p>
        </w:tc>
        <w:tc>
          <w:tcPr>
            <w:tcW w:w="3010" w:type="dxa"/>
            <w:vAlign w:val="center"/>
          </w:tcPr>
          <w:p w14:paraId="7AE5676D">
            <w:pPr>
              <w:spacing w:line="240" w:lineRule="auto"/>
              <w:jc w:val="center"/>
              <w:rPr>
                <w:b/>
                <w:bCs/>
                <w:sz w:val="21"/>
                <w:szCs w:val="21"/>
                <w:u w:val="wave"/>
              </w:rPr>
            </w:pPr>
            <w:r>
              <w:rPr>
                <w:b/>
                <w:bCs/>
                <w:sz w:val="21"/>
                <w:szCs w:val="21"/>
                <w:u w:val="wave"/>
              </w:rPr>
              <w:t>联系电话</w:t>
            </w:r>
          </w:p>
        </w:tc>
      </w:tr>
      <w:tr w14:paraId="7BBBE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1" w:type="dxa"/>
            <w:vAlign w:val="center"/>
          </w:tcPr>
          <w:p w14:paraId="4F37E5C7">
            <w:pPr>
              <w:spacing w:line="240" w:lineRule="auto"/>
              <w:jc w:val="center"/>
              <w:rPr>
                <w:sz w:val="21"/>
                <w:szCs w:val="21"/>
                <w:u w:val="wave"/>
              </w:rPr>
            </w:pPr>
            <w:r>
              <w:rPr>
                <w:sz w:val="21"/>
                <w:szCs w:val="21"/>
                <w:u w:val="wave"/>
              </w:rPr>
              <w:t>1</w:t>
            </w:r>
          </w:p>
        </w:tc>
        <w:tc>
          <w:tcPr>
            <w:tcW w:w="3762" w:type="dxa"/>
            <w:vAlign w:val="center"/>
          </w:tcPr>
          <w:p w14:paraId="0270C97A">
            <w:pPr>
              <w:spacing w:line="240" w:lineRule="auto"/>
              <w:jc w:val="center"/>
              <w:rPr>
                <w:sz w:val="21"/>
                <w:szCs w:val="21"/>
                <w:u w:val="wave"/>
              </w:rPr>
            </w:pPr>
            <w:r>
              <w:rPr>
                <w:sz w:val="21"/>
                <w:szCs w:val="21"/>
                <w:u w:val="wave"/>
              </w:rPr>
              <w:t>环保热线</w:t>
            </w:r>
          </w:p>
        </w:tc>
        <w:tc>
          <w:tcPr>
            <w:tcW w:w="3010" w:type="dxa"/>
            <w:vAlign w:val="center"/>
          </w:tcPr>
          <w:p w14:paraId="2E9D09B3">
            <w:pPr>
              <w:spacing w:line="240" w:lineRule="auto"/>
              <w:jc w:val="center"/>
              <w:rPr>
                <w:sz w:val="21"/>
                <w:szCs w:val="21"/>
                <w:u w:val="wave"/>
              </w:rPr>
            </w:pPr>
            <w:r>
              <w:rPr>
                <w:sz w:val="21"/>
                <w:szCs w:val="21"/>
                <w:u w:val="wave"/>
              </w:rPr>
              <w:t>12369</w:t>
            </w:r>
          </w:p>
        </w:tc>
      </w:tr>
      <w:tr w14:paraId="56779B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1" w:type="dxa"/>
            <w:vAlign w:val="center"/>
          </w:tcPr>
          <w:p w14:paraId="4A390A22">
            <w:pPr>
              <w:spacing w:line="240" w:lineRule="auto"/>
              <w:jc w:val="center"/>
              <w:rPr>
                <w:rFonts w:hint="eastAsia" w:eastAsia="宋体"/>
                <w:sz w:val="21"/>
                <w:szCs w:val="21"/>
                <w:u w:val="wave"/>
                <w:lang w:val="en-US" w:eastAsia="zh-CN"/>
              </w:rPr>
            </w:pPr>
            <w:r>
              <w:rPr>
                <w:rFonts w:hint="eastAsia"/>
                <w:sz w:val="21"/>
                <w:szCs w:val="21"/>
                <w:u w:val="wave"/>
                <w:lang w:val="en-US" w:eastAsia="zh-CN"/>
              </w:rPr>
              <w:t>2</w:t>
            </w:r>
          </w:p>
        </w:tc>
        <w:tc>
          <w:tcPr>
            <w:tcW w:w="3762" w:type="dxa"/>
            <w:vAlign w:val="center"/>
          </w:tcPr>
          <w:p w14:paraId="06761006">
            <w:pPr>
              <w:spacing w:line="240" w:lineRule="auto"/>
              <w:jc w:val="center"/>
              <w:rPr>
                <w:rFonts w:ascii="Times New Roman" w:hAnsi="Times New Roman" w:eastAsia="宋体" w:cs="Times New Roman"/>
                <w:kern w:val="2"/>
                <w:sz w:val="21"/>
                <w:szCs w:val="21"/>
                <w:u w:val="wave"/>
                <w:lang w:val="en-US" w:eastAsia="zh-CN" w:bidi="ar-SA"/>
              </w:rPr>
            </w:pPr>
            <w:r>
              <w:rPr>
                <w:rFonts w:hint="eastAsia"/>
                <w:sz w:val="21"/>
                <w:szCs w:val="21"/>
                <w:u w:val="wave"/>
              </w:rPr>
              <w:t>湖南省生态环境监测中心</w:t>
            </w:r>
          </w:p>
        </w:tc>
        <w:tc>
          <w:tcPr>
            <w:tcW w:w="3010" w:type="dxa"/>
            <w:vAlign w:val="center"/>
          </w:tcPr>
          <w:p w14:paraId="3FE480F5">
            <w:pPr>
              <w:spacing w:line="240" w:lineRule="auto"/>
              <w:jc w:val="center"/>
              <w:rPr>
                <w:rFonts w:ascii="Times New Roman" w:hAnsi="Times New Roman" w:eastAsia="宋体" w:cs="Times New Roman"/>
                <w:kern w:val="2"/>
                <w:sz w:val="21"/>
                <w:szCs w:val="21"/>
                <w:u w:val="wave"/>
                <w:lang w:val="en-US" w:eastAsia="zh-CN" w:bidi="ar-SA"/>
              </w:rPr>
            </w:pPr>
            <w:r>
              <w:rPr>
                <w:sz w:val="21"/>
                <w:szCs w:val="21"/>
                <w:u w:val="wave"/>
              </w:rPr>
              <w:t>0731- 82592338</w:t>
            </w:r>
          </w:p>
        </w:tc>
      </w:tr>
      <w:tr w14:paraId="6E2B4D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1" w:type="dxa"/>
            <w:vAlign w:val="center"/>
          </w:tcPr>
          <w:p w14:paraId="4456EB77">
            <w:pPr>
              <w:spacing w:line="240" w:lineRule="auto"/>
              <w:jc w:val="center"/>
              <w:rPr>
                <w:rFonts w:hint="eastAsia" w:eastAsia="宋体"/>
                <w:sz w:val="21"/>
                <w:szCs w:val="21"/>
                <w:u w:val="wave"/>
                <w:lang w:eastAsia="zh-CN"/>
              </w:rPr>
            </w:pPr>
            <w:r>
              <w:rPr>
                <w:rFonts w:hint="eastAsia"/>
                <w:sz w:val="21"/>
                <w:szCs w:val="21"/>
                <w:u w:val="wave"/>
                <w:lang w:val="en-US" w:eastAsia="zh-CN"/>
              </w:rPr>
              <w:t>3</w:t>
            </w:r>
          </w:p>
        </w:tc>
        <w:tc>
          <w:tcPr>
            <w:tcW w:w="3762" w:type="dxa"/>
            <w:vAlign w:val="center"/>
          </w:tcPr>
          <w:p w14:paraId="163AA32E">
            <w:pPr>
              <w:spacing w:line="240" w:lineRule="auto"/>
              <w:jc w:val="center"/>
              <w:rPr>
                <w:rFonts w:hint="eastAsia"/>
                <w:sz w:val="21"/>
                <w:szCs w:val="21"/>
                <w:u w:val="wave"/>
              </w:rPr>
            </w:pPr>
            <w:r>
              <w:rPr>
                <w:rFonts w:hint="eastAsia"/>
                <w:sz w:val="21"/>
                <w:szCs w:val="21"/>
                <w:u w:val="wave"/>
              </w:rPr>
              <w:t>邵阳市应急管理局</w:t>
            </w:r>
          </w:p>
        </w:tc>
        <w:tc>
          <w:tcPr>
            <w:tcW w:w="3010" w:type="dxa"/>
            <w:vAlign w:val="center"/>
          </w:tcPr>
          <w:p w14:paraId="669F761C">
            <w:pPr>
              <w:spacing w:line="240" w:lineRule="auto"/>
              <w:jc w:val="center"/>
              <w:rPr>
                <w:rFonts w:hint="eastAsia"/>
                <w:sz w:val="21"/>
                <w:szCs w:val="21"/>
                <w:u w:val="wave"/>
              </w:rPr>
            </w:pPr>
            <w:r>
              <w:rPr>
                <w:sz w:val="21"/>
                <w:szCs w:val="21"/>
                <w:u w:val="wave"/>
              </w:rPr>
              <w:t>07</w:t>
            </w:r>
            <w:r>
              <w:rPr>
                <w:rFonts w:hint="eastAsia"/>
                <w:sz w:val="21"/>
                <w:szCs w:val="21"/>
                <w:u w:val="wave"/>
              </w:rPr>
              <w:t>39</w:t>
            </w:r>
            <w:r>
              <w:rPr>
                <w:sz w:val="21"/>
                <w:szCs w:val="21"/>
                <w:u w:val="wave"/>
              </w:rPr>
              <w:t>-</w:t>
            </w:r>
            <w:r>
              <w:rPr>
                <w:rFonts w:hint="eastAsia"/>
                <w:sz w:val="21"/>
                <w:szCs w:val="21"/>
                <w:u w:val="wave"/>
              </w:rPr>
              <w:t>5362373</w:t>
            </w:r>
          </w:p>
        </w:tc>
      </w:tr>
      <w:tr w14:paraId="07A599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1" w:type="dxa"/>
            <w:vAlign w:val="center"/>
          </w:tcPr>
          <w:p w14:paraId="2ACFD0D0">
            <w:pPr>
              <w:spacing w:line="240" w:lineRule="auto"/>
              <w:jc w:val="center"/>
              <w:rPr>
                <w:rFonts w:hint="eastAsia" w:eastAsia="宋体"/>
                <w:sz w:val="21"/>
                <w:szCs w:val="21"/>
                <w:u w:val="wave"/>
                <w:lang w:eastAsia="zh-CN"/>
              </w:rPr>
            </w:pPr>
            <w:r>
              <w:rPr>
                <w:rFonts w:hint="eastAsia"/>
                <w:sz w:val="21"/>
                <w:szCs w:val="21"/>
                <w:u w:val="wave"/>
                <w:lang w:val="en-US" w:eastAsia="zh-CN"/>
              </w:rPr>
              <w:t>4</w:t>
            </w:r>
          </w:p>
        </w:tc>
        <w:tc>
          <w:tcPr>
            <w:tcW w:w="3762" w:type="dxa"/>
            <w:vAlign w:val="center"/>
          </w:tcPr>
          <w:p w14:paraId="33A9F5A3">
            <w:pPr>
              <w:spacing w:line="240" w:lineRule="auto"/>
              <w:jc w:val="center"/>
              <w:rPr>
                <w:rFonts w:hint="eastAsia"/>
                <w:sz w:val="21"/>
                <w:szCs w:val="21"/>
                <w:u w:val="wave"/>
              </w:rPr>
            </w:pPr>
            <w:r>
              <w:rPr>
                <w:rFonts w:hint="eastAsia"/>
                <w:sz w:val="21"/>
                <w:szCs w:val="21"/>
                <w:u w:val="wave"/>
              </w:rPr>
              <w:t>邵阳市生态环境局</w:t>
            </w:r>
          </w:p>
        </w:tc>
        <w:tc>
          <w:tcPr>
            <w:tcW w:w="3010" w:type="dxa"/>
            <w:vAlign w:val="center"/>
          </w:tcPr>
          <w:p w14:paraId="4AE15219">
            <w:pPr>
              <w:spacing w:line="240" w:lineRule="auto"/>
              <w:jc w:val="center"/>
              <w:rPr>
                <w:rFonts w:hint="eastAsia"/>
                <w:sz w:val="21"/>
                <w:szCs w:val="21"/>
                <w:u w:val="wave"/>
              </w:rPr>
            </w:pPr>
            <w:r>
              <w:rPr>
                <w:sz w:val="21"/>
                <w:szCs w:val="21"/>
                <w:u w:val="wave"/>
              </w:rPr>
              <w:t>07</w:t>
            </w:r>
            <w:r>
              <w:rPr>
                <w:rFonts w:hint="eastAsia"/>
                <w:sz w:val="21"/>
                <w:szCs w:val="21"/>
                <w:u w:val="wave"/>
              </w:rPr>
              <w:t>39</w:t>
            </w:r>
            <w:r>
              <w:rPr>
                <w:sz w:val="21"/>
                <w:szCs w:val="21"/>
                <w:u w:val="wave"/>
              </w:rPr>
              <w:t>-</w:t>
            </w:r>
            <w:r>
              <w:rPr>
                <w:rFonts w:hint="eastAsia"/>
                <w:sz w:val="21"/>
                <w:szCs w:val="21"/>
                <w:u w:val="wave"/>
              </w:rPr>
              <w:t>5311673</w:t>
            </w:r>
          </w:p>
        </w:tc>
      </w:tr>
      <w:tr w14:paraId="426EEF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1" w:type="dxa"/>
            <w:vAlign w:val="center"/>
          </w:tcPr>
          <w:p w14:paraId="3CD8CAB8">
            <w:pPr>
              <w:spacing w:line="240" w:lineRule="auto"/>
              <w:jc w:val="center"/>
              <w:rPr>
                <w:rFonts w:hint="eastAsia" w:eastAsia="宋体"/>
                <w:sz w:val="21"/>
                <w:szCs w:val="21"/>
                <w:u w:val="wave"/>
                <w:lang w:eastAsia="zh-CN"/>
              </w:rPr>
            </w:pPr>
            <w:r>
              <w:rPr>
                <w:rFonts w:hint="eastAsia"/>
                <w:sz w:val="21"/>
                <w:szCs w:val="21"/>
                <w:u w:val="wave"/>
                <w:lang w:val="en-US" w:eastAsia="zh-CN"/>
              </w:rPr>
              <w:t>5</w:t>
            </w:r>
          </w:p>
        </w:tc>
        <w:tc>
          <w:tcPr>
            <w:tcW w:w="3762" w:type="dxa"/>
            <w:vAlign w:val="center"/>
          </w:tcPr>
          <w:p w14:paraId="2EC37018">
            <w:pPr>
              <w:spacing w:line="240" w:lineRule="auto"/>
              <w:jc w:val="center"/>
              <w:rPr>
                <w:sz w:val="21"/>
                <w:szCs w:val="21"/>
                <w:u w:val="wave"/>
              </w:rPr>
            </w:pPr>
            <w:r>
              <w:rPr>
                <w:rFonts w:hint="eastAsia"/>
                <w:sz w:val="21"/>
                <w:szCs w:val="21"/>
                <w:u w:val="wave"/>
              </w:rPr>
              <w:t>湖南省邵阳生态环境监测中心</w:t>
            </w:r>
          </w:p>
        </w:tc>
        <w:tc>
          <w:tcPr>
            <w:tcW w:w="3010" w:type="dxa"/>
            <w:vAlign w:val="center"/>
          </w:tcPr>
          <w:p w14:paraId="03798621">
            <w:pPr>
              <w:spacing w:line="240" w:lineRule="auto"/>
              <w:jc w:val="center"/>
              <w:rPr>
                <w:rFonts w:hint="eastAsia"/>
                <w:sz w:val="21"/>
                <w:szCs w:val="21"/>
                <w:u w:val="wave"/>
              </w:rPr>
            </w:pPr>
            <w:r>
              <w:rPr>
                <w:sz w:val="21"/>
                <w:szCs w:val="21"/>
                <w:u w:val="wave"/>
              </w:rPr>
              <w:t>07</w:t>
            </w:r>
            <w:r>
              <w:rPr>
                <w:rFonts w:hint="eastAsia"/>
                <w:sz w:val="21"/>
                <w:szCs w:val="21"/>
                <w:u w:val="wave"/>
              </w:rPr>
              <w:t>39</w:t>
            </w:r>
            <w:r>
              <w:rPr>
                <w:sz w:val="21"/>
                <w:szCs w:val="21"/>
                <w:u w:val="wave"/>
              </w:rPr>
              <w:t>-</w:t>
            </w:r>
            <w:r>
              <w:rPr>
                <w:rFonts w:hint="eastAsia"/>
                <w:sz w:val="21"/>
                <w:szCs w:val="21"/>
                <w:u w:val="wave"/>
              </w:rPr>
              <w:t>5657173</w:t>
            </w:r>
          </w:p>
        </w:tc>
      </w:tr>
      <w:tr w14:paraId="491D3C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1" w:type="dxa"/>
            <w:vAlign w:val="center"/>
          </w:tcPr>
          <w:p w14:paraId="26A84300">
            <w:pPr>
              <w:spacing w:line="240" w:lineRule="auto"/>
              <w:jc w:val="center"/>
              <w:rPr>
                <w:rFonts w:hint="eastAsia" w:eastAsia="宋体"/>
                <w:sz w:val="21"/>
                <w:szCs w:val="21"/>
                <w:u w:val="wave"/>
                <w:lang w:eastAsia="zh-CN"/>
              </w:rPr>
            </w:pPr>
            <w:r>
              <w:rPr>
                <w:rFonts w:hint="eastAsia"/>
                <w:sz w:val="21"/>
                <w:szCs w:val="21"/>
                <w:u w:val="wave"/>
                <w:lang w:val="en-US" w:eastAsia="zh-CN"/>
              </w:rPr>
              <w:t>6</w:t>
            </w:r>
          </w:p>
        </w:tc>
        <w:tc>
          <w:tcPr>
            <w:tcW w:w="3762" w:type="dxa"/>
            <w:vAlign w:val="center"/>
          </w:tcPr>
          <w:p w14:paraId="3FD96139">
            <w:pPr>
              <w:spacing w:line="240" w:lineRule="auto"/>
              <w:jc w:val="center"/>
              <w:rPr>
                <w:rFonts w:hint="eastAsia"/>
                <w:sz w:val="21"/>
                <w:szCs w:val="21"/>
                <w:u w:val="wave"/>
              </w:rPr>
            </w:pPr>
            <w:r>
              <w:rPr>
                <w:rFonts w:hint="eastAsia"/>
                <w:sz w:val="21"/>
                <w:szCs w:val="21"/>
                <w:u w:val="wave"/>
              </w:rPr>
              <w:t>邵阳市</w:t>
            </w:r>
            <w:r>
              <w:rPr>
                <w:sz w:val="21"/>
                <w:szCs w:val="21"/>
                <w:u w:val="wave"/>
              </w:rPr>
              <w:t>消防</w:t>
            </w:r>
            <w:r>
              <w:rPr>
                <w:rFonts w:hint="eastAsia"/>
                <w:sz w:val="21"/>
                <w:szCs w:val="21"/>
                <w:u w:val="wave"/>
              </w:rPr>
              <w:t>救援支队</w:t>
            </w:r>
          </w:p>
        </w:tc>
        <w:tc>
          <w:tcPr>
            <w:tcW w:w="3010" w:type="dxa"/>
            <w:vAlign w:val="center"/>
          </w:tcPr>
          <w:p w14:paraId="57700382">
            <w:pPr>
              <w:spacing w:line="240" w:lineRule="auto"/>
              <w:jc w:val="center"/>
              <w:rPr>
                <w:sz w:val="21"/>
                <w:szCs w:val="21"/>
                <w:u w:val="wave"/>
              </w:rPr>
            </w:pPr>
            <w:r>
              <w:rPr>
                <w:sz w:val="21"/>
                <w:szCs w:val="21"/>
                <w:u w:val="wave"/>
              </w:rPr>
              <w:t>119</w:t>
            </w:r>
          </w:p>
        </w:tc>
      </w:tr>
      <w:tr w14:paraId="747F0F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1" w:type="dxa"/>
            <w:vAlign w:val="center"/>
          </w:tcPr>
          <w:p w14:paraId="13181EC9">
            <w:pPr>
              <w:spacing w:line="240" w:lineRule="auto"/>
              <w:jc w:val="center"/>
              <w:rPr>
                <w:rFonts w:hint="eastAsia" w:eastAsia="宋体"/>
                <w:sz w:val="21"/>
                <w:szCs w:val="21"/>
                <w:u w:val="wave"/>
                <w:lang w:eastAsia="zh-CN"/>
              </w:rPr>
            </w:pPr>
            <w:r>
              <w:rPr>
                <w:rFonts w:hint="eastAsia"/>
                <w:sz w:val="21"/>
                <w:szCs w:val="21"/>
                <w:u w:val="wave"/>
                <w:lang w:val="en-US" w:eastAsia="zh-CN"/>
              </w:rPr>
              <w:t>7</w:t>
            </w:r>
          </w:p>
        </w:tc>
        <w:tc>
          <w:tcPr>
            <w:tcW w:w="3762" w:type="dxa"/>
            <w:vAlign w:val="center"/>
          </w:tcPr>
          <w:p w14:paraId="0511A72C">
            <w:pPr>
              <w:spacing w:line="240" w:lineRule="auto"/>
              <w:jc w:val="center"/>
              <w:rPr>
                <w:rFonts w:hint="default" w:eastAsia="宋体"/>
                <w:sz w:val="21"/>
                <w:szCs w:val="21"/>
                <w:u w:val="wave"/>
                <w:lang w:val="en-US" w:eastAsia="zh-CN"/>
              </w:rPr>
            </w:pPr>
            <w:r>
              <w:rPr>
                <w:rFonts w:hint="eastAsia"/>
                <w:sz w:val="21"/>
                <w:szCs w:val="21"/>
                <w:u w:val="wave"/>
                <w:lang w:val="en-US" w:eastAsia="zh-CN"/>
              </w:rPr>
              <w:t>邵阳市生态环境局绥宁分局</w:t>
            </w:r>
          </w:p>
        </w:tc>
        <w:tc>
          <w:tcPr>
            <w:tcW w:w="3010" w:type="dxa"/>
            <w:vAlign w:val="center"/>
          </w:tcPr>
          <w:p w14:paraId="3F22F90C">
            <w:pPr>
              <w:spacing w:line="240" w:lineRule="auto"/>
              <w:jc w:val="center"/>
              <w:rPr>
                <w:rFonts w:hint="default" w:eastAsia="宋体"/>
                <w:sz w:val="21"/>
                <w:szCs w:val="21"/>
                <w:u w:val="wave"/>
                <w:lang w:val="en-US" w:eastAsia="zh-CN"/>
              </w:rPr>
            </w:pPr>
            <w:r>
              <w:rPr>
                <w:rFonts w:hint="eastAsia"/>
                <w:sz w:val="21"/>
                <w:szCs w:val="21"/>
                <w:u w:val="wave"/>
                <w:lang w:val="en-US" w:eastAsia="zh-CN"/>
              </w:rPr>
              <w:t>0739-7611158</w:t>
            </w:r>
          </w:p>
        </w:tc>
      </w:tr>
      <w:tr w14:paraId="5648B7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1" w:type="dxa"/>
            <w:vAlign w:val="center"/>
          </w:tcPr>
          <w:p w14:paraId="3EB37BBE">
            <w:pPr>
              <w:spacing w:line="240" w:lineRule="auto"/>
              <w:jc w:val="center"/>
              <w:rPr>
                <w:rFonts w:hint="eastAsia" w:eastAsia="宋体"/>
                <w:sz w:val="21"/>
                <w:szCs w:val="21"/>
                <w:u w:val="wave"/>
                <w:lang w:val="en-US" w:eastAsia="zh-CN"/>
              </w:rPr>
            </w:pPr>
            <w:r>
              <w:rPr>
                <w:rFonts w:hint="eastAsia"/>
                <w:sz w:val="21"/>
                <w:szCs w:val="21"/>
                <w:u w:val="wave"/>
                <w:lang w:val="en-US" w:eastAsia="zh-CN"/>
              </w:rPr>
              <w:t>8</w:t>
            </w:r>
          </w:p>
        </w:tc>
        <w:tc>
          <w:tcPr>
            <w:tcW w:w="3762" w:type="dxa"/>
            <w:vAlign w:val="center"/>
          </w:tcPr>
          <w:p w14:paraId="06A41F11">
            <w:pPr>
              <w:spacing w:line="240" w:lineRule="auto"/>
              <w:jc w:val="center"/>
              <w:rPr>
                <w:rFonts w:hint="default"/>
                <w:sz w:val="21"/>
                <w:szCs w:val="21"/>
                <w:u w:val="wave"/>
                <w:lang w:val="en-US" w:eastAsia="zh-CN"/>
              </w:rPr>
            </w:pPr>
            <w:r>
              <w:rPr>
                <w:rFonts w:hint="eastAsia"/>
                <w:sz w:val="21"/>
                <w:szCs w:val="21"/>
                <w:u w:val="wave"/>
                <w:lang w:val="en-US" w:eastAsia="zh-CN"/>
              </w:rPr>
              <w:t>绥宁县应急管理局</w:t>
            </w:r>
          </w:p>
        </w:tc>
        <w:tc>
          <w:tcPr>
            <w:tcW w:w="3010" w:type="dxa"/>
            <w:vAlign w:val="center"/>
          </w:tcPr>
          <w:p w14:paraId="33E313BC">
            <w:pPr>
              <w:spacing w:line="240" w:lineRule="auto"/>
              <w:jc w:val="center"/>
              <w:rPr>
                <w:rFonts w:hint="eastAsia"/>
                <w:sz w:val="21"/>
                <w:szCs w:val="21"/>
                <w:u w:val="wave"/>
                <w:lang w:val="en-US" w:eastAsia="zh-CN"/>
              </w:rPr>
            </w:pPr>
            <w:r>
              <w:rPr>
                <w:rFonts w:hint="eastAsia"/>
                <w:sz w:val="21"/>
                <w:szCs w:val="21"/>
                <w:u w:val="wave"/>
                <w:lang w:val="en-US" w:eastAsia="zh-CN"/>
              </w:rPr>
              <w:t>0739-7618001</w:t>
            </w:r>
          </w:p>
        </w:tc>
      </w:tr>
      <w:tr w14:paraId="300907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1" w:type="dxa"/>
            <w:vAlign w:val="center"/>
          </w:tcPr>
          <w:p w14:paraId="70BE1BC5">
            <w:pPr>
              <w:spacing w:line="240" w:lineRule="auto"/>
              <w:jc w:val="center"/>
              <w:rPr>
                <w:rFonts w:hint="eastAsia" w:eastAsia="宋体"/>
                <w:sz w:val="21"/>
                <w:szCs w:val="21"/>
                <w:u w:val="wave"/>
                <w:lang w:val="en-US" w:eastAsia="zh-CN"/>
              </w:rPr>
            </w:pPr>
            <w:r>
              <w:rPr>
                <w:rFonts w:hint="eastAsia"/>
                <w:sz w:val="21"/>
                <w:szCs w:val="21"/>
                <w:u w:val="wave"/>
                <w:lang w:val="en-US" w:eastAsia="zh-CN"/>
              </w:rPr>
              <w:t>9</w:t>
            </w:r>
          </w:p>
        </w:tc>
        <w:tc>
          <w:tcPr>
            <w:tcW w:w="3762" w:type="dxa"/>
            <w:vAlign w:val="center"/>
          </w:tcPr>
          <w:p w14:paraId="6B09CB74">
            <w:pPr>
              <w:spacing w:line="240" w:lineRule="auto"/>
              <w:jc w:val="center"/>
              <w:rPr>
                <w:rFonts w:hint="default"/>
                <w:sz w:val="21"/>
                <w:szCs w:val="21"/>
                <w:u w:val="wave"/>
                <w:lang w:val="en-US" w:eastAsia="zh-CN"/>
              </w:rPr>
            </w:pPr>
            <w:r>
              <w:rPr>
                <w:rFonts w:hint="eastAsia"/>
                <w:sz w:val="21"/>
                <w:szCs w:val="21"/>
                <w:u w:val="wave"/>
                <w:lang w:val="en-US" w:eastAsia="zh-CN"/>
              </w:rPr>
              <w:t>绥宁县农业农村水利局</w:t>
            </w:r>
          </w:p>
        </w:tc>
        <w:tc>
          <w:tcPr>
            <w:tcW w:w="3010" w:type="dxa"/>
            <w:vAlign w:val="center"/>
          </w:tcPr>
          <w:p w14:paraId="7387B7B5">
            <w:pPr>
              <w:spacing w:line="240" w:lineRule="auto"/>
              <w:jc w:val="center"/>
              <w:rPr>
                <w:rFonts w:hint="eastAsia"/>
                <w:sz w:val="21"/>
                <w:szCs w:val="21"/>
                <w:u w:val="wave"/>
                <w:lang w:val="en-US" w:eastAsia="zh-CN"/>
              </w:rPr>
            </w:pPr>
            <w:r>
              <w:rPr>
                <w:rFonts w:hint="eastAsia"/>
                <w:sz w:val="21"/>
                <w:szCs w:val="21"/>
                <w:u w:val="wave"/>
                <w:lang w:val="en-US" w:eastAsia="zh-CN"/>
              </w:rPr>
              <w:t>0739-7611829</w:t>
            </w:r>
          </w:p>
        </w:tc>
      </w:tr>
      <w:tr w14:paraId="57A5BC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1" w:type="dxa"/>
            <w:vAlign w:val="center"/>
          </w:tcPr>
          <w:p w14:paraId="097E07B7">
            <w:pPr>
              <w:spacing w:line="240" w:lineRule="auto"/>
              <w:jc w:val="center"/>
              <w:rPr>
                <w:rFonts w:hint="default" w:eastAsia="宋体"/>
                <w:sz w:val="21"/>
                <w:szCs w:val="21"/>
                <w:u w:val="wave"/>
                <w:lang w:val="en-US" w:eastAsia="zh-CN"/>
              </w:rPr>
            </w:pPr>
            <w:r>
              <w:rPr>
                <w:rFonts w:hint="eastAsia"/>
                <w:sz w:val="21"/>
                <w:szCs w:val="21"/>
                <w:u w:val="wave"/>
                <w:lang w:val="en-US" w:eastAsia="zh-CN"/>
              </w:rPr>
              <w:t>10</w:t>
            </w:r>
          </w:p>
        </w:tc>
        <w:tc>
          <w:tcPr>
            <w:tcW w:w="3762" w:type="dxa"/>
            <w:vAlign w:val="center"/>
          </w:tcPr>
          <w:p w14:paraId="154A6674">
            <w:pPr>
              <w:spacing w:line="240" w:lineRule="auto"/>
              <w:jc w:val="center"/>
              <w:rPr>
                <w:rFonts w:hint="eastAsia"/>
                <w:sz w:val="21"/>
                <w:szCs w:val="21"/>
                <w:u w:val="wave"/>
                <w:lang w:val="en-US" w:eastAsia="zh-CN"/>
              </w:rPr>
            </w:pPr>
            <w:r>
              <w:rPr>
                <w:rFonts w:hint="eastAsia"/>
                <w:sz w:val="21"/>
                <w:szCs w:val="21"/>
                <w:u w:val="wave"/>
                <w:lang w:val="en-US" w:eastAsia="zh-CN"/>
              </w:rPr>
              <w:t>绥宁县公安局</w:t>
            </w:r>
          </w:p>
        </w:tc>
        <w:tc>
          <w:tcPr>
            <w:tcW w:w="3010" w:type="dxa"/>
            <w:vAlign w:val="center"/>
          </w:tcPr>
          <w:p w14:paraId="071A0C8D">
            <w:pPr>
              <w:spacing w:line="240" w:lineRule="auto"/>
              <w:jc w:val="center"/>
              <w:rPr>
                <w:rFonts w:hint="default"/>
                <w:sz w:val="21"/>
                <w:szCs w:val="21"/>
                <w:u w:val="wave"/>
                <w:lang w:val="en-US" w:eastAsia="zh-CN"/>
              </w:rPr>
            </w:pPr>
            <w:r>
              <w:rPr>
                <w:rFonts w:hint="eastAsia"/>
                <w:sz w:val="21"/>
                <w:szCs w:val="21"/>
                <w:u w:val="wave"/>
                <w:lang w:val="en-US" w:eastAsia="zh-CN"/>
              </w:rPr>
              <w:t>110</w:t>
            </w:r>
          </w:p>
        </w:tc>
      </w:tr>
      <w:tr w14:paraId="32AC86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1" w:type="dxa"/>
            <w:vAlign w:val="center"/>
          </w:tcPr>
          <w:p w14:paraId="1430885E">
            <w:pPr>
              <w:spacing w:line="240" w:lineRule="auto"/>
              <w:jc w:val="center"/>
              <w:rPr>
                <w:rFonts w:hint="default" w:eastAsia="宋体"/>
                <w:sz w:val="21"/>
                <w:szCs w:val="21"/>
                <w:u w:val="wave"/>
                <w:lang w:val="en-US" w:eastAsia="zh-CN"/>
              </w:rPr>
            </w:pPr>
            <w:r>
              <w:rPr>
                <w:rFonts w:hint="eastAsia"/>
                <w:sz w:val="21"/>
                <w:szCs w:val="21"/>
                <w:u w:val="wave"/>
                <w:lang w:val="en-US" w:eastAsia="zh-CN"/>
              </w:rPr>
              <w:t>11</w:t>
            </w:r>
          </w:p>
        </w:tc>
        <w:tc>
          <w:tcPr>
            <w:tcW w:w="3762" w:type="dxa"/>
            <w:vAlign w:val="center"/>
          </w:tcPr>
          <w:p w14:paraId="4C14FD79">
            <w:pPr>
              <w:spacing w:line="240" w:lineRule="auto"/>
              <w:jc w:val="center"/>
              <w:rPr>
                <w:rFonts w:hint="eastAsia"/>
                <w:sz w:val="21"/>
                <w:szCs w:val="21"/>
                <w:u w:val="wave"/>
              </w:rPr>
            </w:pPr>
            <w:r>
              <w:rPr>
                <w:u w:val="wave"/>
              </w:rPr>
              <w:fldChar w:fldCharType="begin"/>
            </w:r>
            <w:r>
              <w:rPr>
                <w:u w:val="wave"/>
              </w:rPr>
              <w:instrText xml:space="preserve"> HYPERLINK "http://www.baidu.com/link?url=ySKwIUUOIrXl1pFNTTz2EPzQdeXkko4M2PWvdE7f0VukaaC6ueuAv0laYNEg1yXhaYmHmRM8mtvqUnos6rQK9EL9hv77dvU1mRf94_48eXx-zaC3Fj2J1jsxrF6uRWG7OjHfmUEgTGUakJ-jVnt7B9f-xTGVDmVBVUn87wBUspcAEn0OQ7lbPtZJFGDxL3ih3j24d-ri48EnrMTx36CLKM54_CkLRUS7TTQYRubtDn1jevdOB0LosToi92kIiGEl" \t "https://www.baidu.com/_blank" </w:instrText>
            </w:r>
            <w:r>
              <w:rPr>
                <w:u w:val="wave"/>
              </w:rPr>
              <w:fldChar w:fldCharType="separate"/>
            </w:r>
            <w:r>
              <w:rPr>
                <w:rFonts w:hint="eastAsia"/>
                <w:sz w:val="21"/>
                <w:szCs w:val="21"/>
                <w:u w:val="wave"/>
              </w:rPr>
              <w:t>广电计量检测（湖南）有限公司</w:t>
            </w:r>
            <w:r>
              <w:rPr>
                <w:rFonts w:hint="eastAsia"/>
                <w:sz w:val="21"/>
                <w:szCs w:val="21"/>
                <w:u w:val="wave"/>
              </w:rPr>
              <w:fldChar w:fldCharType="end"/>
            </w:r>
          </w:p>
        </w:tc>
        <w:tc>
          <w:tcPr>
            <w:tcW w:w="3010" w:type="dxa"/>
            <w:vAlign w:val="center"/>
          </w:tcPr>
          <w:p w14:paraId="60D095F2">
            <w:pPr>
              <w:spacing w:line="240" w:lineRule="auto"/>
              <w:jc w:val="center"/>
              <w:rPr>
                <w:sz w:val="21"/>
                <w:szCs w:val="21"/>
                <w:u w:val="wave"/>
              </w:rPr>
            </w:pPr>
            <w:r>
              <w:rPr>
                <w:sz w:val="21"/>
                <w:szCs w:val="21"/>
                <w:u w:val="wave"/>
              </w:rPr>
              <w:t>0731-82677399</w:t>
            </w:r>
          </w:p>
        </w:tc>
      </w:tr>
    </w:tbl>
    <w:p w14:paraId="34A43DE7">
      <w:pPr>
        <w:pStyle w:val="5"/>
        <w:rPr>
          <w:rFonts w:hint="eastAsia"/>
        </w:rPr>
      </w:pPr>
      <w:bookmarkStart w:id="256" w:name="_Toc28278"/>
      <w:r>
        <w:rPr>
          <w:rFonts w:hint="eastAsia"/>
          <w:lang w:val="en-US" w:eastAsia="zh-CN"/>
        </w:rPr>
        <w:t>3</w:t>
      </w:r>
      <w:r>
        <w:rPr>
          <w:rFonts w:hint="eastAsia"/>
        </w:rPr>
        <w:t>.4.9应急物资储备</w:t>
      </w:r>
      <w:bookmarkEnd w:id="256"/>
    </w:p>
    <w:p w14:paraId="1248A216">
      <w:pPr>
        <w:ind w:firstLine="480" w:firstLineChars="200"/>
      </w:pPr>
      <w:r>
        <w:rPr>
          <w:rFonts w:hint="eastAsia"/>
        </w:rPr>
        <w:t>突发性环境事件应急救援设施（备）、救护仪器、药品、个人防护装备器材、消防设施和物质、通讯器材、堵漏器材、废水收集池由绥宁县自来水公司自备，并明确这些设施（备）和物质的存放点。</w:t>
      </w:r>
    </w:p>
    <w:p w14:paraId="74C68BF8">
      <w:pPr>
        <w:ind w:firstLine="480" w:firstLineChars="200"/>
      </w:pPr>
      <w:r>
        <w:rPr>
          <w:rFonts w:hint="eastAsia"/>
        </w:rPr>
        <w:t>处理泄漏物和吸收污染物的物质，如活性炭、木屑、沙子和石灰等除企业储备外，县消防救援大队另外备足、备齐。</w:t>
      </w:r>
    </w:p>
    <w:p w14:paraId="56596286">
      <w:pPr>
        <w:ind w:firstLine="480" w:firstLineChars="200"/>
      </w:pPr>
      <w:r>
        <w:rPr>
          <w:rFonts w:hint="eastAsia"/>
        </w:rPr>
        <w:t>针对可能发生的事故类型和危害程度，应急组织指挥部必须备足、备齐应急设备与物资。</w:t>
      </w:r>
    </w:p>
    <w:p w14:paraId="63DBE85F">
      <w:pPr>
        <w:ind w:firstLine="480" w:firstLineChars="200"/>
      </w:pPr>
      <w:r>
        <w:rPr>
          <w:rFonts w:hint="eastAsia"/>
        </w:rPr>
        <w:t>所有应急设备、器材有专人管理，保证完好、有效、随时可用。</w:t>
      </w:r>
    </w:p>
    <w:p w14:paraId="747F1529">
      <w:pPr>
        <w:ind w:firstLine="480" w:firstLineChars="200"/>
        <w:rPr>
          <w:rFonts w:hint="eastAsia"/>
        </w:rPr>
      </w:pPr>
      <w:r>
        <w:rPr>
          <w:rFonts w:hint="eastAsia"/>
        </w:rPr>
        <w:t>应随时更换失效、过期的器材，并有相应的跟踪检查制度和措施。并及时补充所需的个体防护用品、急救药品、器材，并有相应的跟踪检查制度、措施。</w:t>
      </w:r>
    </w:p>
    <w:p w14:paraId="3390B905">
      <w:pPr>
        <w:spacing w:line="420" w:lineRule="exact"/>
        <w:ind w:firstLine="480" w:firstLineChars="200"/>
        <w:rPr>
          <w:lang w:val="zh-CN"/>
        </w:rPr>
      </w:pPr>
      <w:r>
        <w:rPr>
          <w:lang w:val="zh-CN"/>
        </w:rPr>
        <w:t>水源地环境事故应急物资</w:t>
      </w:r>
      <w:r>
        <w:rPr>
          <w:rFonts w:hint="eastAsia"/>
        </w:rPr>
        <w:t>详</w:t>
      </w:r>
      <w:r>
        <w:rPr>
          <w:lang w:val="zh-CN"/>
        </w:rPr>
        <w:t>见</w:t>
      </w:r>
      <w:r>
        <w:rPr>
          <w:rFonts w:hint="eastAsia"/>
        </w:rPr>
        <w:t>《第四部分 环境应急资源调查报告》</w:t>
      </w:r>
      <w:r>
        <w:rPr>
          <w:lang w:val="zh-CN"/>
        </w:rPr>
        <w:t>。</w:t>
      </w:r>
    </w:p>
    <w:bookmarkEnd w:id="232"/>
    <w:bookmarkEnd w:id="233"/>
    <w:bookmarkEnd w:id="237"/>
    <w:bookmarkEnd w:id="238"/>
    <w:bookmarkEnd w:id="239"/>
    <w:p w14:paraId="736D7FD9">
      <w:pPr>
        <w:pStyle w:val="5"/>
        <w:rPr>
          <w:rStyle w:val="33"/>
          <w:b/>
          <w:bCs w:val="0"/>
          <w:sz w:val="24"/>
          <w:szCs w:val="28"/>
        </w:rPr>
      </w:pPr>
      <w:bookmarkStart w:id="257" w:name="_Toc16035"/>
      <w:bookmarkStart w:id="258" w:name="_Toc30004"/>
      <w:r>
        <w:rPr>
          <w:rStyle w:val="33"/>
          <w:rFonts w:hint="eastAsia"/>
          <w:b/>
          <w:bCs w:val="0"/>
          <w:sz w:val="24"/>
          <w:szCs w:val="28"/>
          <w:lang w:val="en-US"/>
        </w:rPr>
        <w:t>3</w:t>
      </w:r>
      <w:r>
        <w:rPr>
          <w:rStyle w:val="33"/>
          <w:b/>
          <w:bCs w:val="0"/>
          <w:sz w:val="24"/>
          <w:szCs w:val="28"/>
        </w:rPr>
        <w:t>.4.</w:t>
      </w:r>
      <w:r>
        <w:rPr>
          <w:rStyle w:val="33"/>
          <w:rFonts w:hint="eastAsia"/>
          <w:b/>
          <w:bCs w:val="0"/>
          <w:sz w:val="24"/>
          <w:szCs w:val="28"/>
        </w:rPr>
        <w:t>10</w:t>
      </w:r>
      <w:r>
        <w:rPr>
          <w:rStyle w:val="33"/>
          <w:b/>
          <w:bCs w:val="0"/>
          <w:sz w:val="24"/>
          <w:szCs w:val="28"/>
        </w:rPr>
        <w:t xml:space="preserve"> 环境风险防控能力持续改进建议</w:t>
      </w:r>
      <w:bookmarkEnd w:id="257"/>
      <w:bookmarkEnd w:id="258"/>
    </w:p>
    <w:p w14:paraId="40F1FD1E">
      <w:pPr>
        <w:ind w:firstLine="480" w:firstLineChars="200"/>
      </w:pPr>
      <w:r>
        <w:t>水源地保护区在环境风险防范技术措施和管理措施、环境应急宣传、培训及演练、环境应急物质等方面仍需进一步加强，具体措施及实施计划见表2-1</w:t>
      </w:r>
      <w:r>
        <w:rPr>
          <w:rFonts w:hint="eastAsia"/>
        </w:rPr>
        <w:t>9</w:t>
      </w:r>
      <w:r>
        <w:t>。</w:t>
      </w:r>
    </w:p>
    <w:p w14:paraId="5D82BBDB">
      <w:pPr>
        <w:spacing w:line="240" w:lineRule="auto"/>
        <w:rPr>
          <w:b/>
          <w:bCs/>
          <w:sz w:val="21"/>
          <w:szCs w:val="21"/>
        </w:rPr>
        <w:sectPr>
          <w:headerReference r:id="rId11" w:type="default"/>
          <w:footerReference r:id="rId12" w:type="default"/>
          <w:pgSz w:w="11906" w:h="16838"/>
          <w:pgMar w:top="1440" w:right="1803" w:bottom="1440" w:left="1803" w:header="992" w:footer="992" w:gutter="0"/>
          <w:cols w:space="720" w:num="1"/>
          <w:docGrid w:type="linesAndChars" w:linePitch="332" w:charSpace="0"/>
        </w:sectPr>
      </w:pPr>
    </w:p>
    <w:p w14:paraId="4797BF76">
      <w:pPr>
        <w:spacing w:line="240" w:lineRule="auto"/>
        <w:jc w:val="center"/>
        <w:rPr>
          <w:b/>
          <w:bCs/>
          <w:sz w:val="21"/>
          <w:szCs w:val="21"/>
        </w:rPr>
      </w:pPr>
      <w:bookmarkStart w:id="259" w:name="_Toc10942_WPSOffice_Level2"/>
      <w:bookmarkStart w:id="260" w:name="_Toc15579_WPSOffice_Level2"/>
      <w:r>
        <w:rPr>
          <w:b/>
          <w:bCs/>
          <w:sz w:val="21"/>
          <w:szCs w:val="21"/>
        </w:rPr>
        <w:t>表2-1</w:t>
      </w:r>
      <w:r>
        <w:rPr>
          <w:rFonts w:hint="eastAsia"/>
          <w:b/>
          <w:bCs/>
          <w:sz w:val="21"/>
          <w:szCs w:val="21"/>
        </w:rPr>
        <w:t>9</w:t>
      </w:r>
      <w:r>
        <w:rPr>
          <w:b/>
          <w:bCs/>
          <w:sz w:val="21"/>
          <w:szCs w:val="21"/>
        </w:rPr>
        <w:t xml:space="preserve"> 水源地保护区现有的风险防控措施及差距一览表</w:t>
      </w:r>
      <w:bookmarkEnd w:id="259"/>
      <w:bookmarkEnd w:id="260"/>
    </w:p>
    <w:tbl>
      <w:tblPr>
        <w:tblStyle w:val="20"/>
        <w:tblpPr w:leftFromText="180" w:rightFromText="180" w:vertAnchor="text" w:horzAnchor="page" w:tblpX="1427" w:tblpY="3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1947"/>
        <w:gridCol w:w="2748"/>
        <w:gridCol w:w="5030"/>
        <w:gridCol w:w="2280"/>
        <w:gridCol w:w="1195"/>
      </w:tblGrid>
      <w:tr w14:paraId="72C6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blHeader/>
        </w:trPr>
        <w:tc>
          <w:tcPr>
            <w:tcW w:w="974" w:type="dxa"/>
            <w:tcBorders>
              <w:top w:val="single" w:color="auto" w:sz="12" w:space="0"/>
              <w:left w:val="single" w:color="auto" w:sz="12" w:space="0"/>
              <w:bottom w:val="single" w:color="auto" w:sz="6" w:space="0"/>
              <w:right w:val="single" w:color="auto" w:sz="6" w:space="0"/>
            </w:tcBorders>
            <w:vAlign w:val="center"/>
          </w:tcPr>
          <w:p w14:paraId="4169E06F">
            <w:pPr>
              <w:pStyle w:val="68"/>
              <w:spacing w:line="240" w:lineRule="auto"/>
              <w:rPr>
                <w:rFonts w:hint="eastAsia"/>
                <w:b/>
                <w:color w:val="auto"/>
              </w:rPr>
            </w:pPr>
            <w:r>
              <w:rPr>
                <w:rFonts w:hint="eastAsia"/>
                <w:b/>
                <w:color w:val="auto"/>
              </w:rPr>
              <w:t>污染源类型</w:t>
            </w:r>
          </w:p>
        </w:tc>
        <w:tc>
          <w:tcPr>
            <w:tcW w:w="1947" w:type="dxa"/>
            <w:tcBorders>
              <w:top w:val="single" w:color="auto" w:sz="12" w:space="0"/>
              <w:left w:val="single" w:color="auto" w:sz="6" w:space="0"/>
              <w:bottom w:val="single" w:color="auto" w:sz="6" w:space="0"/>
              <w:right w:val="single" w:color="auto" w:sz="6" w:space="0"/>
            </w:tcBorders>
            <w:vAlign w:val="center"/>
          </w:tcPr>
          <w:p w14:paraId="6ABB031F">
            <w:pPr>
              <w:pStyle w:val="68"/>
              <w:spacing w:line="240" w:lineRule="auto"/>
              <w:rPr>
                <w:rFonts w:hint="eastAsia"/>
                <w:b/>
                <w:color w:val="auto"/>
              </w:rPr>
            </w:pPr>
            <w:r>
              <w:rPr>
                <w:rFonts w:hint="eastAsia"/>
                <w:b/>
                <w:color w:val="auto"/>
              </w:rPr>
              <w:t>任务</w:t>
            </w:r>
          </w:p>
        </w:tc>
        <w:tc>
          <w:tcPr>
            <w:tcW w:w="2748" w:type="dxa"/>
            <w:tcBorders>
              <w:top w:val="single" w:color="auto" w:sz="12" w:space="0"/>
              <w:left w:val="single" w:color="auto" w:sz="6" w:space="0"/>
              <w:bottom w:val="single" w:color="auto" w:sz="6" w:space="0"/>
              <w:right w:val="single" w:color="auto" w:sz="6" w:space="0"/>
            </w:tcBorders>
            <w:vAlign w:val="center"/>
          </w:tcPr>
          <w:p w14:paraId="0A3006FE">
            <w:pPr>
              <w:pStyle w:val="68"/>
              <w:spacing w:line="240" w:lineRule="auto"/>
              <w:rPr>
                <w:b/>
                <w:color w:val="auto"/>
              </w:rPr>
            </w:pPr>
            <w:r>
              <w:rPr>
                <w:rFonts w:hint="eastAsia"/>
                <w:b/>
                <w:color w:val="auto"/>
              </w:rPr>
              <w:t>污染源整治</w:t>
            </w:r>
            <w:r>
              <w:rPr>
                <w:b/>
                <w:color w:val="auto"/>
              </w:rPr>
              <w:t>存在的问题</w:t>
            </w:r>
          </w:p>
        </w:tc>
        <w:tc>
          <w:tcPr>
            <w:tcW w:w="5030" w:type="dxa"/>
            <w:tcBorders>
              <w:top w:val="single" w:color="auto" w:sz="12" w:space="0"/>
              <w:left w:val="single" w:color="auto" w:sz="6" w:space="0"/>
              <w:bottom w:val="single" w:color="auto" w:sz="6" w:space="0"/>
              <w:right w:val="single" w:color="auto" w:sz="6" w:space="0"/>
            </w:tcBorders>
            <w:vAlign w:val="center"/>
          </w:tcPr>
          <w:p w14:paraId="0D0FD545">
            <w:pPr>
              <w:pStyle w:val="68"/>
              <w:spacing w:line="240" w:lineRule="auto"/>
              <w:rPr>
                <w:b/>
                <w:color w:val="auto"/>
              </w:rPr>
            </w:pPr>
            <w:r>
              <w:rPr>
                <w:b/>
                <w:color w:val="auto"/>
              </w:rPr>
              <w:t>完善建议</w:t>
            </w:r>
          </w:p>
        </w:tc>
        <w:tc>
          <w:tcPr>
            <w:tcW w:w="2280" w:type="dxa"/>
            <w:tcBorders>
              <w:top w:val="single" w:color="auto" w:sz="12" w:space="0"/>
              <w:left w:val="single" w:color="auto" w:sz="6" w:space="0"/>
              <w:bottom w:val="single" w:color="auto" w:sz="6" w:space="0"/>
              <w:right w:val="single" w:color="auto" w:sz="6" w:space="0"/>
            </w:tcBorders>
            <w:vAlign w:val="center"/>
          </w:tcPr>
          <w:p w14:paraId="4C087E2F">
            <w:pPr>
              <w:pStyle w:val="68"/>
              <w:spacing w:line="240" w:lineRule="auto"/>
              <w:rPr>
                <w:b/>
                <w:color w:val="auto"/>
              </w:rPr>
            </w:pPr>
            <w:r>
              <w:rPr>
                <w:b/>
                <w:color w:val="auto"/>
              </w:rPr>
              <w:t>责任单位</w:t>
            </w:r>
          </w:p>
        </w:tc>
        <w:tc>
          <w:tcPr>
            <w:tcW w:w="1195" w:type="dxa"/>
            <w:tcBorders>
              <w:top w:val="single" w:color="auto" w:sz="12" w:space="0"/>
              <w:left w:val="single" w:color="auto" w:sz="6" w:space="0"/>
              <w:bottom w:val="single" w:color="auto" w:sz="6" w:space="0"/>
              <w:right w:val="single" w:color="auto" w:sz="12" w:space="0"/>
            </w:tcBorders>
            <w:vAlign w:val="center"/>
          </w:tcPr>
          <w:p w14:paraId="049BB9AD">
            <w:pPr>
              <w:pStyle w:val="68"/>
              <w:spacing w:line="240" w:lineRule="auto"/>
              <w:rPr>
                <w:rFonts w:hint="eastAsia"/>
                <w:b/>
                <w:color w:val="auto"/>
              </w:rPr>
            </w:pPr>
            <w:r>
              <w:rPr>
                <w:rFonts w:hint="eastAsia"/>
                <w:b/>
                <w:color w:val="auto"/>
              </w:rPr>
              <w:t>时限要求</w:t>
            </w:r>
          </w:p>
        </w:tc>
      </w:tr>
      <w:tr w14:paraId="42F5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974" w:type="dxa"/>
            <w:tcBorders>
              <w:top w:val="single" w:color="auto" w:sz="6" w:space="0"/>
              <w:left w:val="single" w:color="auto" w:sz="12" w:space="0"/>
              <w:bottom w:val="single" w:color="auto" w:sz="6" w:space="0"/>
              <w:right w:val="single" w:color="auto" w:sz="6" w:space="0"/>
            </w:tcBorders>
            <w:vAlign w:val="center"/>
          </w:tcPr>
          <w:p w14:paraId="709FBD63">
            <w:pPr>
              <w:spacing w:line="240" w:lineRule="auto"/>
              <w:jc w:val="center"/>
              <w:rPr>
                <w:rFonts w:hint="eastAsia"/>
                <w:sz w:val="21"/>
                <w:szCs w:val="21"/>
              </w:rPr>
            </w:pPr>
            <w:r>
              <w:rPr>
                <w:rFonts w:hint="eastAsia"/>
                <w:sz w:val="21"/>
                <w:szCs w:val="21"/>
              </w:rPr>
              <w:t>固定污染源</w:t>
            </w:r>
          </w:p>
        </w:tc>
        <w:tc>
          <w:tcPr>
            <w:tcW w:w="1947" w:type="dxa"/>
            <w:tcBorders>
              <w:top w:val="single" w:color="auto" w:sz="6" w:space="0"/>
              <w:left w:val="single" w:color="auto" w:sz="6" w:space="0"/>
              <w:bottom w:val="single" w:color="auto" w:sz="6" w:space="0"/>
              <w:right w:val="single" w:color="auto" w:sz="6" w:space="0"/>
            </w:tcBorders>
            <w:vAlign w:val="center"/>
          </w:tcPr>
          <w:p w14:paraId="48C268FC">
            <w:pPr>
              <w:spacing w:line="240" w:lineRule="auto"/>
              <w:jc w:val="center"/>
              <w:rPr>
                <w:rFonts w:hint="eastAsia"/>
                <w:sz w:val="21"/>
                <w:szCs w:val="21"/>
              </w:rPr>
            </w:pPr>
            <w:r>
              <w:rPr>
                <w:rFonts w:hint="eastAsia"/>
                <w:sz w:val="21"/>
                <w:szCs w:val="21"/>
              </w:rPr>
              <w:t>确保固定污染源对水源地保护区不产生影响</w:t>
            </w:r>
          </w:p>
        </w:tc>
        <w:tc>
          <w:tcPr>
            <w:tcW w:w="2748" w:type="dxa"/>
            <w:tcBorders>
              <w:top w:val="single" w:color="auto" w:sz="6" w:space="0"/>
              <w:left w:val="single" w:color="auto" w:sz="6" w:space="0"/>
              <w:bottom w:val="single" w:color="auto" w:sz="6" w:space="0"/>
              <w:right w:val="single" w:color="auto" w:sz="6" w:space="0"/>
            </w:tcBorders>
            <w:vAlign w:val="center"/>
          </w:tcPr>
          <w:p w14:paraId="5EB98A06">
            <w:pPr>
              <w:spacing w:line="240" w:lineRule="auto"/>
              <w:jc w:val="center"/>
              <w:rPr>
                <w:rFonts w:hint="eastAsia"/>
                <w:sz w:val="21"/>
                <w:szCs w:val="21"/>
              </w:rPr>
            </w:pPr>
            <w:r>
              <w:rPr>
                <w:rFonts w:hint="eastAsia"/>
                <w:sz w:val="21"/>
                <w:szCs w:val="21"/>
              </w:rPr>
              <w:t>固定风险源易燃原辅材料着火可能导致消防废水沿地势进入关峡水厂上游，威胁水源地保护区水质及水生生态</w:t>
            </w:r>
          </w:p>
        </w:tc>
        <w:tc>
          <w:tcPr>
            <w:tcW w:w="5030" w:type="dxa"/>
            <w:tcBorders>
              <w:top w:val="single" w:color="auto" w:sz="6" w:space="0"/>
              <w:left w:val="single" w:color="auto" w:sz="6" w:space="0"/>
              <w:bottom w:val="single" w:color="auto" w:sz="6" w:space="0"/>
              <w:right w:val="single" w:color="auto" w:sz="6" w:space="0"/>
            </w:tcBorders>
            <w:vAlign w:val="center"/>
          </w:tcPr>
          <w:p w14:paraId="4460DD96">
            <w:pPr>
              <w:spacing w:line="240" w:lineRule="auto"/>
              <w:jc w:val="center"/>
              <w:rPr>
                <w:rFonts w:hint="default" w:eastAsia="宋体"/>
                <w:sz w:val="21"/>
                <w:szCs w:val="21"/>
                <w:lang w:val="en-US" w:eastAsia="zh-CN"/>
              </w:rPr>
            </w:pPr>
            <w:r>
              <w:rPr>
                <w:rFonts w:hint="eastAsia"/>
                <w:sz w:val="21"/>
                <w:szCs w:val="21"/>
              </w:rPr>
              <w:t>加强对固定风险源的管理，定期对其储存场所进行巡视，督促公司对原辅材料堆场、相关生产设备设施等进行定期维护，防止发生火灾</w:t>
            </w:r>
            <w:r>
              <w:rPr>
                <w:rFonts w:hint="eastAsia"/>
                <w:sz w:val="21"/>
                <w:szCs w:val="21"/>
                <w:lang w:eastAsia="zh-CN"/>
              </w:rPr>
              <w:t>；</w:t>
            </w:r>
            <w:r>
              <w:rPr>
                <w:rFonts w:hint="eastAsia"/>
                <w:sz w:val="21"/>
                <w:szCs w:val="21"/>
                <w:lang w:val="en-US" w:eastAsia="zh-CN"/>
              </w:rPr>
              <w:t>督促绥宁县骏峰建设工程有限公司进行应急预案和竣工环境保护验收</w:t>
            </w:r>
          </w:p>
        </w:tc>
        <w:tc>
          <w:tcPr>
            <w:tcW w:w="2280" w:type="dxa"/>
            <w:tcBorders>
              <w:top w:val="single" w:color="auto" w:sz="6" w:space="0"/>
              <w:left w:val="single" w:color="auto" w:sz="6" w:space="0"/>
              <w:bottom w:val="single" w:color="auto" w:sz="6" w:space="0"/>
              <w:right w:val="single" w:color="auto" w:sz="6" w:space="0"/>
            </w:tcBorders>
            <w:vAlign w:val="center"/>
          </w:tcPr>
          <w:p w14:paraId="0D733E42">
            <w:pPr>
              <w:spacing w:line="240" w:lineRule="auto"/>
              <w:jc w:val="center"/>
              <w:rPr>
                <w:rFonts w:hint="eastAsia"/>
                <w:sz w:val="21"/>
                <w:szCs w:val="21"/>
              </w:rPr>
            </w:pPr>
            <w:r>
              <w:rPr>
                <w:rFonts w:hint="eastAsia"/>
                <w:sz w:val="21"/>
                <w:szCs w:val="21"/>
              </w:rPr>
              <w:t>绥宁县</w:t>
            </w:r>
            <w:r>
              <w:rPr>
                <w:sz w:val="21"/>
                <w:szCs w:val="21"/>
              </w:rPr>
              <w:t>人民政府、</w:t>
            </w:r>
            <w:r>
              <w:rPr>
                <w:rFonts w:hint="eastAsia"/>
                <w:sz w:val="21"/>
                <w:szCs w:val="21"/>
              </w:rPr>
              <w:t>邵阳市生态环境局绥宁分局、绥宁县应急管理局、固定风险源单位</w:t>
            </w:r>
          </w:p>
        </w:tc>
        <w:tc>
          <w:tcPr>
            <w:tcW w:w="1195" w:type="dxa"/>
            <w:tcBorders>
              <w:top w:val="single" w:color="auto" w:sz="6" w:space="0"/>
              <w:left w:val="single" w:color="auto" w:sz="6" w:space="0"/>
              <w:bottom w:val="single" w:color="auto" w:sz="6" w:space="0"/>
              <w:right w:val="single" w:color="auto" w:sz="12" w:space="0"/>
            </w:tcBorders>
            <w:vAlign w:val="center"/>
          </w:tcPr>
          <w:p w14:paraId="1744A9C7">
            <w:pPr>
              <w:spacing w:line="240" w:lineRule="auto"/>
              <w:jc w:val="center"/>
              <w:rPr>
                <w:rFonts w:hint="eastAsia"/>
                <w:sz w:val="21"/>
                <w:szCs w:val="21"/>
              </w:rPr>
            </w:pPr>
            <w:r>
              <w:rPr>
                <w:rFonts w:hint="eastAsia"/>
                <w:sz w:val="21"/>
                <w:szCs w:val="21"/>
              </w:rPr>
              <w:t>持续推进</w:t>
            </w:r>
          </w:p>
        </w:tc>
      </w:tr>
      <w:tr w14:paraId="0587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974" w:type="dxa"/>
            <w:tcBorders>
              <w:top w:val="single" w:color="auto" w:sz="6" w:space="0"/>
              <w:left w:val="single" w:color="auto" w:sz="12" w:space="0"/>
              <w:bottom w:val="single" w:color="auto" w:sz="6" w:space="0"/>
              <w:right w:val="single" w:color="auto" w:sz="6" w:space="0"/>
            </w:tcBorders>
            <w:vAlign w:val="center"/>
          </w:tcPr>
          <w:p w14:paraId="6A2262BF">
            <w:pPr>
              <w:spacing w:line="240" w:lineRule="auto"/>
              <w:jc w:val="center"/>
              <w:rPr>
                <w:rFonts w:hint="eastAsia"/>
                <w:sz w:val="21"/>
                <w:szCs w:val="21"/>
              </w:rPr>
            </w:pPr>
            <w:r>
              <w:rPr>
                <w:rFonts w:hint="eastAsia"/>
                <w:sz w:val="21"/>
                <w:szCs w:val="21"/>
              </w:rPr>
              <w:t>农业污染源</w:t>
            </w:r>
          </w:p>
        </w:tc>
        <w:tc>
          <w:tcPr>
            <w:tcW w:w="1947" w:type="dxa"/>
            <w:tcBorders>
              <w:top w:val="single" w:color="auto" w:sz="6" w:space="0"/>
              <w:left w:val="single" w:color="auto" w:sz="6" w:space="0"/>
              <w:bottom w:val="single" w:color="auto" w:sz="6" w:space="0"/>
              <w:right w:val="single" w:color="auto" w:sz="6" w:space="0"/>
            </w:tcBorders>
            <w:vAlign w:val="center"/>
          </w:tcPr>
          <w:p w14:paraId="021C9047">
            <w:pPr>
              <w:spacing w:line="240" w:lineRule="auto"/>
              <w:jc w:val="center"/>
              <w:rPr>
                <w:rFonts w:hint="eastAsia"/>
                <w:sz w:val="21"/>
                <w:szCs w:val="21"/>
              </w:rPr>
            </w:pPr>
            <w:r>
              <w:rPr>
                <w:rFonts w:hint="eastAsia"/>
                <w:sz w:val="21"/>
                <w:szCs w:val="21"/>
              </w:rPr>
              <w:t>确保农田退水对水源地保护区不产生影响</w:t>
            </w:r>
          </w:p>
        </w:tc>
        <w:tc>
          <w:tcPr>
            <w:tcW w:w="2748" w:type="dxa"/>
            <w:tcBorders>
              <w:top w:val="single" w:color="auto" w:sz="6" w:space="0"/>
              <w:left w:val="single" w:color="auto" w:sz="6" w:space="0"/>
              <w:bottom w:val="single" w:color="auto" w:sz="6" w:space="0"/>
              <w:right w:val="single" w:color="auto" w:sz="6" w:space="0"/>
            </w:tcBorders>
            <w:vAlign w:val="center"/>
          </w:tcPr>
          <w:p w14:paraId="74DEDEC9">
            <w:pPr>
              <w:spacing w:line="240" w:lineRule="auto"/>
              <w:jc w:val="center"/>
              <w:rPr>
                <w:rFonts w:hint="eastAsia"/>
                <w:sz w:val="21"/>
                <w:szCs w:val="21"/>
              </w:rPr>
            </w:pPr>
            <w:r>
              <w:rPr>
                <w:rFonts w:hint="eastAsia"/>
                <w:sz w:val="21"/>
                <w:szCs w:val="21"/>
              </w:rPr>
              <w:t>保护范围内存在农田，因此，不可避免存在农业面源污染</w:t>
            </w:r>
          </w:p>
        </w:tc>
        <w:tc>
          <w:tcPr>
            <w:tcW w:w="5030" w:type="dxa"/>
            <w:tcBorders>
              <w:top w:val="single" w:color="auto" w:sz="6" w:space="0"/>
              <w:left w:val="single" w:color="auto" w:sz="6" w:space="0"/>
              <w:bottom w:val="single" w:color="auto" w:sz="6" w:space="0"/>
              <w:right w:val="single" w:color="auto" w:sz="6" w:space="0"/>
            </w:tcBorders>
            <w:vAlign w:val="center"/>
          </w:tcPr>
          <w:p w14:paraId="6CE217ED">
            <w:pPr>
              <w:spacing w:line="240" w:lineRule="auto"/>
              <w:jc w:val="center"/>
              <w:rPr>
                <w:rFonts w:hint="eastAsia"/>
                <w:sz w:val="21"/>
                <w:szCs w:val="21"/>
              </w:rPr>
            </w:pPr>
            <w:r>
              <w:rPr>
                <w:sz w:val="21"/>
                <w:szCs w:val="21"/>
              </w:rPr>
              <w:fldChar w:fldCharType="begin"/>
            </w:r>
            <w:r>
              <w:rPr>
                <w:sz w:val="21"/>
                <w:szCs w:val="21"/>
              </w:rPr>
              <w:instrText xml:space="preserve"> </w:instrText>
            </w:r>
            <w:r>
              <w:rPr>
                <w:rFonts w:hint="eastAsia"/>
                <w:sz w:val="21"/>
                <w:szCs w:val="21"/>
              </w:rPr>
              <w:instrText xml:space="preserve">= 1 \* GB3</w:instrText>
            </w:r>
            <w:r>
              <w:rPr>
                <w:sz w:val="21"/>
                <w:szCs w:val="21"/>
              </w:rPr>
              <w:instrText xml:space="preserve"> </w:instrText>
            </w:r>
            <w:r>
              <w:rPr>
                <w:sz w:val="21"/>
                <w:szCs w:val="21"/>
              </w:rPr>
              <w:fldChar w:fldCharType="separate"/>
            </w:r>
            <w:r>
              <w:rPr>
                <w:rFonts w:hint="eastAsia"/>
                <w:sz w:val="21"/>
                <w:szCs w:val="21"/>
              </w:rPr>
              <w:t>①</w:t>
            </w:r>
            <w:r>
              <w:rPr>
                <w:sz w:val="21"/>
                <w:szCs w:val="21"/>
              </w:rPr>
              <w:fldChar w:fldCharType="end"/>
            </w:r>
            <w:r>
              <w:rPr>
                <w:rFonts w:hint="eastAsia"/>
                <w:sz w:val="21"/>
                <w:szCs w:val="21"/>
              </w:rPr>
              <w:t>控制集约化农作物种植，建议发展有机农业；</w:t>
            </w:r>
            <w:r>
              <w:rPr>
                <w:sz w:val="21"/>
                <w:szCs w:val="21"/>
              </w:rPr>
              <w:t>②</w:t>
            </w:r>
            <w:r>
              <w:rPr>
                <w:rFonts w:hint="eastAsia"/>
                <w:sz w:val="21"/>
                <w:szCs w:val="21"/>
              </w:rPr>
              <w:t>减少含磷废水外排，尽量少使用农药、化肥的使用</w:t>
            </w:r>
          </w:p>
        </w:tc>
        <w:tc>
          <w:tcPr>
            <w:tcW w:w="2280" w:type="dxa"/>
            <w:tcBorders>
              <w:top w:val="single" w:color="auto" w:sz="6" w:space="0"/>
              <w:left w:val="single" w:color="auto" w:sz="6" w:space="0"/>
              <w:bottom w:val="single" w:color="auto" w:sz="6" w:space="0"/>
              <w:right w:val="single" w:color="auto" w:sz="6" w:space="0"/>
            </w:tcBorders>
            <w:vAlign w:val="center"/>
          </w:tcPr>
          <w:p w14:paraId="3D930BF3">
            <w:pPr>
              <w:spacing w:line="240" w:lineRule="auto"/>
              <w:jc w:val="center"/>
              <w:rPr>
                <w:rFonts w:hint="eastAsia"/>
                <w:sz w:val="21"/>
                <w:szCs w:val="21"/>
              </w:rPr>
            </w:pPr>
            <w:r>
              <w:rPr>
                <w:rFonts w:hint="eastAsia"/>
                <w:sz w:val="21"/>
                <w:szCs w:val="21"/>
              </w:rPr>
              <w:t>绥宁县</w:t>
            </w:r>
            <w:r>
              <w:rPr>
                <w:sz w:val="21"/>
                <w:szCs w:val="21"/>
              </w:rPr>
              <w:t>人民政府、</w:t>
            </w:r>
            <w:r>
              <w:rPr>
                <w:rFonts w:hint="eastAsia"/>
                <w:sz w:val="21"/>
                <w:szCs w:val="21"/>
              </w:rPr>
              <w:t>绥宁县农业农村水利局</w:t>
            </w:r>
          </w:p>
        </w:tc>
        <w:tc>
          <w:tcPr>
            <w:tcW w:w="1195" w:type="dxa"/>
            <w:tcBorders>
              <w:top w:val="single" w:color="auto" w:sz="6" w:space="0"/>
              <w:left w:val="single" w:color="auto" w:sz="6" w:space="0"/>
              <w:bottom w:val="single" w:color="auto" w:sz="6" w:space="0"/>
              <w:right w:val="single" w:color="auto" w:sz="12" w:space="0"/>
            </w:tcBorders>
            <w:vAlign w:val="center"/>
          </w:tcPr>
          <w:p w14:paraId="52C1F7C7">
            <w:pPr>
              <w:spacing w:line="240" w:lineRule="auto"/>
              <w:jc w:val="center"/>
              <w:rPr>
                <w:rFonts w:hint="eastAsia"/>
                <w:sz w:val="21"/>
                <w:szCs w:val="21"/>
              </w:rPr>
            </w:pPr>
            <w:r>
              <w:rPr>
                <w:rFonts w:hint="eastAsia"/>
                <w:sz w:val="21"/>
                <w:szCs w:val="21"/>
              </w:rPr>
              <w:t>持续推进</w:t>
            </w:r>
          </w:p>
        </w:tc>
      </w:tr>
      <w:tr w14:paraId="6208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974" w:type="dxa"/>
            <w:tcBorders>
              <w:top w:val="single" w:color="auto" w:sz="6" w:space="0"/>
              <w:left w:val="single" w:color="auto" w:sz="12" w:space="0"/>
              <w:bottom w:val="single" w:color="auto" w:sz="6" w:space="0"/>
              <w:right w:val="single" w:color="auto" w:sz="6" w:space="0"/>
            </w:tcBorders>
            <w:vAlign w:val="center"/>
          </w:tcPr>
          <w:p w14:paraId="225D574C">
            <w:pPr>
              <w:spacing w:line="240" w:lineRule="auto"/>
              <w:jc w:val="center"/>
              <w:rPr>
                <w:rFonts w:hint="eastAsia"/>
                <w:sz w:val="21"/>
                <w:szCs w:val="21"/>
              </w:rPr>
            </w:pPr>
            <w:r>
              <w:rPr>
                <w:rFonts w:hint="eastAsia"/>
                <w:sz w:val="21"/>
                <w:szCs w:val="21"/>
              </w:rPr>
              <w:t>流动污染源</w:t>
            </w:r>
          </w:p>
        </w:tc>
        <w:tc>
          <w:tcPr>
            <w:tcW w:w="1947" w:type="dxa"/>
            <w:tcBorders>
              <w:top w:val="single" w:color="auto" w:sz="6" w:space="0"/>
              <w:left w:val="single" w:color="auto" w:sz="6" w:space="0"/>
              <w:bottom w:val="single" w:color="auto" w:sz="6" w:space="0"/>
              <w:right w:val="single" w:color="auto" w:sz="6" w:space="0"/>
            </w:tcBorders>
            <w:vAlign w:val="center"/>
          </w:tcPr>
          <w:p w14:paraId="46CA4552">
            <w:pPr>
              <w:spacing w:line="240" w:lineRule="auto"/>
              <w:jc w:val="center"/>
              <w:rPr>
                <w:rFonts w:hint="eastAsia"/>
                <w:sz w:val="21"/>
                <w:szCs w:val="21"/>
              </w:rPr>
            </w:pPr>
            <w:r>
              <w:rPr>
                <w:rFonts w:hint="eastAsia"/>
                <w:sz w:val="21"/>
                <w:szCs w:val="21"/>
              </w:rPr>
              <w:t>确保流动污染源对水源不产生影响</w:t>
            </w:r>
          </w:p>
        </w:tc>
        <w:tc>
          <w:tcPr>
            <w:tcW w:w="2748" w:type="dxa"/>
            <w:tcBorders>
              <w:top w:val="single" w:color="auto" w:sz="6" w:space="0"/>
              <w:left w:val="single" w:color="auto" w:sz="6" w:space="0"/>
              <w:bottom w:val="single" w:color="auto" w:sz="6" w:space="0"/>
              <w:right w:val="single" w:color="auto" w:sz="6" w:space="0"/>
            </w:tcBorders>
            <w:vAlign w:val="center"/>
          </w:tcPr>
          <w:p w14:paraId="0CE5F37E">
            <w:pPr>
              <w:spacing w:line="240" w:lineRule="auto"/>
              <w:jc w:val="center"/>
              <w:rPr>
                <w:rFonts w:hint="eastAsia"/>
                <w:sz w:val="21"/>
                <w:szCs w:val="21"/>
              </w:rPr>
            </w:pPr>
            <w:r>
              <w:rPr>
                <w:rFonts w:hint="eastAsia"/>
                <w:sz w:val="21"/>
                <w:szCs w:val="21"/>
              </w:rPr>
              <w:t>与兰溪伴行的S248在距离兰溪较近处未建设导流沟、应急池等风险防控措施</w:t>
            </w:r>
          </w:p>
        </w:tc>
        <w:tc>
          <w:tcPr>
            <w:tcW w:w="5030" w:type="dxa"/>
            <w:tcBorders>
              <w:top w:val="single" w:color="auto" w:sz="6" w:space="0"/>
              <w:left w:val="single" w:color="auto" w:sz="6" w:space="0"/>
              <w:bottom w:val="single" w:color="auto" w:sz="6" w:space="0"/>
              <w:right w:val="single" w:color="auto" w:sz="6" w:space="0"/>
            </w:tcBorders>
            <w:vAlign w:val="center"/>
          </w:tcPr>
          <w:p w14:paraId="7B43DAA9">
            <w:pPr>
              <w:spacing w:line="240" w:lineRule="auto"/>
              <w:jc w:val="center"/>
              <w:rPr>
                <w:rFonts w:hint="default" w:eastAsia="宋体"/>
                <w:sz w:val="21"/>
                <w:szCs w:val="21"/>
                <w:lang w:val="en-US" w:eastAsia="zh-CN"/>
              </w:rPr>
            </w:pPr>
            <w:r>
              <w:rPr>
                <w:sz w:val="21"/>
                <w:szCs w:val="21"/>
              </w:rPr>
              <w:fldChar w:fldCharType="begin"/>
            </w:r>
            <w:r>
              <w:rPr>
                <w:sz w:val="21"/>
                <w:szCs w:val="21"/>
              </w:rPr>
              <w:instrText xml:space="preserve"> </w:instrText>
            </w:r>
            <w:r>
              <w:rPr>
                <w:rFonts w:hint="eastAsia"/>
                <w:sz w:val="21"/>
                <w:szCs w:val="21"/>
              </w:rPr>
              <w:instrText xml:space="preserve">= 1 \* GB3</w:instrText>
            </w:r>
            <w:r>
              <w:rPr>
                <w:sz w:val="21"/>
                <w:szCs w:val="21"/>
              </w:rPr>
              <w:instrText xml:space="preserve"> </w:instrText>
            </w:r>
            <w:r>
              <w:rPr>
                <w:sz w:val="21"/>
                <w:szCs w:val="21"/>
              </w:rPr>
              <w:fldChar w:fldCharType="separate"/>
            </w:r>
            <w:r>
              <w:rPr>
                <w:rFonts w:hint="eastAsia"/>
                <w:sz w:val="21"/>
                <w:szCs w:val="21"/>
              </w:rPr>
              <w:t>①</w:t>
            </w:r>
            <w:r>
              <w:rPr>
                <w:sz w:val="21"/>
                <w:szCs w:val="21"/>
              </w:rPr>
              <w:fldChar w:fldCharType="end"/>
            </w:r>
            <w:r>
              <w:rPr>
                <w:rFonts w:hint="eastAsia"/>
                <w:sz w:val="21"/>
                <w:szCs w:val="21"/>
              </w:rPr>
              <w:t>绥宁县人民政府在S248与兰溪相近处建设导流沟、应急池等应急设施</w:t>
            </w:r>
            <w:r>
              <w:rPr>
                <w:rFonts w:hint="eastAsia"/>
                <w:sz w:val="21"/>
                <w:szCs w:val="21"/>
                <w:lang w:eastAsia="zh-CN"/>
              </w:rPr>
              <w:t>；②</w:t>
            </w:r>
            <w:r>
              <w:rPr>
                <w:rFonts w:hint="eastAsia"/>
                <w:sz w:val="21"/>
                <w:szCs w:val="21"/>
                <w:u w:val="wave"/>
                <w:lang w:val="en-US" w:eastAsia="zh-CN"/>
              </w:rPr>
              <w:t>保护区上游便桥设置摄像头、导流沟、收集池、防撞墩等设施</w:t>
            </w:r>
          </w:p>
        </w:tc>
        <w:tc>
          <w:tcPr>
            <w:tcW w:w="2280" w:type="dxa"/>
            <w:tcBorders>
              <w:top w:val="single" w:color="auto" w:sz="6" w:space="0"/>
              <w:left w:val="single" w:color="auto" w:sz="6" w:space="0"/>
              <w:bottom w:val="single" w:color="auto" w:sz="6" w:space="0"/>
              <w:right w:val="single" w:color="auto" w:sz="6" w:space="0"/>
            </w:tcBorders>
            <w:vAlign w:val="center"/>
          </w:tcPr>
          <w:p w14:paraId="6A44FB36">
            <w:pPr>
              <w:spacing w:line="240" w:lineRule="auto"/>
              <w:jc w:val="center"/>
              <w:rPr>
                <w:sz w:val="21"/>
                <w:szCs w:val="21"/>
              </w:rPr>
            </w:pPr>
            <w:r>
              <w:rPr>
                <w:rFonts w:hint="eastAsia"/>
                <w:sz w:val="21"/>
                <w:szCs w:val="21"/>
              </w:rPr>
              <w:t>绥宁县</w:t>
            </w:r>
            <w:r>
              <w:rPr>
                <w:sz w:val="21"/>
                <w:szCs w:val="21"/>
              </w:rPr>
              <w:t>人民政府、</w:t>
            </w:r>
            <w:r>
              <w:rPr>
                <w:rFonts w:hint="eastAsia"/>
                <w:sz w:val="21"/>
                <w:szCs w:val="21"/>
              </w:rPr>
              <w:t>绥宁县交通运输局等</w:t>
            </w:r>
          </w:p>
        </w:tc>
        <w:tc>
          <w:tcPr>
            <w:tcW w:w="1195" w:type="dxa"/>
            <w:tcBorders>
              <w:top w:val="single" w:color="auto" w:sz="6" w:space="0"/>
              <w:left w:val="single" w:color="auto" w:sz="6" w:space="0"/>
              <w:bottom w:val="single" w:color="auto" w:sz="6" w:space="0"/>
              <w:right w:val="single" w:color="auto" w:sz="12" w:space="0"/>
            </w:tcBorders>
            <w:vAlign w:val="center"/>
          </w:tcPr>
          <w:p w14:paraId="678E88F9">
            <w:pPr>
              <w:spacing w:line="240" w:lineRule="auto"/>
              <w:jc w:val="center"/>
              <w:rPr>
                <w:sz w:val="21"/>
                <w:szCs w:val="21"/>
              </w:rPr>
            </w:pPr>
            <w:r>
              <w:rPr>
                <w:rFonts w:hint="eastAsia"/>
                <w:sz w:val="21"/>
                <w:szCs w:val="21"/>
              </w:rPr>
              <w:t>202</w:t>
            </w:r>
            <w:r>
              <w:rPr>
                <w:rFonts w:hint="eastAsia"/>
                <w:sz w:val="21"/>
                <w:szCs w:val="21"/>
                <w:lang w:val="en-US" w:eastAsia="zh-CN"/>
              </w:rPr>
              <w:t>4</w:t>
            </w:r>
            <w:r>
              <w:rPr>
                <w:rFonts w:hint="eastAsia"/>
                <w:sz w:val="21"/>
                <w:szCs w:val="21"/>
              </w:rPr>
              <w:t>年</w:t>
            </w:r>
            <w:r>
              <w:rPr>
                <w:rFonts w:hint="eastAsia"/>
                <w:sz w:val="21"/>
                <w:szCs w:val="21"/>
                <w:lang w:val="en-US" w:eastAsia="zh-CN"/>
              </w:rPr>
              <w:t>6</w:t>
            </w:r>
            <w:r>
              <w:rPr>
                <w:rFonts w:hint="eastAsia"/>
                <w:sz w:val="21"/>
                <w:szCs w:val="21"/>
              </w:rPr>
              <w:t>月30日前</w:t>
            </w:r>
          </w:p>
        </w:tc>
      </w:tr>
      <w:tr w14:paraId="14A4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74" w:type="dxa"/>
            <w:tcBorders>
              <w:left w:val="single" w:color="auto" w:sz="12" w:space="0"/>
              <w:right w:val="single" w:color="auto" w:sz="6" w:space="0"/>
            </w:tcBorders>
            <w:vAlign w:val="center"/>
          </w:tcPr>
          <w:p w14:paraId="664F457E">
            <w:pPr>
              <w:spacing w:line="240" w:lineRule="auto"/>
              <w:jc w:val="center"/>
              <w:rPr>
                <w:sz w:val="21"/>
                <w:szCs w:val="21"/>
              </w:rPr>
            </w:pPr>
            <w:r>
              <w:rPr>
                <w:rFonts w:hint="eastAsia"/>
                <w:sz w:val="21"/>
                <w:szCs w:val="21"/>
              </w:rPr>
              <w:t>环境风险管理方面</w:t>
            </w:r>
          </w:p>
        </w:tc>
        <w:tc>
          <w:tcPr>
            <w:tcW w:w="1947" w:type="dxa"/>
            <w:tcBorders>
              <w:top w:val="single" w:color="auto" w:sz="6" w:space="0"/>
              <w:left w:val="single" w:color="auto" w:sz="6" w:space="0"/>
              <w:bottom w:val="single" w:color="auto" w:sz="6" w:space="0"/>
              <w:right w:val="single" w:color="auto" w:sz="6" w:space="0"/>
            </w:tcBorders>
            <w:vAlign w:val="center"/>
          </w:tcPr>
          <w:p w14:paraId="779A12A0">
            <w:pPr>
              <w:spacing w:line="240" w:lineRule="auto"/>
              <w:jc w:val="center"/>
              <w:rPr>
                <w:rFonts w:hint="eastAsia"/>
                <w:sz w:val="21"/>
                <w:szCs w:val="21"/>
              </w:rPr>
            </w:pPr>
            <w:r>
              <w:rPr>
                <w:sz w:val="21"/>
                <w:szCs w:val="21"/>
              </w:rPr>
              <w:t>汛期、旱期、冰冻等特殊时期风险防控制度不完善，巡查人员不具体等</w:t>
            </w:r>
          </w:p>
        </w:tc>
        <w:tc>
          <w:tcPr>
            <w:tcW w:w="7778" w:type="dxa"/>
            <w:gridSpan w:val="2"/>
            <w:tcBorders>
              <w:top w:val="single" w:color="auto" w:sz="6" w:space="0"/>
              <w:left w:val="single" w:color="auto" w:sz="6" w:space="0"/>
              <w:bottom w:val="single" w:color="auto" w:sz="6" w:space="0"/>
              <w:right w:val="single" w:color="auto" w:sz="6" w:space="0"/>
            </w:tcBorders>
            <w:vAlign w:val="center"/>
          </w:tcPr>
          <w:p w14:paraId="0A3F9E5E">
            <w:pPr>
              <w:spacing w:line="240" w:lineRule="auto"/>
              <w:jc w:val="center"/>
              <w:rPr>
                <w:rFonts w:hint="eastAsia"/>
                <w:sz w:val="21"/>
                <w:szCs w:val="21"/>
              </w:rPr>
            </w:pPr>
            <w:r>
              <w:rPr>
                <w:sz w:val="21"/>
                <w:szCs w:val="21"/>
              </w:rPr>
              <w:t>建议</w:t>
            </w:r>
            <w:r>
              <w:rPr>
                <w:rFonts w:hint="eastAsia"/>
                <w:sz w:val="21"/>
                <w:szCs w:val="21"/>
              </w:rPr>
              <w:t>持续</w:t>
            </w:r>
            <w:r>
              <w:rPr>
                <w:sz w:val="21"/>
                <w:szCs w:val="21"/>
              </w:rPr>
              <w:t>完善汛期、旱期、冰冻等特殊时期污染风险防控制度，明确巡查人员和巡查频次及重点巡查对象等</w:t>
            </w:r>
          </w:p>
        </w:tc>
        <w:tc>
          <w:tcPr>
            <w:tcW w:w="2280" w:type="dxa"/>
            <w:tcBorders>
              <w:top w:val="single" w:color="auto" w:sz="6" w:space="0"/>
              <w:left w:val="single" w:color="auto" w:sz="6" w:space="0"/>
              <w:bottom w:val="single" w:color="auto" w:sz="6" w:space="0"/>
              <w:right w:val="single" w:color="auto" w:sz="6" w:space="0"/>
            </w:tcBorders>
            <w:vAlign w:val="center"/>
          </w:tcPr>
          <w:p w14:paraId="42D37029">
            <w:pPr>
              <w:spacing w:line="240" w:lineRule="auto"/>
              <w:jc w:val="center"/>
              <w:rPr>
                <w:rFonts w:hint="eastAsia"/>
                <w:sz w:val="21"/>
                <w:szCs w:val="21"/>
              </w:rPr>
            </w:pPr>
            <w:r>
              <w:rPr>
                <w:rFonts w:hint="eastAsia"/>
                <w:sz w:val="21"/>
                <w:szCs w:val="21"/>
              </w:rPr>
              <w:t>绥宁县</w:t>
            </w:r>
            <w:r>
              <w:rPr>
                <w:sz w:val="21"/>
                <w:szCs w:val="21"/>
              </w:rPr>
              <w:t>人民政府、</w:t>
            </w:r>
            <w:r>
              <w:rPr>
                <w:rFonts w:hint="eastAsia"/>
                <w:sz w:val="21"/>
                <w:szCs w:val="21"/>
              </w:rPr>
              <w:t>绥宁县自来水公司</w:t>
            </w:r>
          </w:p>
        </w:tc>
        <w:tc>
          <w:tcPr>
            <w:tcW w:w="1195" w:type="dxa"/>
            <w:tcBorders>
              <w:top w:val="single" w:color="auto" w:sz="6" w:space="0"/>
              <w:left w:val="single" w:color="auto" w:sz="6" w:space="0"/>
              <w:bottom w:val="single" w:color="auto" w:sz="6" w:space="0"/>
              <w:right w:val="single" w:color="auto" w:sz="12" w:space="0"/>
            </w:tcBorders>
            <w:vAlign w:val="center"/>
          </w:tcPr>
          <w:p w14:paraId="7E5F792E">
            <w:pPr>
              <w:spacing w:line="240" w:lineRule="auto"/>
              <w:jc w:val="center"/>
              <w:rPr>
                <w:rFonts w:hint="eastAsia"/>
                <w:sz w:val="21"/>
                <w:szCs w:val="21"/>
              </w:rPr>
            </w:pPr>
            <w:r>
              <w:rPr>
                <w:rFonts w:hint="eastAsia"/>
                <w:sz w:val="21"/>
                <w:szCs w:val="21"/>
              </w:rPr>
              <w:t>长期执行</w:t>
            </w:r>
          </w:p>
        </w:tc>
      </w:tr>
      <w:tr w14:paraId="54E3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974" w:type="dxa"/>
            <w:vMerge w:val="restart"/>
            <w:tcBorders>
              <w:top w:val="single" w:color="auto" w:sz="6" w:space="0"/>
              <w:left w:val="single" w:color="auto" w:sz="12" w:space="0"/>
              <w:bottom w:val="single" w:color="auto" w:sz="6" w:space="0"/>
              <w:right w:val="single" w:color="auto" w:sz="6" w:space="0"/>
            </w:tcBorders>
            <w:vAlign w:val="center"/>
          </w:tcPr>
          <w:p w14:paraId="3B6BD538">
            <w:pPr>
              <w:spacing w:line="240" w:lineRule="auto"/>
              <w:jc w:val="center"/>
              <w:rPr>
                <w:sz w:val="21"/>
                <w:szCs w:val="21"/>
              </w:rPr>
            </w:pPr>
            <w:r>
              <w:rPr>
                <w:sz w:val="21"/>
                <w:szCs w:val="21"/>
              </w:rPr>
              <w:t>环境应急方面</w:t>
            </w:r>
          </w:p>
        </w:tc>
        <w:tc>
          <w:tcPr>
            <w:tcW w:w="1947" w:type="dxa"/>
            <w:tcBorders>
              <w:top w:val="single" w:color="auto" w:sz="6" w:space="0"/>
              <w:left w:val="single" w:color="auto" w:sz="6" w:space="0"/>
              <w:bottom w:val="single" w:color="auto" w:sz="6" w:space="0"/>
              <w:right w:val="single" w:color="auto" w:sz="6" w:space="0"/>
            </w:tcBorders>
            <w:vAlign w:val="center"/>
          </w:tcPr>
          <w:p w14:paraId="0632BC32">
            <w:pPr>
              <w:spacing w:line="240" w:lineRule="auto"/>
              <w:jc w:val="center"/>
              <w:rPr>
                <w:sz w:val="21"/>
                <w:szCs w:val="21"/>
              </w:rPr>
            </w:pPr>
            <w:r>
              <w:rPr>
                <w:sz w:val="21"/>
                <w:szCs w:val="21"/>
              </w:rPr>
              <w:t>应急物资储备</w:t>
            </w:r>
          </w:p>
        </w:tc>
        <w:tc>
          <w:tcPr>
            <w:tcW w:w="7778" w:type="dxa"/>
            <w:gridSpan w:val="2"/>
            <w:tcBorders>
              <w:top w:val="single" w:color="auto" w:sz="6" w:space="0"/>
              <w:left w:val="single" w:color="auto" w:sz="6" w:space="0"/>
              <w:bottom w:val="single" w:color="auto" w:sz="6" w:space="0"/>
              <w:right w:val="single" w:color="auto" w:sz="6" w:space="0"/>
            </w:tcBorders>
            <w:vAlign w:val="center"/>
          </w:tcPr>
          <w:p w14:paraId="299BD60F">
            <w:pPr>
              <w:spacing w:line="240" w:lineRule="auto"/>
              <w:jc w:val="center"/>
              <w:rPr>
                <w:sz w:val="21"/>
                <w:szCs w:val="21"/>
              </w:rPr>
            </w:pPr>
            <w:r>
              <w:rPr>
                <w:sz w:val="21"/>
                <w:szCs w:val="21"/>
              </w:rPr>
              <w:t>根据水源</w:t>
            </w:r>
            <w:r>
              <w:rPr>
                <w:rFonts w:hint="eastAsia"/>
                <w:sz w:val="21"/>
                <w:szCs w:val="21"/>
              </w:rPr>
              <w:t>保护区</w:t>
            </w:r>
            <w:r>
              <w:rPr>
                <w:sz w:val="21"/>
                <w:szCs w:val="21"/>
              </w:rPr>
              <w:t>环境风险</w:t>
            </w:r>
            <w:r>
              <w:rPr>
                <w:rFonts w:hint="eastAsia"/>
                <w:sz w:val="21"/>
                <w:szCs w:val="21"/>
              </w:rPr>
              <w:t>源</w:t>
            </w:r>
            <w:r>
              <w:rPr>
                <w:sz w:val="21"/>
                <w:szCs w:val="21"/>
              </w:rPr>
              <w:t>情况储备相应的环境应急物资，并按规范存放，</w:t>
            </w:r>
            <w:r>
              <w:rPr>
                <w:rFonts w:hint="eastAsia"/>
                <w:sz w:val="21"/>
                <w:szCs w:val="21"/>
              </w:rPr>
              <w:t>关峡水厂</w:t>
            </w:r>
            <w:r>
              <w:rPr>
                <w:sz w:val="21"/>
                <w:szCs w:val="21"/>
              </w:rPr>
              <w:t>积极采取各项污染源风险防范措施</w:t>
            </w:r>
          </w:p>
        </w:tc>
        <w:tc>
          <w:tcPr>
            <w:tcW w:w="2280" w:type="dxa"/>
            <w:tcBorders>
              <w:top w:val="single" w:color="auto" w:sz="6" w:space="0"/>
              <w:left w:val="single" w:color="auto" w:sz="6" w:space="0"/>
              <w:bottom w:val="single" w:color="auto" w:sz="6" w:space="0"/>
              <w:right w:val="single" w:color="auto" w:sz="6" w:space="0"/>
            </w:tcBorders>
            <w:vAlign w:val="center"/>
          </w:tcPr>
          <w:p w14:paraId="128A0060">
            <w:pPr>
              <w:spacing w:line="240" w:lineRule="auto"/>
              <w:jc w:val="center"/>
              <w:rPr>
                <w:sz w:val="21"/>
                <w:szCs w:val="21"/>
              </w:rPr>
            </w:pPr>
            <w:r>
              <w:rPr>
                <w:rFonts w:hint="eastAsia"/>
                <w:sz w:val="21"/>
                <w:szCs w:val="21"/>
              </w:rPr>
              <w:t>绥宁县人民政府、邵阳市生态环境局绥宁分局、关峡水厂</w:t>
            </w:r>
          </w:p>
        </w:tc>
        <w:tc>
          <w:tcPr>
            <w:tcW w:w="1195" w:type="dxa"/>
            <w:tcBorders>
              <w:top w:val="single" w:color="auto" w:sz="6" w:space="0"/>
              <w:left w:val="single" w:color="auto" w:sz="6" w:space="0"/>
              <w:bottom w:val="single" w:color="auto" w:sz="6" w:space="0"/>
              <w:right w:val="single" w:color="auto" w:sz="12" w:space="0"/>
            </w:tcBorders>
            <w:vAlign w:val="center"/>
          </w:tcPr>
          <w:p w14:paraId="1902F094">
            <w:pPr>
              <w:spacing w:line="240" w:lineRule="auto"/>
              <w:jc w:val="center"/>
              <w:rPr>
                <w:rFonts w:hint="eastAsia"/>
                <w:sz w:val="21"/>
                <w:szCs w:val="21"/>
              </w:rPr>
            </w:pPr>
            <w:r>
              <w:rPr>
                <w:rFonts w:hint="eastAsia"/>
                <w:sz w:val="21"/>
                <w:szCs w:val="21"/>
              </w:rPr>
              <w:t>202</w:t>
            </w:r>
            <w:r>
              <w:rPr>
                <w:rFonts w:hint="eastAsia"/>
                <w:sz w:val="21"/>
                <w:szCs w:val="21"/>
                <w:lang w:val="en-US" w:eastAsia="zh-CN"/>
              </w:rPr>
              <w:t>4</w:t>
            </w:r>
            <w:r>
              <w:rPr>
                <w:rFonts w:hint="eastAsia"/>
                <w:sz w:val="21"/>
                <w:szCs w:val="21"/>
              </w:rPr>
              <w:t>年</w:t>
            </w:r>
            <w:r>
              <w:rPr>
                <w:rFonts w:hint="eastAsia"/>
                <w:sz w:val="21"/>
                <w:szCs w:val="21"/>
                <w:lang w:val="en-US" w:eastAsia="zh-CN"/>
              </w:rPr>
              <w:t>3</w:t>
            </w:r>
            <w:r>
              <w:rPr>
                <w:rFonts w:hint="eastAsia"/>
                <w:sz w:val="21"/>
                <w:szCs w:val="21"/>
              </w:rPr>
              <w:t>月30日前</w:t>
            </w:r>
          </w:p>
        </w:tc>
      </w:tr>
      <w:tr w14:paraId="66DB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74" w:type="dxa"/>
            <w:vMerge w:val="continue"/>
            <w:tcBorders>
              <w:top w:val="single" w:color="auto" w:sz="6" w:space="0"/>
              <w:left w:val="single" w:color="auto" w:sz="12" w:space="0"/>
              <w:bottom w:val="single" w:color="auto" w:sz="12" w:space="0"/>
              <w:right w:val="single" w:color="auto" w:sz="6" w:space="0"/>
            </w:tcBorders>
            <w:vAlign w:val="center"/>
          </w:tcPr>
          <w:p w14:paraId="592DAEE9">
            <w:pPr>
              <w:spacing w:line="240" w:lineRule="auto"/>
              <w:jc w:val="center"/>
              <w:rPr>
                <w:sz w:val="21"/>
                <w:szCs w:val="21"/>
              </w:rPr>
            </w:pPr>
          </w:p>
        </w:tc>
        <w:tc>
          <w:tcPr>
            <w:tcW w:w="1947" w:type="dxa"/>
            <w:tcBorders>
              <w:top w:val="single" w:color="auto" w:sz="6" w:space="0"/>
              <w:left w:val="single" w:color="auto" w:sz="6" w:space="0"/>
              <w:bottom w:val="single" w:color="auto" w:sz="12" w:space="0"/>
              <w:right w:val="single" w:color="auto" w:sz="6" w:space="0"/>
            </w:tcBorders>
            <w:vAlign w:val="center"/>
          </w:tcPr>
          <w:p w14:paraId="693A7FD8">
            <w:pPr>
              <w:spacing w:line="240" w:lineRule="auto"/>
              <w:jc w:val="center"/>
              <w:rPr>
                <w:sz w:val="21"/>
                <w:szCs w:val="21"/>
              </w:rPr>
            </w:pPr>
            <w:r>
              <w:rPr>
                <w:sz w:val="21"/>
                <w:szCs w:val="21"/>
              </w:rPr>
              <w:t>应急人员培训、演练</w:t>
            </w:r>
          </w:p>
        </w:tc>
        <w:tc>
          <w:tcPr>
            <w:tcW w:w="7778" w:type="dxa"/>
            <w:gridSpan w:val="2"/>
            <w:tcBorders>
              <w:top w:val="single" w:color="auto" w:sz="6" w:space="0"/>
              <w:left w:val="single" w:color="auto" w:sz="6" w:space="0"/>
              <w:bottom w:val="single" w:color="auto" w:sz="12" w:space="0"/>
              <w:right w:val="single" w:color="auto" w:sz="6" w:space="0"/>
            </w:tcBorders>
            <w:vAlign w:val="center"/>
          </w:tcPr>
          <w:p w14:paraId="44661DA7">
            <w:pPr>
              <w:spacing w:line="240" w:lineRule="auto"/>
              <w:jc w:val="center"/>
              <w:rPr>
                <w:sz w:val="21"/>
                <w:szCs w:val="21"/>
              </w:rPr>
            </w:pPr>
            <w:r>
              <w:rPr>
                <w:sz w:val="21"/>
                <w:szCs w:val="21"/>
              </w:rPr>
              <w:t>定期对应急人员进行应急培训，定期进行环境应急预案演练</w:t>
            </w:r>
          </w:p>
        </w:tc>
        <w:tc>
          <w:tcPr>
            <w:tcW w:w="2280" w:type="dxa"/>
            <w:tcBorders>
              <w:top w:val="single" w:color="auto" w:sz="6" w:space="0"/>
              <w:left w:val="single" w:color="auto" w:sz="6" w:space="0"/>
              <w:bottom w:val="single" w:color="auto" w:sz="12" w:space="0"/>
              <w:right w:val="single" w:color="auto" w:sz="6" w:space="0"/>
            </w:tcBorders>
            <w:vAlign w:val="center"/>
          </w:tcPr>
          <w:p w14:paraId="5A5222D1">
            <w:pPr>
              <w:spacing w:line="240" w:lineRule="auto"/>
              <w:jc w:val="center"/>
              <w:rPr>
                <w:sz w:val="21"/>
                <w:szCs w:val="21"/>
              </w:rPr>
            </w:pPr>
            <w:r>
              <w:rPr>
                <w:rFonts w:hint="eastAsia"/>
                <w:sz w:val="21"/>
                <w:szCs w:val="21"/>
              </w:rPr>
              <w:t>绥宁县人民政府、邵阳市生态环境局绥宁分局、关峡水厂</w:t>
            </w:r>
          </w:p>
        </w:tc>
        <w:tc>
          <w:tcPr>
            <w:tcW w:w="1195" w:type="dxa"/>
            <w:tcBorders>
              <w:top w:val="single" w:color="auto" w:sz="6" w:space="0"/>
              <w:left w:val="single" w:color="auto" w:sz="6" w:space="0"/>
              <w:bottom w:val="single" w:color="auto" w:sz="12" w:space="0"/>
              <w:right w:val="single" w:color="auto" w:sz="12" w:space="0"/>
            </w:tcBorders>
            <w:vAlign w:val="center"/>
          </w:tcPr>
          <w:p w14:paraId="427C765A">
            <w:pPr>
              <w:spacing w:line="240" w:lineRule="auto"/>
              <w:jc w:val="center"/>
              <w:rPr>
                <w:rFonts w:hint="eastAsia"/>
                <w:sz w:val="21"/>
                <w:szCs w:val="21"/>
              </w:rPr>
            </w:pPr>
            <w:r>
              <w:rPr>
                <w:rFonts w:hint="eastAsia"/>
                <w:sz w:val="21"/>
                <w:szCs w:val="21"/>
              </w:rPr>
              <w:t>定期管理、完善</w:t>
            </w:r>
          </w:p>
        </w:tc>
      </w:tr>
    </w:tbl>
    <w:p w14:paraId="4EFF9B29">
      <w:pPr>
        <w:rPr>
          <w:kern w:val="0"/>
        </w:rPr>
        <w:sectPr>
          <w:pgSz w:w="16838" w:h="11906" w:orient="landscape"/>
          <w:pgMar w:top="1803" w:right="1440" w:bottom="1803" w:left="1440" w:header="992" w:footer="992" w:gutter="0"/>
          <w:cols w:space="720" w:num="1"/>
          <w:docGrid w:type="linesAndChars" w:linePitch="332" w:charSpace="0"/>
        </w:sectPr>
      </w:pPr>
    </w:p>
    <w:p w14:paraId="3EF2A2EF">
      <w:pPr>
        <w:pStyle w:val="3"/>
        <w:jc w:val="center"/>
        <w:rPr>
          <w:rStyle w:val="54"/>
          <w:b w:val="0"/>
          <w:bCs w:val="0"/>
          <w:sz w:val="32"/>
        </w:rPr>
      </w:pPr>
      <w:bookmarkStart w:id="261" w:name="_Toc17884"/>
      <w:bookmarkStart w:id="262" w:name="_Toc485049327"/>
      <w:bookmarkStart w:id="263" w:name="_Toc31954"/>
      <w:bookmarkStart w:id="264" w:name="_Toc7100"/>
      <w:bookmarkStart w:id="265" w:name="_Toc485049403"/>
      <w:bookmarkStart w:id="266" w:name="_Toc485037892"/>
      <w:bookmarkStart w:id="267" w:name="_Toc492841666"/>
      <w:r>
        <w:rPr>
          <w:rStyle w:val="54"/>
          <w:b w:val="0"/>
          <w:bCs w:val="0"/>
          <w:sz w:val="32"/>
        </w:rPr>
        <w:t>第四部分   环境应急资源调查报告</w:t>
      </w:r>
      <w:bookmarkEnd w:id="261"/>
      <w:bookmarkEnd w:id="262"/>
      <w:bookmarkEnd w:id="263"/>
      <w:bookmarkEnd w:id="264"/>
      <w:bookmarkEnd w:id="265"/>
      <w:bookmarkEnd w:id="266"/>
      <w:bookmarkEnd w:id="267"/>
    </w:p>
    <w:p w14:paraId="61FC2C16">
      <w:pPr>
        <w:keepNext/>
        <w:keepLines/>
        <w:outlineLvl w:val="0"/>
        <w:rPr>
          <w:b/>
          <w:kern w:val="44"/>
          <w:sz w:val="32"/>
        </w:rPr>
      </w:pPr>
      <w:bookmarkStart w:id="268" w:name="_Toc479606137"/>
      <w:bookmarkStart w:id="269" w:name="_Toc495141201"/>
      <w:bookmarkStart w:id="270" w:name="_Toc7689"/>
      <w:bookmarkStart w:id="271" w:name="_Toc23146"/>
      <w:bookmarkStart w:id="272" w:name="_Toc4060"/>
      <w:bookmarkStart w:id="273" w:name="_Toc14551"/>
      <w:bookmarkStart w:id="274" w:name="_Toc3886"/>
      <w:bookmarkStart w:id="275" w:name="_Toc485049404"/>
      <w:bookmarkStart w:id="276" w:name="_Toc485049328"/>
      <w:bookmarkStart w:id="277" w:name="_Toc9162"/>
      <w:bookmarkStart w:id="278" w:name="_Toc485037893"/>
      <w:bookmarkStart w:id="279" w:name="_Toc492841667"/>
      <w:r>
        <w:rPr>
          <w:b/>
          <w:kern w:val="44"/>
          <w:sz w:val="32"/>
        </w:rPr>
        <w:t>1、应急资源</w:t>
      </w:r>
      <w:bookmarkEnd w:id="268"/>
      <w:bookmarkEnd w:id="269"/>
      <w:r>
        <w:rPr>
          <w:b/>
          <w:kern w:val="44"/>
          <w:sz w:val="32"/>
        </w:rPr>
        <w:t>调查概要</w:t>
      </w:r>
      <w:bookmarkEnd w:id="270"/>
      <w:bookmarkEnd w:id="271"/>
      <w:bookmarkEnd w:id="272"/>
      <w:bookmarkEnd w:id="273"/>
      <w:bookmarkEnd w:id="274"/>
    </w:p>
    <w:p w14:paraId="7E95F033">
      <w:pPr>
        <w:keepNext/>
        <w:keepLines/>
        <w:outlineLvl w:val="1"/>
        <w:rPr>
          <w:b/>
          <w:kern w:val="0"/>
          <w:sz w:val="30"/>
          <w:szCs w:val="20"/>
        </w:rPr>
      </w:pPr>
      <w:bookmarkStart w:id="280" w:name="_Toc2203"/>
      <w:bookmarkStart w:id="281" w:name="_Toc14968"/>
      <w:bookmarkStart w:id="282" w:name="_Toc17788"/>
      <w:bookmarkStart w:id="283" w:name="_Toc8278"/>
      <w:bookmarkStart w:id="284" w:name="_Toc27799"/>
      <w:r>
        <w:rPr>
          <w:rFonts w:hint="eastAsia"/>
          <w:b/>
          <w:kern w:val="0"/>
          <w:sz w:val="30"/>
          <w:szCs w:val="20"/>
        </w:rPr>
        <w:t>1.1调查目的</w:t>
      </w:r>
      <w:bookmarkEnd w:id="280"/>
      <w:bookmarkEnd w:id="281"/>
      <w:bookmarkEnd w:id="282"/>
      <w:bookmarkEnd w:id="283"/>
      <w:bookmarkEnd w:id="284"/>
    </w:p>
    <w:p w14:paraId="1DE43D01">
      <w:pPr>
        <w:widowControl/>
        <w:spacing w:line="480" w:lineRule="exact"/>
        <w:ind w:firstLine="480" w:firstLineChars="200"/>
        <w:jc w:val="left"/>
        <w:rPr>
          <w:kern w:val="0"/>
        </w:rPr>
      </w:pPr>
      <w:r>
        <w:rPr>
          <w:kern w:val="0"/>
        </w:rPr>
        <w:t>突发性环境污染事件是威胁人类健康、破坏生态环境的重要因素，其危害制约着生态平衡及经济、社会的发展。迫切需要我们做好突发性环境污染事件的预防，提高对突发性环境污染事故处置的应急能力。</w:t>
      </w:r>
    </w:p>
    <w:p w14:paraId="5AEE04BD">
      <w:pPr>
        <w:widowControl/>
        <w:spacing w:line="480" w:lineRule="exact"/>
        <w:ind w:firstLine="480" w:firstLineChars="200"/>
        <w:jc w:val="left"/>
        <w:rPr>
          <w:kern w:val="0"/>
        </w:rPr>
      </w:pPr>
      <w:r>
        <w:rPr>
          <w:kern w:val="0"/>
        </w:rPr>
        <w:t>应急资源是突发环境事件应急处置的基础。目前大部分企业</w:t>
      </w:r>
      <w:r>
        <w:rPr>
          <w:rFonts w:hint="eastAsia"/>
          <w:kern w:val="0"/>
        </w:rPr>
        <w:t>或水厂</w:t>
      </w:r>
      <w:r>
        <w:rPr>
          <w:kern w:val="0"/>
        </w:rPr>
        <w:t>自身应急资源不足应对各类突发环境事件，若不开展应急资源调查，则无法对应急人力、财力、装备进行科学地调配和引进，据此特编制本环境应急资源调查报告。</w:t>
      </w:r>
    </w:p>
    <w:p w14:paraId="155C1B40">
      <w:pPr>
        <w:keepNext/>
        <w:keepLines/>
        <w:outlineLvl w:val="1"/>
        <w:rPr>
          <w:b/>
          <w:kern w:val="0"/>
          <w:sz w:val="30"/>
          <w:szCs w:val="20"/>
        </w:rPr>
      </w:pPr>
      <w:bookmarkStart w:id="285" w:name="_Toc23794"/>
      <w:bookmarkStart w:id="286" w:name="_Toc13214"/>
      <w:bookmarkStart w:id="287" w:name="_Toc27676"/>
      <w:bookmarkStart w:id="288" w:name="_Toc15506"/>
      <w:bookmarkStart w:id="289" w:name="_Toc16948"/>
      <w:r>
        <w:rPr>
          <w:b/>
          <w:kern w:val="0"/>
          <w:sz w:val="30"/>
          <w:szCs w:val="20"/>
        </w:rPr>
        <w:t>1.2调查原则</w:t>
      </w:r>
      <w:bookmarkEnd w:id="285"/>
      <w:bookmarkEnd w:id="286"/>
      <w:bookmarkEnd w:id="287"/>
      <w:bookmarkEnd w:id="288"/>
      <w:bookmarkEnd w:id="289"/>
      <w:r>
        <w:rPr>
          <w:b/>
          <w:kern w:val="0"/>
          <w:sz w:val="30"/>
          <w:szCs w:val="20"/>
        </w:rPr>
        <w:t xml:space="preserve"> </w:t>
      </w:r>
    </w:p>
    <w:p w14:paraId="0DA3FB26">
      <w:pPr>
        <w:widowControl/>
        <w:spacing w:line="480" w:lineRule="exact"/>
        <w:ind w:firstLine="480" w:firstLineChars="200"/>
        <w:jc w:val="left"/>
        <w:rPr>
          <w:kern w:val="0"/>
        </w:rPr>
      </w:pPr>
      <w:r>
        <w:rPr>
          <w:kern w:val="0"/>
        </w:rPr>
        <w:t xml:space="preserve">环境应急资源调查应遵循客观、专业、可靠的原则。 </w:t>
      </w:r>
    </w:p>
    <w:p w14:paraId="66B7D654">
      <w:pPr>
        <w:widowControl/>
        <w:numPr>
          <w:ilvl w:val="0"/>
          <w:numId w:val="10"/>
        </w:numPr>
        <w:spacing w:line="480" w:lineRule="exact"/>
        <w:ind w:firstLine="480" w:firstLineChars="200"/>
        <w:jc w:val="left"/>
        <w:rPr>
          <w:kern w:val="0"/>
        </w:rPr>
      </w:pPr>
      <w:r>
        <w:rPr>
          <w:kern w:val="0"/>
        </w:rPr>
        <w:t xml:space="preserve">“客观”是指针对已经储备的资源和已经掌握的资源信息进行调查。 </w:t>
      </w:r>
    </w:p>
    <w:p w14:paraId="64140CEE">
      <w:pPr>
        <w:widowControl/>
        <w:numPr>
          <w:ilvl w:val="0"/>
          <w:numId w:val="10"/>
        </w:numPr>
        <w:spacing w:line="480" w:lineRule="exact"/>
        <w:ind w:firstLine="480" w:firstLineChars="200"/>
        <w:jc w:val="left"/>
        <w:rPr>
          <w:kern w:val="0"/>
        </w:rPr>
      </w:pPr>
      <w:r>
        <w:rPr>
          <w:kern w:val="0"/>
        </w:rPr>
        <w:t xml:space="preserve">“专业”是指重点针对环境应急时的专用资源进行调查。 </w:t>
      </w:r>
    </w:p>
    <w:p w14:paraId="5E1A1EBE">
      <w:pPr>
        <w:numPr>
          <w:ilvl w:val="0"/>
          <w:numId w:val="10"/>
        </w:numPr>
        <w:ind w:firstLine="480" w:firstLineChars="200"/>
        <w:rPr>
          <w:kern w:val="0"/>
        </w:rPr>
      </w:pPr>
      <w:r>
        <w:rPr>
          <w:kern w:val="0"/>
        </w:rPr>
        <w:t>“可靠”是指调查过程科学、调查结论可信、资源调集可保障。</w:t>
      </w:r>
    </w:p>
    <w:p w14:paraId="25DB82FB">
      <w:pPr>
        <w:keepNext/>
        <w:keepLines/>
        <w:outlineLvl w:val="1"/>
        <w:rPr>
          <w:b/>
          <w:kern w:val="0"/>
          <w:sz w:val="30"/>
          <w:szCs w:val="20"/>
        </w:rPr>
      </w:pPr>
      <w:bookmarkStart w:id="290" w:name="_Toc563"/>
      <w:bookmarkStart w:id="291" w:name="_Toc5002"/>
      <w:bookmarkStart w:id="292" w:name="_Toc11779"/>
      <w:bookmarkStart w:id="293" w:name="_Toc16706"/>
      <w:bookmarkStart w:id="294" w:name="_Toc26288"/>
      <w:r>
        <w:rPr>
          <w:b/>
          <w:kern w:val="0"/>
          <w:sz w:val="30"/>
          <w:szCs w:val="20"/>
        </w:rPr>
        <w:t>1.3调查主体和调查对象</w:t>
      </w:r>
      <w:bookmarkEnd w:id="290"/>
      <w:bookmarkEnd w:id="291"/>
      <w:bookmarkEnd w:id="292"/>
      <w:bookmarkEnd w:id="293"/>
      <w:bookmarkEnd w:id="294"/>
      <w:r>
        <w:rPr>
          <w:b/>
          <w:kern w:val="0"/>
          <w:sz w:val="30"/>
          <w:szCs w:val="20"/>
        </w:rPr>
        <w:t xml:space="preserve"> </w:t>
      </w:r>
    </w:p>
    <w:p w14:paraId="24863677">
      <w:pPr>
        <w:widowControl/>
        <w:spacing w:line="480" w:lineRule="exact"/>
        <w:ind w:left="480" w:leftChars="200"/>
        <w:jc w:val="left"/>
        <w:rPr>
          <w:kern w:val="0"/>
        </w:rPr>
      </w:pPr>
      <w:r>
        <w:rPr>
          <w:kern w:val="0"/>
        </w:rPr>
        <w:t>调查主体：</w:t>
      </w:r>
      <w:r>
        <w:rPr>
          <w:rFonts w:hint="eastAsia"/>
          <w:kern w:val="0"/>
        </w:rPr>
        <w:t>邵阳市生态环境局绥宁分局</w:t>
      </w:r>
      <w:r>
        <w:rPr>
          <w:kern w:val="0"/>
        </w:rPr>
        <w:t xml:space="preserve"> </w:t>
      </w:r>
    </w:p>
    <w:p w14:paraId="0C643A8E">
      <w:pPr>
        <w:widowControl/>
        <w:spacing w:line="480" w:lineRule="exact"/>
        <w:ind w:left="480" w:leftChars="200"/>
        <w:jc w:val="left"/>
        <w:rPr>
          <w:kern w:val="0"/>
        </w:rPr>
      </w:pPr>
      <w:r>
        <w:rPr>
          <w:kern w:val="0"/>
        </w:rPr>
        <w:t>调查对象：</w:t>
      </w:r>
      <w:r>
        <w:rPr>
          <w:rFonts w:hint="eastAsia"/>
          <w:kern w:val="0"/>
        </w:rPr>
        <w:t>绥宁县自来水厂、关峡水厂内及周边企事业单位</w:t>
      </w:r>
      <w:r>
        <w:rPr>
          <w:kern w:val="0"/>
        </w:rPr>
        <w:t>应急物资。</w:t>
      </w:r>
    </w:p>
    <w:p w14:paraId="5684979E">
      <w:pPr>
        <w:keepNext/>
        <w:keepLines/>
        <w:outlineLvl w:val="1"/>
        <w:rPr>
          <w:b/>
          <w:kern w:val="0"/>
          <w:sz w:val="30"/>
          <w:szCs w:val="20"/>
        </w:rPr>
      </w:pPr>
      <w:bookmarkStart w:id="295" w:name="_Toc20481"/>
      <w:bookmarkStart w:id="296" w:name="_Toc1539"/>
      <w:bookmarkStart w:id="297" w:name="_Toc28469"/>
      <w:bookmarkStart w:id="298" w:name="_Toc16637"/>
      <w:bookmarkStart w:id="299" w:name="_Toc9978"/>
      <w:r>
        <w:rPr>
          <w:b/>
          <w:kern w:val="0"/>
          <w:sz w:val="30"/>
          <w:szCs w:val="20"/>
        </w:rPr>
        <w:t>1.4调查时间</w:t>
      </w:r>
      <w:bookmarkEnd w:id="295"/>
      <w:bookmarkEnd w:id="296"/>
      <w:bookmarkEnd w:id="297"/>
      <w:bookmarkEnd w:id="298"/>
      <w:bookmarkEnd w:id="299"/>
      <w:r>
        <w:rPr>
          <w:b/>
          <w:kern w:val="0"/>
          <w:sz w:val="30"/>
          <w:szCs w:val="20"/>
        </w:rPr>
        <w:t xml:space="preserve"> </w:t>
      </w:r>
    </w:p>
    <w:p w14:paraId="36E06991">
      <w:pPr>
        <w:ind w:firstLine="480" w:firstLineChars="200"/>
      </w:pPr>
      <w:r>
        <w:rPr>
          <w:kern w:val="0"/>
        </w:rPr>
        <w:t>202</w:t>
      </w:r>
      <w:r>
        <w:rPr>
          <w:rFonts w:hint="eastAsia"/>
          <w:kern w:val="0"/>
        </w:rPr>
        <w:t>3</w:t>
      </w:r>
      <w:r>
        <w:rPr>
          <w:kern w:val="0"/>
        </w:rPr>
        <w:t>年</w:t>
      </w:r>
      <w:r>
        <w:rPr>
          <w:rFonts w:hint="eastAsia"/>
          <w:kern w:val="0"/>
        </w:rPr>
        <w:t>11</w:t>
      </w:r>
      <w:r>
        <w:rPr>
          <w:kern w:val="0"/>
        </w:rPr>
        <w:t>月</w:t>
      </w:r>
      <w:r>
        <w:rPr>
          <w:rFonts w:hint="eastAsia"/>
          <w:kern w:val="0"/>
        </w:rPr>
        <w:t>10</w:t>
      </w:r>
      <w:r>
        <w:rPr>
          <w:kern w:val="0"/>
        </w:rPr>
        <w:t>日至202</w:t>
      </w:r>
      <w:r>
        <w:rPr>
          <w:rFonts w:hint="eastAsia"/>
          <w:kern w:val="0"/>
        </w:rPr>
        <w:t>3</w:t>
      </w:r>
      <w:r>
        <w:rPr>
          <w:kern w:val="0"/>
        </w:rPr>
        <w:t>年</w:t>
      </w:r>
      <w:r>
        <w:rPr>
          <w:rFonts w:hint="eastAsia"/>
          <w:kern w:val="0"/>
        </w:rPr>
        <w:t>11</w:t>
      </w:r>
      <w:r>
        <w:rPr>
          <w:kern w:val="0"/>
        </w:rPr>
        <w:t>月</w:t>
      </w:r>
      <w:r>
        <w:rPr>
          <w:rFonts w:hint="eastAsia"/>
          <w:kern w:val="0"/>
        </w:rPr>
        <w:t>30</w:t>
      </w:r>
      <w:r>
        <w:rPr>
          <w:kern w:val="0"/>
        </w:rPr>
        <w:t>日。</w:t>
      </w:r>
    </w:p>
    <w:p w14:paraId="13969E4E">
      <w:pPr>
        <w:keepNext/>
        <w:keepLines/>
        <w:outlineLvl w:val="0"/>
        <w:rPr>
          <w:b/>
          <w:kern w:val="44"/>
          <w:sz w:val="32"/>
        </w:rPr>
      </w:pPr>
      <w:bookmarkStart w:id="300" w:name="_Toc495141202"/>
      <w:bookmarkStart w:id="301" w:name="_Toc7735"/>
      <w:bookmarkStart w:id="302" w:name="_Toc479606138"/>
      <w:bookmarkStart w:id="303" w:name="_Toc11878"/>
      <w:bookmarkStart w:id="304" w:name="_Toc468"/>
      <w:bookmarkStart w:id="305" w:name="_Toc20849"/>
      <w:bookmarkStart w:id="306" w:name="_Toc31872"/>
      <w:bookmarkStart w:id="307" w:name="_Toc2501"/>
      <w:r>
        <w:rPr>
          <w:b/>
          <w:kern w:val="44"/>
          <w:sz w:val="32"/>
        </w:rPr>
        <w:t>2、</w:t>
      </w:r>
      <w:bookmarkEnd w:id="300"/>
      <w:bookmarkEnd w:id="301"/>
      <w:bookmarkEnd w:id="302"/>
      <w:r>
        <w:rPr>
          <w:b/>
          <w:kern w:val="44"/>
          <w:sz w:val="32"/>
        </w:rPr>
        <w:t>调查程序及数据核实</w:t>
      </w:r>
      <w:bookmarkEnd w:id="303"/>
      <w:bookmarkEnd w:id="304"/>
      <w:bookmarkEnd w:id="305"/>
      <w:bookmarkEnd w:id="306"/>
      <w:bookmarkEnd w:id="307"/>
    </w:p>
    <w:p w14:paraId="1C0E14FA">
      <w:pPr>
        <w:keepNext/>
        <w:keepLines/>
        <w:outlineLvl w:val="1"/>
        <w:rPr>
          <w:b/>
          <w:kern w:val="0"/>
          <w:sz w:val="30"/>
          <w:szCs w:val="20"/>
        </w:rPr>
      </w:pPr>
      <w:bookmarkStart w:id="308" w:name="_Toc18076"/>
      <w:bookmarkStart w:id="309" w:name="_Toc6623"/>
      <w:bookmarkStart w:id="310" w:name="_Toc20916"/>
      <w:bookmarkStart w:id="311" w:name="_Toc11195"/>
      <w:bookmarkStart w:id="312" w:name="_Toc31305"/>
      <w:r>
        <w:rPr>
          <w:rFonts w:hint="eastAsia"/>
          <w:b/>
          <w:kern w:val="0"/>
          <w:sz w:val="30"/>
          <w:szCs w:val="20"/>
        </w:rPr>
        <w:t>2.1调查启动</w:t>
      </w:r>
      <w:bookmarkEnd w:id="308"/>
      <w:bookmarkEnd w:id="309"/>
      <w:bookmarkEnd w:id="310"/>
      <w:bookmarkEnd w:id="311"/>
      <w:bookmarkEnd w:id="312"/>
    </w:p>
    <w:p w14:paraId="4EBE2604">
      <w:pPr>
        <w:spacing w:line="480" w:lineRule="exact"/>
        <w:ind w:firstLine="480" w:firstLineChars="200"/>
      </w:pPr>
      <w:r>
        <w:t>调查准备：由</w:t>
      </w:r>
      <w:r>
        <w:rPr>
          <w:rFonts w:hint="eastAsia"/>
        </w:rPr>
        <w:t>邵阳市生态环境局绥宁分局</w:t>
      </w:r>
      <w:r>
        <w:t xml:space="preserve">发布应急物资调查公告，制定调查方案，组织相关调查人员参加培训，以熟悉调查内容、程序并掌握填写调查表的方法。 </w:t>
      </w:r>
    </w:p>
    <w:p w14:paraId="02B2D088">
      <w:pPr>
        <w:spacing w:line="480" w:lineRule="exact"/>
        <w:ind w:firstLine="480" w:firstLineChars="200"/>
      </w:pPr>
      <w:r>
        <w:t>调查启动时间：于2023年</w:t>
      </w:r>
      <w:r>
        <w:rPr>
          <w:rFonts w:hint="eastAsia"/>
        </w:rPr>
        <w:t>11</w:t>
      </w:r>
      <w:r>
        <w:t>月</w:t>
      </w:r>
      <w:r>
        <w:rPr>
          <w:rFonts w:hint="eastAsia"/>
        </w:rPr>
        <w:t>10</w:t>
      </w:r>
      <w:r>
        <w:t xml:space="preserve">日启动环境应急物资调查。 </w:t>
      </w:r>
    </w:p>
    <w:p w14:paraId="289EBD93">
      <w:pPr>
        <w:spacing w:line="480" w:lineRule="exact"/>
        <w:ind w:firstLine="480" w:firstLineChars="200"/>
      </w:pPr>
      <w:r>
        <w:t>调查时间期限：2023年</w:t>
      </w:r>
      <w:r>
        <w:rPr>
          <w:rFonts w:hint="eastAsia"/>
        </w:rPr>
        <w:t>11</w:t>
      </w:r>
      <w:r>
        <w:t>月</w:t>
      </w:r>
      <w:r>
        <w:rPr>
          <w:rFonts w:hint="eastAsia"/>
        </w:rPr>
        <w:t>10</w:t>
      </w:r>
      <w:r>
        <w:t>日至202</w:t>
      </w:r>
      <w:r>
        <w:rPr>
          <w:rFonts w:hint="eastAsia"/>
        </w:rPr>
        <w:t>3</w:t>
      </w:r>
      <w:r>
        <w:t>年</w:t>
      </w:r>
      <w:r>
        <w:rPr>
          <w:rFonts w:hint="eastAsia"/>
        </w:rPr>
        <w:t>11</w:t>
      </w:r>
      <w:r>
        <w:t>月</w:t>
      </w:r>
      <w:r>
        <w:rPr>
          <w:rFonts w:hint="eastAsia"/>
        </w:rPr>
        <w:t>30</w:t>
      </w:r>
      <w:r>
        <w:t xml:space="preserve">日。 </w:t>
      </w:r>
    </w:p>
    <w:p w14:paraId="431E5136">
      <w:pPr>
        <w:spacing w:line="480" w:lineRule="exact"/>
        <w:ind w:firstLine="480" w:firstLineChars="200"/>
      </w:pPr>
      <w:r>
        <w:t>调查人员：</w:t>
      </w:r>
      <w:r>
        <w:rPr>
          <w:rFonts w:hint="eastAsia"/>
        </w:rPr>
        <w:t>邵阳市生态环境局绥宁分局</w:t>
      </w:r>
      <w:r>
        <w:t>相关人员。</w:t>
      </w:r>
    </w:p>
    <w:p w14:paraId="07CDBBF6">
      <w:pPr>
        <w:keepNext/>
        <w:keepLines/>
        <w:outlineLvl w:val="1"/>
        <w:rPr>
          <w:rFonts w:hint="eastAsia"/>
          <w:b/>
          <w:kern w:val="0"/>
          <w:sz w:val="30"/>
          <w:szCs w:val="20"/>
        </w:rPr>
      </w:pPr>
      <w:bookmarkStart w:id="313" w:name="_Toc25487"/>
      <w:bookmarkStart w:id="314" w:name="_Toc16071"/>
      <w:bookmarkStart w:id="315" w:name="_Toc16285"/>
      <w:bookmarkStart w:id="316" w:name="_Toc1242"/>
      <w:bookmarkStart w:id="317" w:name="_Toc25732"/>
      <w:r>
        <w:rPr>
          <w:rFonts w:hint="eastAsia"/>
          <w:b/>
          <w:kern w:val="0"/>
          <w:sz w:val="30"/>
          <w:szCs w:val="20"/>
        </w:rPr>
        <w:t>2.2数据采集</w:t>
      </w:r>
      <w:bookmarkEnd w:id="313"/>
      <w:bookmarkEnd w:id="314"/>
      <w:bookmarkEnd w:id="315"/>
      <w:bookmarkEnd w:id="316"/>
      <w:bookmarkEnd w:id="317"/>
    </w:p>
    <w:p w14:paraId="28C09526">
      <w:pPr>
        <w:spacing w:line="480" w:lineRule="exact"/>
        <w:ind w:firstLine="480" w:firstLineChars="200"/>
      </w:pPr>
      <w:r>
        <w:rPr>
          <w:rFonts w:hint="eastAsia"/>
        </w:rPr>
        <w:t>邵阳市生态环境局绥宁分局</w:t>
      </w:r>
      <w:r>
        <w:t>针对各应急物资放置点逐一调查和统计，并做详实的记录，并将统计结果汇报</w:t>
      </w:r>
      <w:r>
        <w:rPr>
          <w:rFonts w:hint="eastAsia"/>
        </w:rPr>
        <w:t>应急办负责人</w:t>
      </w:r>
      <w:r>
        <w:t>。由应急办负责人进行数据审核，采取一定的方法如抽样核查的方法核实数据的真实性和完整性，从而完成数据采集。</w:t>
      </w:r>
    </w:p>
    <w:p w14:paraId="380AFE7A">
      <w:pPr>
        <w:keepNext/>
        <w:keepLines/>
        <w:outlineLvl w:val="1"/>
        <w:rPr>
          <w:rFonts w:hint="eastAsia"/>
          <w:b/>
          <w:kern w:val="0"/>
          <w:sz w:val="30"/>
          <w:szCs w:val="20"/>
        </w:rPr>
      </w:pPr>
      <w:bookmarkStart w:id="318" w:name="_Toc3525"/>
      <w:bookmarkStart w:id="319" w:name="_Toc14312"/>
      <w:bookmarkStart w:id="320" w:name="_Toc12970"/>
      <w:bookmarkStart w:id="321" w:name="_Toc28715"/>
      <w:bookmarkStart w:id="322" w:name="_Toc3438"/>
      <w:r>
        <w:rPr>
          <w:rFonts w:hint="eastAsia"/>
          <w:b/>
          <w:kern w:val="0"/>
          <w:sz w:val="30"/>
          <w:szCs w:val="20"/>
        </w:rPr>
        <w:t>2.3调查信息分析</w:t>
      </w:r>
      <w:bookmarkEnd w:id="318"/>
      <w:bookmarkEnd w:id="319"/>
      <w:bookmarkEnd w:id="320"/>
      <w:bookmarkEnd w:id="321"/>
      <w:bookmarkEnd w:id="322"/>
    </w:p>
    <w:p w14:paraId="68D4C92F">
      <w:pPr>
        <w:spacing w:line="480" w:lineRule="exact"/>
        <w:ind w:firstLine="480" w:firstLineChars="200"/>
      </w:pPr>
      <w:r>
        <w:t>应急办负责人集中收集各项调查结果，将采集的各项信息进行汇总，同步录入数据档案库，利用统计归纳方法分析完好的、损坏的及缺乏的物资，并将损坏的物资更换为完好物资，将缺乏的物资进行补足。</w:t>
      </w:r>
    </w:p>
    <w:p w14:paraId="371E0B16">
      <w:pPr>
        <w:keepNext/>
        <w:keepLines/>
        <w:outlineLvl w:val="1"/>
        <w:rPr>
          <w:rFonts w:hint="eastAsia"/>
          <w:b/>
          <w:kern w:val="0"/>
          <w:sz w:val="30"/>
          <w:szCs w:val="20"/>
        </w:rPr>
      </w:pPr>
      <w:bookmarkStart w:id="323" w:name="_Toc16770"/>
      <w:bookmarkStart w:id="324" w:name="_Toc30516"/>
      <w:bookmarkStart w:id="325" w:name="_Toc19486"/>
      <w:bookmarkStart w:id="326" w:name="_Toc31315"/>
      <w:bookmarkStart w:id="327" w:name="_Toc7156"/>
      <w:r>
        <w:rPr>
          <w:rFonts w:hint="eastAsia"/>
          <w:b/>
          <w:kern w:val="0"/>
          <w:sz w:val="30"/>
          <w:szCs w:val="20"/>
        </w:rPr>
        <w:t>2.4调查报告编制</w:t>
      </w:r>
      <w:bookmarkEnd w:id="323"/>
      <w:bookmarkEnd w:id="324"/>
      <w:bookmarkEnd w:id="325"/>
      <w:bookmarkEnd w:id="326"/>
      <w:bookmarkEnd w:id="327"/>
    </w:p>
    <w:p w14:paraId="190DD2BF">
      <w:pPr>
        <w:spacing w:line="480" w:lineRule="exact"/>
        <w:ind w:firstLine="480" w:firstLineChars="200"/>
      </w:pPr>
      <w:r>
        <w:t xml:space="preserve">在完成应急物资调查及信息分析的基础上，参考《环境应急物资调查指南》 （试行）中规定的方法并结合区域内企业实际情况，编制调查报告。 </w:t>
      </w:r>
    </w:p>
    <w:p w14:paraId="76372572">
      <w:pPr>
        <w:spacing w:line="480" w:lineRule="exact"/>
        <w:ind w:firstLine="480" w:firstLineChars="200"/>
      </w:pPr>
      <w:r>
        <w:t>调查报告包括调查概要、调查过程及数据核实、调查结果与结论。</w:t>
      </w:r>
    </w:p>
    <w:p w14:paraId="40C719D2">
      <w:pPr>
        <w:keepNext/>
        <w:keepLines/>
        <w:outlineLvl w:val="1"/>
        <w:rPr>
          <w:rFonts w:hint="eastAsia"/>
          <w:b/>
          <w:kern w:val="0"/>
          <w:sz w:val="30"/>
          <w:szCs w:val="20"/>
        </w:rPr>
      </w:pPr>
      <w:bookmarkStart w:id="328" w:name="_Toc24868"/>
      <w:bookmarkStart w:id="329" w:name="_Toc13846"/>
      <w:bookmarkStart w:id="330" w:name="_Toc12298"/>
      <w:bookmarkStart w:id="331" w:name="_Toc16556"/>
      <w:bookmarkStart w:id="332" w:name="_Toc25024"/>
      <w:r>
        <w:rPr>
          <w:rFonts w:hint="eastAsia"/>
          <w:b/>
          <w:kern w:val="0"/>
          <w:sz w:val="30"/>
          <w:szCs w:val="20"/>
        </w:rPr>
        <w:t>2.5质量控制措施</w:t>
      </w:r>
      <w:bookmarkEnd w:id="328"/>
      <w:bookmarkEnd w:id="329"/>
      <w:bookmarkEnd w:id="330"/>
      <w:bookmarkEnd w:id="331"/>
      <w:bookmarkEnd w:id="332"/>
    </w:p>
    <w:p w14:paraId="12318D5B">
      <w:pPr>
        <w:keepNext/>
        <w:keepLines/>
        <w:outlineLvl w:val="2"/>
        <w:rPr>
          <w:rFonts w:hint="eastAsia"/>
          <w:b/>
        </w:rPr>
      </w:pPr>
      <w:bookmarkStart w:id="333" w:name="_Toc8074"/>
      <w:bookmarkStart w:id="334" w:name="_Toc18319"/>
      <w:r>
        <w:rPr>
          <w:rFonts w:hint="eastAsia"/>
          <w:b/>
        </w:rPr>
        <w:t>2.5.1质量控制措施</w:t>
      </w:r>
      <w:bookmarkEnd w:id="333"/>
      <w:bookmarkEnd w:id="334"/>
    </w:p>
    <w:p w14:paraId="4AFCBB59">
      <w:pPr>
        <w:numPr>
          <w:ilvl w:val="0"/>
          <w:numId w:val="11"/>
        </w:numPr>
        <w:spacing w:line="480" w:lineRule="exact"/>
        <w:ind w:firstLine="480" w:firstLineChars="200"/>
      </w:pPr>
      <w:r>
        <w:t xml:space="preserve">组织与领导机制 </w:t>
      </w:r>
    </w:p>
    <w:p w14:paraId="3E3DF013">
      <w:pPr>
        <w:spacing w:line="480" w:lineRule="exact"/>
        <w:ind w:firstLine="480" w:firstLineChars="200"/>
      </w:pPr>
      <w:r>
        <w:t xml:space="preserve">在工作开展期间，及时成立领导小组，深入研究，周密组织，明确职责分工，将计划中的每一项调查工作落到实处。 </w:t>
      </w:r>
    </w:p>
    <w:p w14:paraId="7B39C980">
      <w:pPr>
        <w:numPr>
          <w:ilvl w:val="0"/>
          <w:numId w:val="11"/>
        </w:numPr>
        <w:spacing w:line="480" w:lineRule="exact"/>
        <w:ind w:firstLine="480" w:firstLineChars="200"/>
      </w:pPr>
      <w:r>
        <w:t>人员配备与培训机制</w:t>
      </w:r>
    </w:p>
    <w:p w14:paraId="178C15B4">
      <w:pPr>
        <w:spacing w:line="480" w:lineRule="exact"/>
        <w:ind w:firstLine="480" w:firstLineChars="200"/>
      </w:pPr>
      <w:r>
        <w:rPr>
          <w:rFonts w:hint="eastAsia"/>
        </w:rPr>
        <w:t>绥宁分局</w:t>
      </w:r>
      <w:r>
        <w:t xml:space="preserve">组织了专门的协调组、调查组、质控组及调查领导小组，可确保调查工作顺利推进并提交最终调查成果。在调查工作启动时，调查小组会有针对性的组织技术培训大会，对相关技术人员进行调查背景、调查程序、工作任务、相关技术的全面培训，后期根据工作进展情况及反馈的问题，及时开展补充培训，进一步完善调查组人员的专项技能。 </w:t>
      </w:r>
    </w:p>
    <w:p w14:paraId="259F61C7">
      <w:pPr>
        <w:numPr>
          <w:ilvl w:val="0"/>
          <w:numId w:val="11"/>
        </w:numPr>
        <w:spacing w:line="480" w:lineRule="exact"/>
        <w:ind w:firstLine="480" w:firstLineChars="200"/>
      </w:pPr>
      <w:r>
        <w:t xml:space="preserve">质量控制与数据审核机制 </w:t>
      </w:r>
    </w:p>
    <w:p w14:paraId="028D9D95">
      <w:pPr>
        <w:numPr>
          <w:ilvl w:val="0"/>
          <w:numId w:val="12"/>
        </w:numPr>
        <w:spacing w:line="480" w:lineRule="exact"/>
        <w:ind w:firstLine="480" w:firstLineChars="200"/>
      </w:pPr>
      <w:r>
        <w:t xml:space="preserve">调查员需要现场对普查表的内容、指标填报是否齐全，以及是否符合调查制度的规定和要求等进行审核。 </w:t>
      </w:r>
    </w:p>
    <w:p w14:paraId="31B11B30">
      <w:pPr>
        <w:numPr>
          <w:ilvl w:val="0"/>
          <w:numId w:val="12"/>
        </w:numPr>
        <w:spacing w:line="480" w:lineRule="exact"/>
        <w:ind w:firstLine="480" w:firstLineChars="200"/>
      </w:pPr>
      <w:r>
        <w:t xml:space="preserve">调查员应现场对调查对象的完整性、合理性进行审核，发现填报错误、 逻辑错误或填报信息不全、不合理的情况，应及时予以纠正。 </w:t>
      </w:r>
    </w:p>
    <w:p w14:paraId="22F53F56">
      <w:pPr>
        <w:numPr>
          <w:ilvl w:val="0"/>
          <w:numId w:val="12"/>
        </w:numPr>
        <w:spacing w:line="480" w:lineRule="exact"/>
        <w:ind w:firstLine="480" w:firstLineChars="200"/>
      </w:pPr>
      <w:r>
        <w:t xml:space="preserve">调查表填报人员应确保填报信息的完整性，并妥善保存信息获取过程 中的相关记录或依据。调查表审核人员负责审查填报信息的规范性和合理性， 必要时应开展现场检查与核实，确保满足技术规定和调查表填报要求。 </w:t>
      </w:r>
    </w:p>
    <w:p w14:paraId="5E1A70A1">
      <w:pPr>
        <w:numPr>
          <w:ilvl w:val="0"/>
          <w:numId w:val="11"/>
        </w:numPr>
        <w:spacing w:line="480" w:lineRule="exact"/>
        <w:ind w:firstLine="480" w:firstLineChars="200"/>
      </w:pPr>
      <w:r>
        <w:t xml:space="preserve">三级审核机制 </w:t>
      </w:r>
      <w:r>
        <w:rPr>
          <w:rFonts w:hint="eastAsia"/>
        </w:rPr>
        <w:t xml:space="preserve"> 绥宁</w:t>
      </w:r>
      <w:r>
        <w:t xml:space="preserve">分局制定了严格的项目审核机制，对外出具的每一份成果都会经过成果 填报或编制人员自审→二级审核人员二审→三级审核人员三审的程序，最大程度的保证调查结果的质量。 </w:t>
      </w:r>
    </w:p>
    <w:p w14:paraId="7585C4B4">
      <w:pPr>
        <w:numPr>
          <w:ilvl w:val="0"/>
          <w:numId w:val="11"/>
        </w:numPr>
        <w:spacing w:line="480" w:lineRule="exact"/>
        <w:ind w:firstLine="480" w:firstLineChars="200"/>
      </w:pPr>
      <w:r>
        <w:t xml:space="preserve">问题解决机制 </w:t>
      </w:r>
      <w:r>
        <w:rPr>
          <w:rFonts w:hint="eastAsia"/>
        </w:rPr>
        <w:t xml:space="preserve"> </w:t>
      </w:r>
      <w:r>
        <w:t>调查进行过程中出现的问题，如对于工作中存在的环境应急资源底数不清、 定位不清、界限不清的问题及其他相关问题，将采取协调组、调查组、质控组共同协商解决的办法，并及时向调查领导汇报，确保调查工作顺利完成。</w:t>
      </w:r>
    </w:p>
    <w:p w14:paraId="22A8AE74">
      <w:pPr>
        <w:keepNext/>
        <w:keepLines/>
        <w:outlineLvl w:val="2"/>
        <w:rPr>
          <w:rFonts w:hint="eastAsia"/>
          <w:b/>
        </w:rPr>
      </w:pPr>
      <w:bookmarkStart w:id="335" w:name="_Toc7036"/>
      <w:bookmarkStart w:id="336" w:name="_Toc3978"/>
      <w:r>
        <w:rPr>
          <w:rFonts w:hint="eastAsia"/>
          <w:b/>
        </w:rPr>
        <w:t>2.5.2质量控制结果</w:t>
      </w:r>
      <w:bookmarkEnd w:id="335"/>
      <w:bookmarkEnd w:id="336"/>
    </w:p>
    <w:p w14:paraId="1E001C08">
      <w:pPr>
        <w:ind w:firstLine="480" w:firstLineChars="200"/>
        <w:rPr>
          <w:rFonts w:hint="eastAsia"/>
        </w:rPr>
      </w:pPr>
      <w:r>
        <w:t>形成合格的成果，有序整理，建立包括资源清单、调查报告、管理制度在内的调查信息档案。</w:t>
      </w:r>
    </w:p>
    <w:bookmarkEnd w:id="275"/>
    <w:bookmarkEnd w:id="276"/>
    <w:bookmarkEnd w:id="277"/>
    <w:bookmarkEnd w:id="278"/>
    <w:bookmarkEnd w:id="279"/>
    <w:p w14:paraId="473F0651">
      <w:pPr>
        <w:pStyle w:val="3"/>
      </w:pPr>
      <w:bookmarkStart w:id="337" w:name="_Toc16784"/>
      <w:bookmarkStart w:id="338" w:name="_Toc29869"/>
      <w:bookmarkStart w:id="339" w:name="_Toc492841669"/>
      <w:bookmarkStart w:id="340" w:name="_Toc24256"/>
      <w:bookmarkStart w:id="341" w:name="_Toc485049406"/>
      <w:bookmarkStart w:id="342" w:name="_Toc485049330"/>
      <w:r>
        <w:rPr>
          <w:rFonts w:hint="eastAsia"/>
        </w:rPr>
        <w:t>3、</w:t>
      </w:r>
      <w:r>
        <w:t>环境应急人力资源调查</w:t>
      </w:r>
      <w:bookmarkEnd w:id="337"/>
      <w:bookmarkEnd w:id="338"/>
      <w:bookmarkEnd w:id="339"/>
      <w:bookmarkEnd w:id="340"/>
      <w:bookmarkEnd w:id="341"/>
      <w:bookmarkEnd w:id="342"/>
    </w:p>
    <w:p w14:paraId="16DFC505">
      <w:pPr>
        <w:ind w:firstLine="480" w:firstLineChars="200"/>
      </w:pPr>
      <w:r>
        <w:t>人力资源的合理配置是突发环境事件应急管理体系的重要环节之一。在“人、财、物”三大资源中，人力资源居于首位。本报告从人员配置、培训、应急演练等方面评价人力资源配置现状，为本预案合理调整应急队伍提供参考依据。</w:t>
      </w:r>
    </w:p>
    <w:p w14:paraId="394C8D02">
      <w:pPr>
        <w:pStyle w:val="65"/>
        <w:adjustRightInd/>
        <w:snapToGrid/>
        <w:ind w:firstLine="480" w:firstLineChars="200"/>
        <w:rPr>
          <w:rFonts w:cs="Times New Roman"/>
        </w:rPr>
      </w:pPr>
      <w:r>
        <w:rPr>
          <w:rFonts w:hint="eastAsia" w:cs="Times New Roman"/>
        </w:rPr>
        <w:t>绥宁县关峡苗族乡兰溪水饮用水水源地保护区</w:t>
      </w:r>
      <w:r>
        <w:rPr>
          <w:rFonts w:cs="Times New Roman"/>
        </w:rPr>
        <w:t>突发环境事件应急组织指挥部由总指挥、副总指挥、指挥部办公室和专项工作组组成。</w:t>
      </w:r>
    </w:p>
    <w:p w14:paraId="01174A45">
      <w:pPr>
        <w:ind w:firstLine="480" w:firstLineChars="200"/>
      </w:pPr>
      <w:r>
        <w:t>应急组织指挥部，作为</w:t>
      </w:r>
      <w:r>
        <w:rPr>
          <w:rFonts w:hint="eastAsia"/>
        </w:rPr>
        <w:t>绥宁县关峡苗族乡兰溪水饮用水水源地保护区</w:t>
      </w:r>
      <w:r>
        <w:t>突发环境事件应急处置工作的指挥机构，统一指挥、协调</w:t>
      </w:r>
      <w:r>
        <w:rPr>
          <w:rFonts w:hint="eastAsia"/>
        </w:rPr>
        <w:t>绥宁县关峡苗族乡兰溪水饮用水水源地保护区</w:t>
      </w:r>
      <w:r>
        <w:t>突发环境事件应急处置工作。应急组织指挥部总指挥由分管副县长担任，副总指挥由绥宁县</w:t>
      </w:r>
      <w:r>
        <w:rPr>
          <w:rFonts w:hint="eastAsia"/>
        </w:rPr>
        <w:t>政府办副主任、绥宁县应急管理</w:t>
      </w:r>
      <w:bookmarkStart w:id="387" w:name="_GoBack"/>
      <w:bookmarkEnd w:id="387"/>
      <w:r>
        <w:rPr>
          <w:rFonts w:hint="eastAsia"/>
        </w:rPr>
        <w:t>局局长</w:t>
      </w:r>
      <w:r>
        <w:t>和</w:t>
      </w:r>
      <w:r>
        <w:rPr>
          <w:rFonts w:hint="eastAsia"/>
        </w:rPr>
        <w:t>邵阳市生态环境局绥宁分局</w:t>
      </w:r>
      <w:r>
        <w:t>局长担任。</w:t>
      </w:r>
    </w:p>
    <w:p w14:paraId="2CF675B6">
      <w:pPr>
        <w:ind w:firstLine="480" w:firstLineChars="200"/>
      </w:pPr>
      <w:r>
        <w:t>成员单位：</w:t>
      </w:r>
      <w:r>
        <w:rPr>
          <w:rFonts w:hint="eastAsia"/>
        </w:rPr>
        <w:t>县政府办、县应急管理局、</w:t>
      </w:r>
      <w:r>
        <w:t>县委宣传部、</w:t>
      </w:r>
      <w:r>
        <w:rPr>
          <w:rFonts w:hint="eastAsia"/>
        </w:rPr>
        <w:t>市生态环境局绥宁分局</w:t>
      </w:r>
      <w:r>
        <w:t>、县公安局、县财政局、县发展和改革局、县</w:t>
      </w:r>
      <w:r>
        <w:rPr>
          <w:rFonts w:hint="eastAsia"/>
        </w:rPr>
        <w:t>自然</w:t>
      </w:r>
      <w:r>
        <w:t>资源局、县住房和城乡建设局、县交通运输局、县农业</w:t>
      </w:r>
      <w:r>
        <w:rPr>
          <w:rFonts w:hint="eastAsia"/>
        </w:rPr>
        <w:t>农村</w:t>
      </w:r>
      <w:r>
        <w:t>水利局、</w:t>
      </w:r>
      <w:r>
        <w:rPr>
          <w:rFonts w:hint="eastAsia"/>
        </w:rPr>
        <w:t>县卫健局</w:t>
      </w:r>
      <w:r>
        <w:t>、县气象局、县商务局、县民政局、县自来水厂</w:t>
      </w:r>
      <w:r>
        <w:rPr>
          <w:rFonts w:hint="eastAsia"/>
        </w:rPr>
        <w:t>、关峡苗族乡政府</w:t>
      </w:r>
      <w:r>
        <w:t>及事件发生单位等有关单位组成，上述单位主要负责人担任绥宁县环境应急指挥部成员。</w:t>
      </w:r>
      <w:r>
        <w:rPr>
          <w:rFonts w:hint="eastAsia"/>
        </w:rPr>
        <w:t>绥宁县关峡苗族乡兰溪水饮用水水源地保护区</w:t>
      </w:r>
      <w:r>
        <w:t>突发环境事件应急指挥部可以根据工作需要增加有关部门和单位负责同志为成员。相关单位具体职责见第</w:t>
      </w:r>
      <w:r>
        <w:rPr>
          <w:rFonts w:hint="eastAsia"/>
        </w:rPr>
        <w:t>三</w:t>
      </w:r>
      <w:r>
        <w:t>部分章节2.1。</w:t>
      </w:r>
    </w:p>
    <w:p w14:paraId="5E44CEB8">
      <w:pPr>
        <w:pStyle w:val="3"/>
      </w:pPr>
      <w:bookmarkStart w:id="343" w:name="_Toc4360"/>
      <w:bookmarkStart w:id="344" w:name="_Toc485049407"/>
      <w:bookmarkStart w:id="345" w:name="_Toc492841670"/>
      <w:bookmarkStart w:id="346" w:name="_Toc485049331"/>
      <w:bookmarkStart w:id="347" w:name="_Toc21775"/>
      <w:bookmarkStart w:id="348" w:name="_Toc24597"/>
      <w:r>
        <w:rPr>
          <w:rFonts w:hint="eastAsia"/>
        </w:rPr>
        <w:t>4、</w:t>
      </w:r>
      <w:r>
        <w:t>环境应急</w:t>
      </w:r>
      <w:r>
        <w:rPr>
          <w:rFonts w:hint="eastAsia"/>
        </w:rPr>
        <w:t>物资、</w:t>
      </w:r>
      <w:r>
        <w:t>装备调查</w:t>
      </w:r>
      <w:bookmarkEnd w:id="343"/>
      <w:bookmarkEnd w:id="344"/>
      <w:bookmarkEnd w:id="345"/>
      <w:bookmarkEnd w:id="346"/>
      <w:bookmarkEnd w:id="347"/>
      <w:bookmarkEnd w:id="348"/>
    </w:p>
    <w:p w14:paraId="35056BBB">
      <w:pPr>
        <w:ind w:firstLine="480" w:firstLineChars="200"/>
      </w:pPr>
      <w:r>
        <w:t>应急物资、装备是突发环境事件应急救援的重要物质保障，也是保证应急队伍有效开展工作的基础。我国应急管理工作已从强调编制应急预案，逐步转变为注重做好应急资源配置、早期预警能力建设等方面。</w:t>
      </w:r>
    </w:p>
    <w:p w14:paraId="592B1271">
      <w:pPr>
        <w:ind w:firstLine="480" w:firstLineChars="200"/>
        <w:rPr>
          <w:rFonts w:hint="eastAsia"/>
        </w:rPr>
      </w:pPr>
      <w:bookmarkStart w:id="349" w:name="_Toc25064"/>
      <w:bookmarkStart w:id="350" w:name="_Toc485049332"/>
      <w:bookmarkStart w:id="351" w:name="_Toc485049408"/>
      <w:bookmarkStart w:id="352" w:name="_Toc492841671"/>
      <w:r>
        <w:t>水源地</w:t>
      </w:r>
      <w:r>
        <w:rPr>
          <w:rFonts w:hint="eastAsia"/>
        </w:rPr>
        <w:t>保护区</w:t>
      </w:r>
      <w:r>
        <w:t>环境事故应急物资、设备储备库依托</w:t>
      </w:r>
      <w:r>
        <w:rPr>
          <w:rFonts w:hint="eastAsia"/>
        </w:rPr>
        <w:t>县自来水厂、绥宁关峡水厂和园区管委会</w:t>
      </w:r>
      <w:r>
        <w:t>。现有应急物质储备情况如表4-1、4-2；根据风险评估可知，结合现有储备应急物资情况，水源地</w:t>
      </w:r>
      <w:r>
        <w:rPr>
          <w:rFonts w:hint="eastAsia"/>
        </w:rPr>
        <w:t>保护区</w:t>
      </w:r>
      <w:r>
        <w:t>在应对洪灾、危险化学品泄漏</w:t>
      </w:r>
      <w:r>
        <w:rPr>
          <w:rFonts w:hint="eastAsia"/>
        </w:rPr>
        <w:t>等</w:t>
      </w:r>
      <w:r>
        <w:t>突发环境事件时，应急物资有所欠缺，本预案要求相关单位补充的应急物资见表4-3</w:t>
      </w:r>
      <w:r>
        <w:rPr>
          <w:rFonts w:hint="eastAsia"/>
        </w:rPr>
        <w:t>。</w:t>
      </w:r>
    </w:p>
    <w:p w14:paraId="4BA024A3">
      <w:pPr>
        <w:pStyle w:val="10"/>
        <w:adjustRightInd w:val="0"/>
        <w:snapToGrid w:val="0"/>
        <w:spacing w:line="480" w:lineRule="exact"/>
        <w:jc w:val="center"/>
        <w:rPr>
          <w:b/>
          <w:bCs/>
        </w:rPr>
      </w:pPr>
      <w:r>
        <w:rPr>
          <w:rFonts w:hint="eastAsia"/>
          <w:b/>
          <w:bCs/>
          <w:sz w:val="21"/>
          <w:szCs w:val="21"/>
        </w:rPr>
        <w:t>表4-1  应急物资储备情况</w:t>
      </w:r>
    </w:p>
    <w:tbl>
      <w:tblPr>
        <w:tblStyle w:val="20"/>
        <w:tblW w:w="906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00"/>
        <w:gridCol w:w="782"/>
        <w:gridCol w:w="3660"/>
        <w:gridCol w:w="810"/>
        <w:gridCol w:w="1301"/>
        <w:gridCol w:w="1410"/>
      </w:tblGrid>
      <w:tr w14:paraId="2D3F7F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39" w:hRule="atLeast"/>
          <w:jc w:val="center"/>
        </w:trPr>
        <w:tc>
          <w:tcPr>
            <w:tcW w:w="1100" w:type="dxa"/>
            <w:tcBorders>
              <w:tl2br w:val="nil"/>
              <w:tr2bl w:val="nil"/>
            </w:tcBorders>
            <w:vAlign w:val="center"/>
          </w:tcPr>
          <w:p w14:paraId="77502BC6">
            <w:pPr>
              <w:spacing w:line="240" w:lineRule="auto"/>
              <w:jc w:val="center"/>
              <w:rPr>
                <w:b/>
                <w:bCs/>
                <w:sz w:val="21"/>
                <w:szCs w:val="21"/>
              </w:rPr>
            </w:pPr>
            <w:r>
              <w:rPr>
                <w:b/>
                <w:bCs/>
                <w:sz w:val="21"/>
                <w:szCs w:val="21"/>
              </w:rPr>
              <w:t>企业名称</w:t>
            </w:r>
          </w:p>
        </w:tc>
        <w:tc>
          <w:tcPr>
            <w:tcW w:w="4442" w:type="dxa"/>
            <w:gridSpan w:val="2"/>
            <w:tcBorders>
              <w:tl2br w:val="nil"/>
              <w:tr2bl w:val="nil"/>
            </w:tcBorders>
            <w:vAlign w:val="center"/>
          </w:tcPr>
          <w:p w14:paraId="1F04AAE6">
            <w:pPr>
              <w:spacing w:line="240" w:lineRule="auto"/>
              <w:jc w:val="center"/>
              <w:rPr>
                <w:b/>
                <w:bCs/>
                <w:sz w:val="21"/>
                <w:szCs w:val="21"/>
              </w:rPr>
            </w:pPr>
            <w:r>
              <w:rPr>
                <w:b/>
                <w:bCs/>
                <w:sz w:val="21"/>
                <w:szCs w:val="21"/>
              </w:rPr>
              <w:t>应急物资名称</w:t>
            </w:r>
          </w:p>
        </w:tc>
        <w:tc>
          <w:tcPr>
            <w:tcW w:w="810" w:type="dxa"/>
            <w:tcBorders>
              <w:tl2br w:val="nil"/>
              <w:tr2bl w:val="nil"/>
            </w:tcBorders>
            <w:vAlign w:val="center"/>
          </w:tcPr>
          <w:p w14:paraId="7E2706E2">
            <w:pPr>
              <w:spacing w:line="240" w:lineRule="auto"/>
              <w:jc w:val="center"/>
              <w:rPr>
                <w:b/>
                <w:bCs/>
                <w:sz w:val="21"/>
                <w:szCs w:val="21"/>
              </w:rPr>
            </w:pPr>
            <w:r>
              <w:rPr>
                <w:b/>
                <w:bCs/>
                <w:sz w:val="21"/>
                <w:szCs w:val="21"/>
              </w:rPr>
              <w:t>数量</w:t>
            </w:r>
          </w:p>
        </w:tc>
        <w:tc>
          <w:tcPr>
            <w:tcW w:w="1301" w:type="dxa"/>
            <w:tcBorders>
              <w:tl2br w:val="nil"/>
              <w:tr2bl w:val="nil"/>
            </w:tcBorders>
            <w:vAlign w:val="center"/>
          </w:tcPr>
          <w:p w14:paraId="7D3340CC">
            <w:pPr>
              <w:spacing w:line="240" w:lineRule="auto"/>
              <w:jc w:val="center"/>
              <w:rPr>
                <w:b/>
                <w:bCs/>
                <w:sz w:val="21"/>
                <w:szCs w:val="21"/>
              </w:rPr>
            </w:pPr>
            <w:r>
              <w:rPr>
                <w:b/>
                <w:bCs/>
                <w:sz w:val="21"/>
                <w:szCs w:val="21"/>
              </w:rPr>
              <w:t>储存地点</w:t>
            </w:r>
          </w:p>
        </w:tc>
        <w:tc>
          <w:tcPr>
            <w:tcW w:w="1410" w:type="dxa"/>
            <w:tcBorders>
              <w:tl2br w:val="nil"/>
              <w:tr2bl w:val="nil"/>
            </w:tcBorders>
            <w:vAlign w:val="center"/>
          </w:tcPr>
          <w:p w14:paraId="3D85B83B">
            <w:pPr>
              <w:spacing w:line="240" w:lineRule="auto"/>
              <w:jc w:val="center"/>
              <w:rPr>
                <w:b/>
                <w:bCs/>
                <w:sz w:val="21"/>
                <w:szCs w:val="21"/>
              </w:rPr>
            </w:pPr>
            <w:r>
              <w:rPr>
                <w:b/>
                <w:bCs/>
                <w:sz w:val="21"/>
                <w:szCs w:val="21"/>
              </w:rPr>
              <w:t>联系人及联系方式</w:t>
            </w:r>
          </w:p>
        </w:tc>
      </w:tr>
      <w:tr w14:paraId="7D10D3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2" w:hRule="atLeast"/>
          <w:jc w:val="center"/>
        </w:trPr>
        <w:tc>
          <w:tcPr>
            <w:tcW w:w="1100" w:type="dxa"/>
            <w:vMerge w:val="restart"/>
            <w:tcBorders>
              <w:tl2br w:val="nil"/>
              <w:tr2bl w:val="nil"/>
            </w:tcBorders>
            <w:vAlign w:val="center"/>
          </w:tcPr>
          <w:p w14:paraId="19E00C6E">
            <w:pPr>
              <w:spacing w:line="240" w:lineRule="auto"/>
              <w:jc w:val="center"/>
              <w:rPr>
                <w:sz w:val="21"/>
                <w:szCs w:val="21"/>
              </w:rPr>
            </w:pPr>
            <w:r>
              <w:rPr>
                <w:rFonts w:hint="eastAsia"/>
                <w:sz w:val="21"/>
                <w:szCs w:val="21"/>
              </w:rPr>
              <w:t>关峡水厂</w:t>
            </w:r>
          </w:p>
        </w:tc>
        <w:tc>
          <w:tcPr>
            <w:tcW w:w="782" w:type="dxa"/>
            <w:vMerge w:val="restart"/>
            <w:tcBorders>
              <w:tl2br w:val="nil"/>
              <w:tr2bl w:val="nil"/>
            </w:tcBorders>
            <w:vAlign w:val="center"/>
          </w:tcPr>
          <w:p w14:paraId="6223638D">
            <w:pPr>
              <w:spacing w:line="240" w:lineRule="auto"/>
              <w:jc w:val="center"/>
              <w:rPr>
                <w:sz w:val="21"/>
                <w:szCs w:val="21"/>
              </w:rPr>
            </w:pPr>
            <w:r>
              <w:rPr>
                <w:sz w:val="21"/>
                <w:szCs w:val="21"/>
              </w:rPr>
              <w:t>水质净化药剂</w:t>
            </w:r>
          </w:p>
        </w:tc>
        <w:tc>
          <w:tcPr>
            <w:tcW w:w="3660" w:type="dxa"/>
            <w:tcBorders>
              <w:tl2br w:val="nil"/>
              <w:tr2bl w:val="nil"/>
            </w:tcBorders>
            <w:vAlign w:val="center"/>
          </w:tcPr>
          <w:p w14:paraId="3378AF16">
            <w:pPr>
              <w:spacing w:line="240" w:lineRule="auto"/>
              <w:jc w:val="center"/>
              <w:rPr>
                <w:sz w:val="21"/>
                <w:szCs w:val="21"/>
              </w:rPr>
            </w:pPr>
            <w:r>
              <w:rPr>
                <w:rFonts w:hint="eastAsia"/>
                <w:sz w:val="21"/>
                <w:szCs w:val="21"/>
              </w:rPr>
              <w:t>聚合硫酸铁</w:t>
            </w:r>
          </w:p>
        </w:tc>
        <w:tc>
          <w:tcPr>
            <w:tcW w:w="810" w:type="dxa"/>
            <w:tcBorders>
              <w:tl2br w:val="nil"/>
              <w:tr2bl w:val="nil"/>
            </w:tcBorders>
            <w:vAlign w:val="center"/>
          </w:tcPr>
          <w:p w14:paraId="3434F5D4">
            <w:pPr>
              <w:spacing w:line="240" w:lineRule="auto"/>
              <w:jc w:val="center"/>
              <w:rPr>
                <w:rFonts w:hint="eastAsia"/>
                <w:sz w:val="21"/>
                <w:szCs w:val="21"/>
              </w:rPr>
            </w:pPr>
            <w:r>
              <w:rPr>
                <w:rFonts w:hint="eastAsia"/>
                <w:sz w:val="21"/>
                <w:szCs w:val="21"/>
              </w:rPr>
              <w:t>0.2t</w:t>
            </w:r>
          </w:p>
        </w:tc>
        <w:tc>
          <w:tcPr>
            <w:tcW w:w="1301" w:type="dxa"/>
            <w:vMerge w:val="restart"/>
            <w:tcBorders>
              <w:tl2br w:val="nil"/>
              <w:tr2bl w:val="nil"/>
            </w:tcBorders>
            <w:vAlign w:val="center"/>
          </w:tcPr>
          <w:p w14:paraId="620871B9">
            <w:pPr>
              <w:spacing w:line="240" w:lineRule="auto"/>
              <w:jc w:val="center"/>
              <w:rPr>
                <w:sz w:val="21"/>
                <w:szCs w:val="21"/>
              </w:rPr>
            </w:pPr>
            <w:r>
              <w:rPr>
                <w:rFonts w:hint="eastAsia"/>
                <w:sz w:val="21"/>
                <w:szCs w:val="21"/>
              </w:rPr>
              <w:t>药品储存间</w:t>
            </w:r>
          </w:p>
        </w:tc>
        <w:tc>
          <w:tcPr>
            <w:tcW w:w="1410" w:type="dxa"/>
            <w:vMerge w:val="restart"/>
            <w:tcBorders>
              <w:tl2br w:val="nil"/>
              <w:tr2bl w:val="nil"/>
            </w:tcBorders>
            <w:vAlign w:val="center"/>
          </w:tcPr>
          <w:p w14:paraId="3366D613">
            <w:pPr>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刘先善</w:t>
            </w:r>
          </w:p>
          <w:p w14:paraId="3F78B057">
            <w:pPr>
              <w:pStyle w:val="16"/>
              <w:ind w:left="0" w:leftChars="0"/>
              <w:jc w:val="center"/>
              <w:rPr>
                <w:rFonts w:hint="eastAsia"/>
              </w:rPr>
            </w:pPr>
            <w:r>
              <w:rPr>
                <w:rFonts w:hint="eastAsia" w:asciiTheme="minorEastAsia" w:hAnsiTheme="minorEastAsia" w:eastAsiaTheme="minorEastAsia"/>
                <w:sz w:val="21"/>
                <w:szCs w:val="21"/>
              </w:rPr>
              <w:t>13776786282</w:t>
            </w:r>
          </w:p>
        </w:tc>
      </w:tr>
      <w:tr w14:paraId="3F6546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7" w:hRule="atLeast"/>
          <w:jc w:val="center"/>
        </w:trPr>
        <w:tc>
          <w:tcPr>
            <w:tcW w:w="1100" w:type="dxa"/>
            <w:vMerge w:val="continue"/>
            <w:tcBorders>
              <w:tl2br w:val="nil"/>
              <w:tr2bl w:val="nil"/>
            </w:tcBorders>
            <w:vAlign w:val="center"/>
          </w:tcPr>
          <w:p w14:paraId="6D8630E5">
            <w:pPr>
              <w:spacing w:line="240" w:lineRule="auto"/>
              <w:jc w:val="center"/>
              <w:rPr>
                <w:sz w:val="21"/>
                <w:szCs w:val="21"/>
              </w:rPr>
            </w:pPr>
          </w:p>
        </w:tc>
        <w:tc>
          <w:tcPr>
            <w:tcW w:w="782" w:type="dxa"/>
            <w:vMerge w:val="continue"/>
            <w:tcBorders>
              <w:tl2br w:val="nil"/>
              <w:tr2bl w:val="nil"/>
            </w:tcBorders>
            <w:vAlign w:val="center"/>
          </w:tcPr>
          <w:p w14:paraId="5AEE12CE">
            <w:pPr>
              <w:spacing w:line="240" w:lineRule="auto"/>
              <w:jc w:val="center"/>
              <w:rPr>
                <w:sz w:val="21"/>
                <w:szCs w:val="21"/>
              </w:rPr>
            </w:pPr>
          </w:p>
        </w:tc>
        <w:tc>
          <w:tcPr>
            <w:tcW w:w="3660" w:type="dxa"/>
            <w:tcBorders>
              <w:tl2br w:val="nil"/>
              <w:tr2bl w:val="nil"/>
            </w:tcBorders>
            <w:vAlign w:val="center"/>
          </w:tcPr>
          <w:p w14:paraId="0B27E728">
            <w:pPr>
              <w:spacing w:line="240" w:lineRule="auto"/>
              <w:jc w:val="center"/>
              <w:rPr>
                <w:sz w:val="21"/>
                <w:szCs w:val="21"/>
              </w:rPr>
            </w:pPr>
            <w:r>
              <w:rPr>
                <w:rFonts w:hint="eastAsia"/>
                <w:sz w:val="21"/>
                <w:szCs w:val="21"/>
              </w:rPr>
              <w:t>生石灰</w:t>
            </w:r>
          </w:p>
        </w:tc>
        <w:tc>
          <w:tcPr>
            <w:tcW w:w="810" w:type="dxa"/>
            <w:tcBorders>
              <w:tl2br w:val="nil"/>
              <w:tr2bl w:val="nil"/>
            </w:tcBorders>
            <w:vAlign w:val="center"/>
          </w:tcPr>
          <w:p w14:paraId="3213BFDE">
            <w:pPr>
              <w:spacing w:line="240" w:lineRule="auto"/>
              <w:jc w:val="center"/>
              <w:rPr>
                <w:rFonts w:hint="eastAsia"/>
                <w:sz w:val="21"/>
                <w:szCs w:val="21"/>
              </w:rPr>
            </w:pPr>
            <w:r>
              <w:rPr>
                <w:rFonts w:hint="eastAsia"/>
                <w:sz w:val="21"/>
                <w:szCs w:val="21"/>
              </w:rPr>
              <w:t>0.3t</w:t>
            </w:r>
          </w:p>
        </w:tc>
        <w:tc>
          <w:tcPr>
            <w:tcW w:w="1301" w:type="dxa"/>
            <w:vMerge w:val="continue"/>
            <w:tcBorders>
              <w:tl2br w:val="nil"/>
              <w:tr2bl w:val="nil"/>
            </w:tcBorders>
            <w:vAlign w:val="center"/>
          </w:tcPr>
          <w:p w14:paraId="600ABA3F">
            <w:pPr>
              <w:spacing w:line="240" w:lineRule="auto"/>
              <w:jc w:val="center"/>
              <w:rPr>
                <w:sz w:val="21"/>
                <w:szCs w:val="21"/>
              </w:rPr>
            </w:pPr>
          </w:p>
        </w:tc>
        <w:tc>
          <w:tcPr>
            <w:tcW w:w="1410" w:type="dxa"/>
            <w:vMerge w:val="continue"/>
            <w:tcBorders>
              <w:tl2br w:val="nil"/>
              <w:tr2bl w:val="nil"/>
            </w:tcBorders>
            <w:vAlign w:val="center"/>
          </w:tcPr>
          <w:p w14:paraId="6F73A0AC">
            <w:pPr>
              <w:spacing w:line="240" w:lineRule="auto"/>
              <w:jc w:val="center"/>
              <w:rPr>
                <w:sz w:val="21"/>
                <w:szCs w:val="21"/>
              </w:rPr>
            </w:pPr>
          </w:p>
        </w:tc>
      </w:tr>
      <w:tr w14:paraId="0E1B5A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1100" w:type="dxa"/>
            <w:vMerge w:val="restart"/>
            <w:tcBorders>
              <w:tl2br w:val="nil"/>
              <w:tr2bl w:val="nil"/>
            </w:tcBorders>
            <w:vAlign w:val="center"/>
          </w:tcPr>
          <w:p w14:paraId="65B487DC">
            <w:pPr>
              <w:spacing w:line="240" w:lineRule="auto"/>
              <w:jc w:val="center"/>
              <w:rPr>
                <w:sz w:val="21"/>
                <w:szCs w:val="21"/>
              </w:rPr>
            </w:pPr>
            <w:r>
              <w:rPr>
                <w:rFonts w:hint="eastAsia"/>
                <w:sz w:val="21"/>
                <w:szCs w:val="21"/>
              </w:rPr>
              <w:t>绥宁县自来水公司</w:t>
            </w:r>
          </w:p>
        </w:tc>
        <w:tc>
          <w:tcPr>
            <w:tcW w:w="782" w:type="dxa"/>
            <w:vMerge w:val="restart"/>
            <w:tcBorders>
              <w:tl2br w:val="nil"/>
              <w:tr2bl w:val="nil"/>
            </w:tcBorders>
            <w:vAlign w:val="center"/>
          </w:tcPr>
          <w:p w14:paraId="154D54E9">
            <w:pPr>
              <w:spacing w:line="240" w:lineRule="auto"/>
              <w:jc w:val="center"/>
              <w:rPr>
                <w:sz w:val="21"/>
                <w:szCs w:val="21"/>
              </w:rPr>
            </w:pPr>
            <w:r>
              <w:rPr>
                <w:sz w:val="21"/>
                <w:szCs w:val="21"/>
              </w:rPr>
              <w:t>水质监测仪器</w:t>
            </w:r>
          </w:p>
        </w:tc>
        <w:tc>
          <w:tcPr>
            <w:tcW w:w="3660" w:type="dxa"/>
            <w:tcBorders>
              <w:tl2br w:val="nil"/>
              <w:tr2bl w:val="nil"/>
            </w:tcBorders>
            <w:vAlign w:val="center"/>
          </w:tcPr>
          <w:p w14:paraId="7E1B7D39">
            <w:pPr>
              <w:spacing w:line="240" w:lineRule="auto"/>
              <w:jc w:val="center"/>
              <w:rPr>
                <w:sz w:val="21"/>
                <w:szCs w:val="21"/>
              </w:rPr>
            </w:pPr>
            <w:r>
              <w:rPr>
                <w:rFonts w:hint="eastAsia"/>
                <w:sz w:val="21"/>
                <w:szCs w:val="21"/>
              </w:rPr>
              <w:t>浊度仪</w:t>
            </w:r>
          </w:p>
        </w:tc>
        <w:tc>
          <w:tcPr>
            <w:tcW w:w="810" w:type="dxa"/>
            <w:tcBorders>
              <w:tl2br w:val="nil"/>
              <w:tr2bl w:val="nil"/>
            </w:tcBorders>
            <w:vAlign w:val="center"/>
          </w:tcPr>
          <w:p w14:paraId="57881D29">
            <w:pPr>
              <w:spacing w:line="240" w:lineRule="auto"/>
              <w:jc w:val="center"/>
              <w:rPr>
                <w:rFonts w:hint="eastAsia"/>
                <w:sz w:val="21"/>
                <w:szCs w:val="21"/>
              </w:rPr>
            </w:pPr>
            <w:r>
              <w:rPr>
                <w:rFonts w:hint="eastAsia"/>
                <w:sz w:val="21"/>
                <w:szCs w:val="21"/>
              </w:rPr>
              <w:t>1台</w:t>
            </w:r>
          </w:p>
        </w:tc>
        <w:tc>
          <w:tcPr>
            <w:tcW w:w="1301" w:type="dxa"/>
            <w:vMerge w:val="restart"/>
            <w:tcBorders>
              <w:tl2br w:val="nil"/>
              <w:tr2bl w:val="nil"/>
            </w:tcBorders>
            <w:vAlign w:val="center"/>
          </w:tcPr>
          <w:p w14:paraId="7025DAF1">
            <w:pPr>
              <w:spacing w:line="240" w:lineRule="auto"/>
              <w:jc w:val="center"/>
              <w:rPr>
                <w:sz w:val="21"/>
                <w:szCs w:val="21"/>
              </w:rPr>
            </w:pPr>
            <w:r>
              <w:rPr>
                <w:rFonts w:hint="eastAsia"/>
                <w:sz w:val="21"/>
                <w:szCs w:val="21"/>
              </w:rPr>
              <w:t>化验室</w:t>
            </w:r>
          </w:p>
        </w:tc>
        <w:tc>
          <w:tcPr>
            <w:tcW w:w="1410" w:type="dxa"/>
            <w:vMerge w:val="continue"/>
            <w:tcBorders>
              <w:tl2br w:val="nil"/>
              <w:tr2bl w:val="nil"/>
            </w:tcBorders>
            <w:vAlign w:val="center"/>
          </w:tcPr>
          <w:p w14:paraId="112EB8AB">
            <w:pPr>
              <w:spacing w:line="240" w:lineRule="auto"/>
              <w:jc w:val="center"/>
              <w:rPr>
                <w:sz w:val="21"/>
                <w:szCs w:val="21"/>
              </w:rPr>
            </w:pPr>
          </w:p>
        </w:tc>
      </w:tr>
      <w:tr w14:paraId="10C01E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1100" w:type="dxa"/>
            <w:vMerge w:val="continue"/>
            <w:tcBorders>
              <w:tl2br w:val="nil"/>
              <w:tr2bl w:val="nil"/>
            </w:tcBorders>
            <w:vAlign w:val="center"/>
          </w:tcPr>
          <w:p w14:paraId="4FA07D1A">
            <w:pPr>
              <w:spacing w:line="240" w:lineRule="auto"/>
              <w:jc w:val="center"/>
              <w:rPr>
                <w:sz w:val="21"/>
                <w:szCs w:val="21"/>
              </w:rPr>
            </w:pPr>
          </w:p>
        </w:tc>
        <w:tc>
          <w:tcPr>
            <w:tcW w:w="782" w:type="dxa"/>
            <w:vMerge w:val="continue"/>
            <w:tcBorders>
              <w:tl2br w:val="nil"/>
              <w:tr2bl w:val="nil"/>
            </w:tcBorders>
            <w:vAlign w:val="center"/>
          </w:tcPr>
          <w:p w14:paraId="2E26CD7A">
            <w:pPr>
              <w:spacing w:line="240" w:lineRule="auto"/>
              <w:jc w:val="center"/>
              <w:rPr>
                <w:sz w:val="21"/>
                <w:szCs w:val="21"/>
              </w:rPr>
            </w:pPr>
          </w:p>
        </w:tc>
        <w:tc>
          <w:tcPr>
            <w:tcW w:w="3660" w:type="dxa"/>
            <w:tcBorders>
              <w:tl2br w:val="nil"/>
              <w:tr2bl w:val="nil"/>
            </w:tcBorders>
            <w:vAlign w:val="center"/>
          </w:tcPr>
          <w:p w14:paraId="667DDB89">
            <w:pPr>
              <w:spacing w:line="240" w:lineRule="auto"/>
              <w:jc w:val="center"/>
              <w:rPr>
                <w:sz w:val="21"/>
                <w:szCs w:val="21"/>
              </w:rPr>
            </w:pPr>
            <w:r>
              <w:rPr>
                <w:rFonts w:hint="eastAsia"/>
                <w:sz w:val="21"/>
                <w:szCs w:val="21"/>
              </w:rPr>
              <w:t>SDG011B水质色度仪</w:t>
            </w:r>
          </w:p>
        </w:tc>
        <w:tc>
          <w:tcPr>
            <w:tcW w:w="810" w:type="dxa"/>
            <w:tcBorders>
              <w:tl2br w:val="nil"/>
              <w:tr2bl w:val="nil"/>
            </w:tcBorders>
            <w:vAlign w:val="center"/>
          </w:tcPr>
          <w:p w14:paraId="67607FF1">
            <w:pPr>
              <w:spacing w:line="240" w:lineRule="auto"/>
              <w:jc w:val="center"/>
              <w:rPr>
                <w:sz w:val="21"/>
                <w:szCs w:val="21"/>
              </w:rPr>
            </w:pPr>
            <w:r>
              <w:rPr>
                <w:rFonts w:hint="eastAsia"/>
                <w:sz w:val="21"/>
                <w:szCs w:val="21"/>
              </w:rPr>
              <w:t>1台</w:t>
            </w:r>
          </w:p>
        </w:tc>
        <w:tc>
          <w:tcPr>
            <w:tcW w:w="1301" w:type="dxa"/>
            <w:vMerge w:val="continue"/>
            <w:tcBorders>
              <w:tl2br w:val="nil"/>
              <w:tr2bl w:val="nil"/>
            </w:tcBorders>
            <w:vAlign w:val="center"/>
          </w:tcPr>
          <w:p w14:paraId="3C0B8A64">
            <w:pPr>
              <w:spacing w:line="240" w:lineRule="auto"/>
              <w:jc w:val="center"/>
              <w:rPr>
                <w:sz w:val="21"/>
                <w:szCs w:val="21"/>
              </w:rPr>
            </w:pPr>
          </w:p>
        </w:tc>
        <w:tc>
          <w:tcPr>
            <w:tcW w:w="1410" w:type="dxa"/>
            <w:vMerge w:val="continue"/>
            <w:tcBorders>
              <w:tl2br w:val="nil"/>
              <w:tr2bl w:val="nil"/>
            </w:tcBorders>
            <w:vAlign w:val="center"/>
          </w:tcPr>
          <w:p w14:paraId="7609229F">
            <w:pPr>
              <w:spacing w:line="240" w:lineRule="auto"/>
              <w:jc w:val="center"/>
              <w:rPr>
                <w:sz w:val="21"/>
                <w:szCs w:val="21"/>
              </w:rPr>
            </w:pPr>
          </w:p>
        </w:tc>
      </w:tr>
      <w:tr w14:paraId="4E86AB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1100" w:type="dxa"/>
            <w:vMerge w:val="continue"/>
            <w:tcBorders>
              <w:tl2br w:val="nil"/>
              <w:tr2bl w:val="nil"/>
            </w:tcBorders>
            <w:vAlign w:val="center"/>
          </w:tcPr>
          <w:p w14:paraId="324D3797">
            <w:pPr>
              <w:spacing w:line="240" w:lineRule="auto"/>
              <w:jc w:val="center"/>
              <w:rPr>
                <w:sz w:val="21"/>
                <w:szCs w:val="21"/>
              </w:rPr>
            </w:pPr>
          </w:p>
        </w:tc>
        <w:tc>
          <w:tcPr>
            <w:tcW w:w="782" w:type="dxa"/>
            <w:vMerge w:val="continue"/>
            <w:tcBorders>
              <w:tl2br w:val="nil"/>
              <w:tr2bl w:val="nil"/>
            </w:tcBorders>
            <w:vAlign w:val="center"/>
          </w:tcPr>
          <w:p w14:paraId="03D50712">
            <w:pPr>
              <w:spacing w:line="240" w:lineRule="auto"/>
              <w:jc w:val="center"/>
              <w:rPr>
                <w:sz w:val="21"/>
                <w:szCs w:val="21"/>
              </w:rPr>
            </w:pPr>
          </w:p>
        </w:tc>
        <w:tc>
          <w:tcPr>
            <w:tcW w:w="3660" w:type="dxa"/>
            <w:tcBorders>
              <w:tl2br w:val="nil"/>
              <w:tr2bl w:val="nil"/>
            </w:tcBorders>
            <w:vAlign w:val="center"/>
          </w:tcPr>
          <w:p w14:paraId="6FEBD7C8">
            <w:pPr>
              <w:spacing w:line="240" w:lineRule="auto"/>
              <w:jc w:val="center"/>
              <w:rPr>
                <w:sz w:val="21"/>
                <w:szCs w:val="21"/>
              </w:rPr>
            </w:pPr>
            <w:r>
              <w:rPr>
                <w:rFonts w:hint="eastAsia"/>
                <w:sz w:val="21"/>
                <w:szCs w:val="21"/>
              </w:rPr>
              <w:t>PHS-3C数显型酸度计</w:t>
            </w:r>
          </w:p>
        </w:tc>
        <w:tc>
          <w:tcPr>
            <w:tcW w:w="810" w:type="dxa"/>
            <w:tcBorders>
              <w:tl2br w:val="nil"/>
              <w:tr2bl w:val="nil"/>
            </w:tcBorders>
            <w:vAlign w:val="center"/>
          </w:tcPr>
          <w:p w14:paraId="09A438DB">
            <w:pPr>
              <w:spacing w:line="240" w:lineRule="auto"/>
              <w:jc w:val="center"/>
              <w:rPr>
                <w:sz w:val="21"/>
                <w:szCs w:val="21"/>
              </w:rPr>
            </w:pPr>
            <w:r>
              <w:rPr>
                <w:rFonts w:hint="eastAsia"/>
                <w:sz w:val="21"/>
                <w:szCs w:val="21"/>
              </w:rPr>
              <w:t>1台</w:t>
            </w:r>
          </w:p>
        </w:tc>
        <w:tc>
          <w:tcPr>
            <w:tcW w:w="1301" w:type="dxa"/>
            <w:vMerge w:val="continue"/>
            <w:tcBorders>
              <w:tl2br w:val="nil"/>
              <w:tr2bl w:val="nil"/>
            </w:tcBorders>
            <w:vAlign w:val="center"/>
          </w:tcPr>
          <w:p w14:paraId="2581C738">
            <w:pPr>
              <w:spacing w:line="240" w:lineRule="auto"/>
              <w:jc w:val="center"/>
              <w:rPr>
                <w:sz w:val="21"/>
                <w:szCs w:val="21"/>
              </w:rPr>
            </w:pPr>
          </w:p>
        </w:tc>
        <w:tc>
          <w:tcPr>
            <w:tcW w:w="1410" w:type="dxa"/>
            <w:vMerge w:val="continue"/>
            <w:tcBorders>
              <w:tl2br w:val="nil"/>
              <w:tr2bl w:val="nil"/>
            </w:tcBorders>
            <w:vAlign w:val="center"/>
          </w:tcPr>
          <w:p w14:paraId="322A0F72">
            <w:pPr>
              <w:spacing w:line="240" w:lineRule="auto"/>
              <w:jc w:val="center"/>
              <w:rPr>
                <w:sz w:val="21"/>
                <w:szCs w:val="21"/>
              </w:rPr>
            </w:pPr>
          </w:p>
        </w:tc>
      </w:tr>
      <w:tr w14:paraId="1AE26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100" w:type="dxa"/>
            <w:vMerge w:val="continue"/>
            <w:tcBorders>
              <w:tl2br w:val="nil"/>
              <w:tr2bl w:val="nil"/>
            </w:tcBorders>
            <w:vAlign w:val="center"/>
          </w:tcPr>
          <w:p w14:paraId="20303DA5">
            <w:pPr>
              <w:spacing w:line="240" w:lineRule="auto"/>
              <w:jc w:val="center"/>
              <w:rPr>
                <w:sz w:val="21"/>
                <w:szCs w:val="21"/>
              </w:rPr>
            </w:pPr>
          </w:p>
        </w:tc>
        <w:tc>
          <w:tcPr>
            <w:tcW w:w="782" w:type="dxa"/>
            <w:vMerge w:val="continue"/>
            <w:tcBorders>
              <w:tl2br w:val="nil"/>
              <w:tr2bl w:val="nil"/>
            </w:tcBorders>
            <w:vAlign w:val="center"/>
          </w:tcPr>
          <w:p w14:paraId="4A72E98E">
            <w:pPr>
              <w:spacing w:line="240" w:lineRule="auto"/>
              <w:jc w:val="center"/>
              <w:rPr>
                <w:sz w:val="21"/>
                <w:szCs w:val="21"/>
              </w:rPr>
            </w:pPr>
          </w:p>
        </w:tc>
        <w:tc>
          <w:tcPr>
            <w:tcW w:w="3660" w:type="dxa"/>
            <w:tcBorders>
              <w:tl2br w:val="nil"/>
              <w:tr2bl w:val="nil"/>
            </w:tcBorders>
            <w:vAlign w:val="center"/>
          </w:tcPr>
          <w:p w14:paraId="682763B7">
            <w:pPr>
              <w:spacing w:line="240" w:lineRule="auto"/>
              <w:jc w:val="center"/>
              <w:rPr>
                <w:sz w:val="21"/>
                <w:szCs w:val="21"/>
              </w:rPr>
            </w:pPr>
            <w:r>
              <w:rPr>
                <w:rFonts w:hint="eastAsia"/>
                <w:sz w:val="21"/>
                <w:szCs w:val="21"/>
              </w:rPr>
              <w:t>DHG-G053A型电热恒温鼓风干燥机</w:t>
            </w:r>
          </w:p>
        </w:tc>
        <w:tc>
          <w:tcPr>
            <w:tcW w:w="810" w:type="dxa"/>
            <w:tcBorders>
              <w:tl2br w:val="nil"/>
              <w:tr2bl w:val="nil"/>
            </w:tcBorders>
            <w:vAlign w:val="center"/>
          </w:tcPr>
          <w:p w14:paraId="5E1D654C">
            <w:pPr>
              <w:spacing w:line="240" w:lineRule="auto"/>
              <w:jc w:val="center"/>
              <w:rPr>
                <w:sz w:val="21"/>
                <w:szCs w:val="21"/>
              </w:rPr>
            </w:pPr>
            <w:r>
              <w:rPr>
                <w:rFonts w:hint="eastAsia"/>
                <w:sz w:val="21"/>
                <w:szCs w:val="21"/>
              </w:rPr>
              <w:t>1台</w:t>
            </w:r>
          </w:p>
        </w:tc>
        <w:tc>
          <w:tcPr>
            <w:tcW w:w="1301" w:type="dxa"/>
            <w:vMerge w:val="continue"/>
            <w:tcBorders>
              <w:tl2br w:val="nil"/>
              <w:tr2bl w:val="nil"/>
            </w:tcBorders>
            <w:vAlign w:val="center"/>
          </w:tcPr>
          <w:p w14:paraId="1763E1E4">
            <w:pPr>
              <w:spacing w:line="240" w:lineRule="auto"/>
              <w:jc w:val="center"/>
              <w:rPr>
                <w:sz w:val="21"/>
                <w:szCs w:val="21"/>
              </w:rPr>
            </w:pPr>
          </w:p>
        </w:tc>
        <w:tc>
          <w:tcPr>
            <w:tcW w:w="1410" w:type="dxa"/>
            <w:vMerge w:val="continue"/>
            <w:tcBorders>
              <w:tl2br w:val="nil"/>
              <w:tr2bl w:val="nil"/>
            </w:tcBorders>
            <w:vAlign w:val="center"/>
          </w:tcPr>
          <w:p w14:paraId="2AC9A9C3">
            <w:pPr>
              <w:spacing w:line="240" w:lineRule="auto"/>
              <w:jc w:val="center"/>
              <w:rPr>
                <w:sz w:val="21"/>
                <w:szCs w:val="21"/>
              </w:rPr>
            </w:pPr>
          </w:p>
        </w:tc>
      </w:tr>
      <w:tr w14:paraId="74CDB1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1100" w:type="dxa"/>
            <w:vMerge w:val="continue"/>
            <w:tcBorders>
              <w:tl2br w:val="nil"/>
              <w:tr2bl w:val="nil"/>
            </w:tcBorders>
            <w:vAlign w:val="center"/>
          </w:tcPr>
          <w:p w14:paraId="1505560C">
            <w:pPr>
              <w:spacing w:line="240" w:lineRule="auto"/>
              <w:jc w:val="center"/>
              <w:rPr>
                <w:sz w:val="21"/>
                <w:szCs w:val="21"/>
              </w:rPr>
            </w:pPr>
          </w:p>
        </w:tc>
        <w:tc>
          <w:tcPr>
            <w:tcW w:w="782" w:type="dxa"/>
            <w:vMerge w:val="continue"/>
            <w:tcBorders>
              <w:tl2br w:val="nil"/>
              <w:tr2bl w:val="nil"/>
            </w:tcBorders>
            <w:vAlign w:val="center"/>
          </w:tcPr>
          <w:p w14:paraId="14B34BB6">
            <w:pPr>
              <w:spacing w:line="240" w:lineRule="auto"/>
              <w:jc w:val="center"/>
              <w:rPr>
                <w:sz w:val="21"/>
                <w:szCs w:val="21"/>
              </w:rPr>
            </w:pPr>
          </w:p>
        </w:tc>
        <w:tc>
          <w:tcPr>
            <w:tcW w:w="3660" w:type="dxa"/>
            <w:tcBorders>
              <w:tl2br w:val="nil"/>
              <w:tr2bl w:val="nil"/>
            </w:tcBorders>
            <w:vAlign w:val="center"/>
          </w:tcPr>
          <w:p w14:paraId="32FDEA8F">
            <w:pPr>
              <w:spacing w:line="240" w:lineRule="auto"/>
              <w:jc w:val="center"/>
              <w:rPr>
                <w:sz w:val="21"/>
                <w:szCs w:val="21"/>
              </w:rPr>
            </w:pPr>
            <w:r>
              <w:rPr>
                <w:rFonts w:hint="eastAsia"/>
                <w:sz w:val="21"/>
                <w:szCs w:val="21"/>
              </w:rPr>
              <w:t>GHP-G型余氯比色计</w:t>
            </w:r>
          </w:p>
        </w:tc>
        <w:tc>
          <w:tcPr>
            <w:tcW w:w="810" w:type="dxa"/>
            <w:tcBorders>
              <w:tl2br w:val="nil"/>
              <w:tr2bl w:val="nil"/>
            </w:tcBorders>
            <w:vAlign w:val="center"/>
          </w:tcPr>
          <w:p w14:paraId="6CD9E842">
            <w:pPr>
              <w:spacing w:line="240" w:lineRule="auto"/>
              <w:jc w:val="center"/>
              <w:rPr>
                <w:sz w:val="21"/>
                <w:szCs w:val="21"/>
              </w:rPr>
            </w:pPr>
            <w:r>
              <w:rPr>
                <w:rFonts w:hint="eastAsia"/>
                <w:sz w:val="21"/>
                <w:szCs w:val="21"/>
              </w:rPr>
              <w:t>1台</w:t>
            </w:r>
          </w:p>
        </w:tc>
        <w:tc>
          <w:tcPr>
            <w:tcW w:w="1301" w:type="dxa"/>
            <w:vMerge w:val="continue"/>
            <w:tcBorders>
              <w:tl2br w:val="nil"/>
              <w:tr2bl w:val="nil"/>
            </w:tcBorders>
            <w:vAlign w:val="center"/>
          </w:tcPr>
          <w:p w14:paraId="7D891325">
            <w:pPr>
              <w:spacing w:line="240" w:lineRule="auto"/>
              <w:jc w:val="center"/>
              <w:rPr>
                <w:sz w:val="21"/>
                <w:szCs w:val="21"/>
              </w:rPr>
            </w:pPr>
          </w:p>
        </w:tc>
        <w:tc>
          <w:tcPr>
            <w:tcW w:w="1410" w:type="dxa"/>
            <w:vMerge w:val="continue"/>
            <w:tcBorders>
              <w:tl2br w:val="nil"/>
              <w:tr2bl w:val="nil"/>
            </w:tcBorders>
            <w:vAlign w:val="center"/>
          </w:tcPr>
          <w:p w14:paraId="4BFB42A0">
            <w:pPr>
              <w:spacing w:line="240" w:lineRule="auto"/>
              <w:jc w:val="center"/>
              <w:rPr>
                <w:sz w:val="21"/>
                <w:szCs w:val="21"/>
              </w:rPr>
            </w:pPr>
          </w:p>
        </w:tc>
      </w:tr>
      <w:tr w14:paraId="61C3F8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1100" w:type="dxa"/>
            <w:vMerge w:val="continue"/>
            <w:tcBorders>
              <w:tl2br w:val="nil"/>
              <w:tr2bl w:val="nil"/>
            </w:tcBorders>
            <w:vAlign w:val="center"/>
          </w:tcPr>
          <w:p w14:paraId="1504D933">
            <w:pPr>
              <w:spacing w:line="240" w:lineRule="auto"/>
              <w:jc w:val="center"/>
              <w:rPr>
                <w:sz w:val="21"/>
                <w:szCs w:val="21"/>
              </w:rPr>
            </w:pPr>
          </w:p>
        </w:tc>
        <w:tc>
          <w:tcPr>
            <w:tcW w:w="782" w:type="dxa"/>
            <w:vMerge w:val="continue"/>
            <w:tcBorders>
              <w:tl2br w:val="nil"/>
              <w:tr2bl w:val="nil"/>
            </w:tcBorders>
            <w:vAlign w:val="center"/>
          </w:tcPr>
          <w:p w14:paraId="6561E0C7">
            <w:pPr>
              <w:spacing w:line="240" w:lineRule="auto"/>
              <w:jc w:val="center"/>
              <w:rPr>
                <w:sz w:val="21"/>
                <w:szCs w:val="21"/>
              </w:rPr>
            </w:pPr>
          </w:p>
        </w:tc>
        <w:tc>
          <w:tcPr>
            <w:tcW w:w="3660" w:type="dxa"/>
            <w:tcBorders>
              <w:tl2br w:val="nil"/>
              <w:tr2bl w:val="nil"/>
            </w:tcBorders>
            <w:vAlign w:val="center"/>
          </w:tcPr>
          <w:p w14:paraId="1707A91F">
            <w:pPr>
              <w:spacing w:line="240" w:lineRule="auto"/>
              <w:jc w:val="center"/>
              <w:rPr>
                <w:sz w:val="21"/>
                <w:szCs w:val="21"/>
              </w:rPr>
            </w:pPr>
            <w:r>
              <w:rPr>
                <w:rFonts w:hint="eastAsia"/>
                <w:sz w:val="21"/>
                <w:szCs w:val="21"/>
              </w:rPr>
              <w:t>FA2004B电子天平</w:t>
            </w:r>
          </w:p>
        </w:tc>
        <w:tc>
          <w:tcPr>
            <w:tcW w:w="810" w:type="dxa"/>
            <w:tcBorders>
              <w:tl2br w:val="nil"/>
              <w:tr2bl w:val="nil"/>
            </w:tcBorders>
            <w:vAlign w:val="center"/>
          </w:tcPr>
          <w:p w14:paraId="19946DE7">
            <w:pPr>
              <w:spacing w:line="240" w:lineRule="auto"/>
              <w:jc w:val="center"/>
              <w:rPr>
                <w:sz w:val="21"/>
                <w:szCs w:val="21"/>
              </w:rPr>
            </w:pPr>
            <w:r>
              <w:rPr>
                <w:rFonts w:hint="eastAsia"/>
                <w:sz w:val="21"/>
                <w:szCs w:val="21"/>
              </w:rPr>
              <w:t>1台</w:t>
            </w:r>
          </w:p>
        </w:tc>
        <w:tc>
          <w:tcPr>
            <w:tcW w:w="1301" w:type="dxa"/>
            <w:vMerge w:val="continue"/>
            <w:tcBorders>
              <w:tl2br w:val="nil"/>
              <w:tr2bl w:val="nil"/>
            </w:tcBorders>
            <w:vAlign w:val="center"/>
          </w:tcPr>
          <w:p w14:paraId="08CA97D1">
            <w:pPr>
              <w:spacing w:line="240" w:lineRule="auto"/>
              <w:jc w:val="center"/>
              <w:rPr>
                <w:sz w:val="21"/>
                <w:szCs w:val="21"/>
              </w:rPr>
            </w:pPr>
          </w:p>
        </w:tc>
        <w:tc>
          <w:tcPr>
            <w:tcW w:w="1410" w:type="dxa"/>
            <w:vMerge w:val="continue"/>
            <w:tcBorders>
              <w:tl2br w:val="nil"/>
              <w:tr2bl w:val="nil"/>
            </w:tcBorders>
            <w:vAlign w:val="center"/>
          </w:tcPr>
          <w:p w14:paraId="130E2912">
            <w:pPr>
              <w:spacing w:line="240" w:lineRule="auto"/>
              <w:jc w:val="center"/>
              <w:rPr>
                <w:sz w:val="21"/>
                <w:szCs w:val="21"/>
              </w:rPr>
            </w:pPr>
          </w:p>
        </w:tc>
      </w:tr>
      <w:tr w14:paraId="1F01E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1100" w:type="dxa"/>
            <w:vMerge w:val="continue"/>
            <w:tcBorders>
              <w:tl2br w:val="nil"/>
              <w:tr2bl w:val="nil"/>
            </w:tcBorders>
            <w:vAlign w:val="center"/>
          </w:tcPr>
          <w:p w14:paraId="47D48E64">
            <w:pPr>
              <w:spacing w:line="240" w:lineRule="auto"/>
              <w:jc w:val="center"/>
              <w:rPr>
                <w:sz w:val="21"/>
                <w:szCs w:val="21"/>
              </w:rPr>
            </w:pPr>
          </w:p>
        </w:tc>
        <w:tc>
          <w:tcPr>
            <w:tcW w:w="782" w:type="dxa"/>
            <w:vMerge w:val="continue"/>
            <w:tcBorders>
              <w:tl2br w:val="nil"/>
              <w:tr2bl w:val="nil"/>
            </w:tcBorders>
            <w:vAlign w:val="center"/>
          </w:tcPr>
          <w:p w14:paraId="55A5154B">
            <w:pPr>
              <w:spacing w:line="240" w:lineRule="auto"/>
              <w:jc w:val="center"/>
              <w:rPr>
                <w:sz w:val="21"/>
                <w:szCs w:val="21"/>
              </w:rPr>
            </w:pPr>
          </w:p>
        </w:tc>
        <w:tc>
          <w:tcPr>
            <w:tcW w:w="3660" w:type="dxa"/>
            <w:tcBorders>
              <w:tl2br w:val="nil"/>
              <w:tr2bl w:val="nil"/>
            </w:tcBorders>
            <w:vAlign w:val="center"/>
          </w:tcPr>
          <w:p w14:paraId="687BA950">
            <w:pPr>
              <w:spacing w:line="240" w:lineRule="auto"/>
              <w:jc w:val="center"/>
              <w:rPr>
                <w:sz w:val="21"/>
                <w:szCs w:val="21"/>
              </w:rPr>
            </w:pPr>
            <w:r>
              <w:rPr>
                <w:rFonts w:hint="eastAsia"/>
                <w:sz w:val="21"/>
                <w:szCs w:val="21"/>
              </w:rPr>
              <w:t>DZ0-10断水自控电热蒸馏水器</w:t>
            </w:r>
          </w:p>
        </w:tc>
        <w:tc>
          <w:tcPr>
            <w:tcW w:w="810" w:type="dxa"/>
            <w:tcBorders>
              <w:tl2br w:val="nil"/>
              <w:tr2bl w:val="nil"/>
            </w:tcBorders>
            <w:vAlign w:val="center"/>
          </w:tcPr>
          <w:p w14:paraId="47FDA194">
            <w:pPr>
              <w:spacing w:line="240" w:lineRule="auto"/>
              <w:jc w:val="center"/>
              <w:rPr>
                <w:sz w:val="21"/>
                <w:szCs w:val="21"/>
              </w:rPr>
            </w:pPr>
            <w:r>
              <w:rPr>
                <w:rFonts w:hint="eastAsia"/>
                <w:sz w:val="21"/>
                <w:szCs w:val="21"/>
              </w:rPr>
              <w:t>1台</w:t>
            </w:r>
          </w:p>
        </w:tc>
        <w:tc>
          <w:tcPr>
            <w:tcW w:w="1301" w:type="dxa"/>
            <w:vMerge w:val="continue"/>
            <w:tcBorders>
              <w:tl2br w:val="nil"/>
              <w:tr2bl w:val="nil"/>
            </w:tcBorders>
            <w:vAlign w:val="center"/>
          </w:tcPr>
          <w:p w14:paraId="2B0B1A16">
            <w:pPr>
              <w:spacing w:line="240" w:lineRule="auto"/>
              <w:jc w:val="center"/>
              <w:rPr>
                <w:sz w:val="21"/>
                <w:szCs w:val="21"/>
              </w:rPr>
            </w:pPr>
          </w:p>
        </w:tc>
        <w:tc>
          <w:tcPr>
            <w:tcW w:w="1410" w:type="dxa"/>
            <w:vMerge w:val="continue"/>
            <w:tcBorders>
              <w:tl2br w:val="nil"/>
              <w:tr2bl w:val="nil"/>
            </w:tcBorders>
            <w:vAlign w:val="center"/>
          </w:tcPr>
          <w:p w14:paraId="7CCD7427">
            <w:pPr>
              <w:spacing w:line="240" w:lineRule="auto"/>
              <w:jc w:val="center"/>
              <w:rPr>
                <w:sz w:val="21"/>
                <w:szCs w:val="21"/>
              </w:rPr>
            </w:pPr>
          </w:p>
        </w:tc>
      </w:tr>
      <w:tr w14:paraId="7EBA0F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2" w:hRule="atLeast"/>
          <w:jc w:val="center"/>
        </w:trPr>
        <w:tc>
          <w:tcPr>
            <w:tcW w:w="1100" w:type="dxa"/>
            <w:vMerge w:val="continue"/>
            <w:tcBorders>
              <w:tl2br w:val="nil"/>
              <w:tr2bl w:val="nil"/>
            </w:tcBorders>
            <w:vAlign w:val="center"/>
          </w:tcPr>
          <w:p w14:paraId="146D7A33">
            <w:pPr>
              <w:spacing w:line="240" w:lineRule="auto"/>
              <w:jc w:val="center"/>
              <w:rPr>
                <w:sz w:val="21"/>
                <w:szCs w:val="21"/>
              </w:rPr>
            </w:pPr>
          </w:p>
        </w:tc>
        <w:tc>
          <w:tcPr>
            <w:tcW w:w="782" w:type="dxa"/>
            <w:vMerge w:val="continue"/>
            <w:tcBorders>
              <w:tl2br w:val="nil"/>
              <w:tr2bl w:val="nil"/>
            </w:tcBorders>
            <w:vAlign w:val="center"/>
          </w:tcPr>
          <w:p w14:paraId="041D2270">
            <w:pPr>
              <w:spacing w:line="240" w:lineRule="auto"/>
              <w:jc w:val="center"/>
              <w:rPr>
                <w:sz w:val="21"/>
                <w:szCs w:val="21"/>
              </w:rPr>
            </w:pPr>
          </w:p>
        </w:tc>
        <w:tc>
          <w:tcPr>
            <w:tcW w:w="3660" w:type="dxa"/>
            <w:tcBorders>
              <w:tl2br w:val="nil"/>
              <w:tr2bl w:val="nil"/>
            </w:tcBorders>
            <w:vAlign w:val="center"/>
          </w:tcPr>
          <w:p w14:paraId="22D0E1DB">
            <w:pPr>
              <w:spacing w:line="240" w:lineRule="auto"/>
              <w:jc w:val="center"/>
              <w:rPr>
                <w:sz w:val="21"/>
                <w:szCs w:val="21"/>
                <w:lang w:val="zh-CN"/>
              </w:rPr>
            </w:pPr>
            <w:r>
              <w:rPr>
                <w:rFonts w:hint="eastAsia"/>
                <w:sz w:val="21"/>
                <w:szCs w:val="21"/>
                <w:lang w:val="zh-CN"/>
              </w:rPr>
              <w:t>TG328A光学读数分析天平</w:t>
            </w:r>
          </w:p>
        </w:tc>
        <w:tc>
          <w:tcPr>
            <w:tcW w:w="810" w:type="dxa"/>
            <w:tcBorders>
              <w:tl2br w:val="nil"/>
              <w:tr2bl w:val="nil"/>
            </w:tcBorders>
            <w:vAlign w:val="center"/>
          </w:tcPr>
          <w:p w14:paraId="49F3C240">
            <w:pPr>
              <w:spacing w:line="240" w:lineRule="auto"/>
              <w:jc w:val="center"/>
              <w:rPr>
                <w:sz w:val="21"/>
                <w:szCs w:val="21"/>
              </w:rPr>
            </w:pPr>
            <w:r>
              <w:rPr>
                <w:rFonts w:hint="eastAsia"/>
                <w:sz w:val="21"/>
                <w:szCs w:val="21"/>
              </w:rPr>
              <w:t>1台</w:t>
            </w:r>
          </w:p>
        </w:tc>
        <w:tc>
          <w:tcPr>
            <w:tcW w:w="1301" w:type="dxa"/>
            <w:vMerge w:val="continue"/>
            <w:tcBorders>
              <w:tl2br w:val="nil"/>
              <w:tr2bl w:val="nil"/>
            </w:tcBorders>
            <w:vAlign w:val="center"/>
          </w:tcPr>
          <w:p w14:paraId="4F89FC5F">
            <w:pPr>
              <w:spacing w:line="240" w:lineRule="auto"/>
              <w:jc w:val="center"/>
              <w:rPr>
                <w:sz w:val="21"/>
                <w:szCs w:val="21"/>
              </w:rPr>
            </w:pPr>
          </w:p>
        </w:tc>
        <w:tc>
          <w:tcPr>
            <w:tcW w:w="1410" w:type="dxa"/>
            <w:vMerge w:val="continue"/>
            <w:tcBorders>
              <w:tl2br w:val="nil"/>
              <w:tr2bl w:val="nil"/>
            </w:tcBorders>
            <w:vAlign w:val="center"/>
          </w:tcPr>
          <w:p w14:paraId="3FF1B6C5">
            <w:pPr>
              <w:spacing w:line="240" w:lineRule="auto"/>
              <w:jc w:val="center"/>
              <w:rPr>
                <w:sz w:val="21"/>
                <w:szCs w:val="21"/>
              </w:rPr>
            </w:pPr>
          </w:p>
        </w:tc>
      </w:tr>
      <w:tr w14:paraId="3FCD6F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9" w:hRule="atLeast"/>
          <w:jc w:val="center"/>
        </w:trPr>
        <w:tc>
          <w:tcPr>
            <w:tcW w:w="1100" w:type="dxa"/>
            <w:vMerge w:val="continue"/>
            <w:tcBorders>
              <w:tl2br w:val="nil"/>
              <w:tr2bl w:val="nil"/>
            </w:tcBorders>
            <w:vAlign w:val="center"/>
          </w:tcPr>
          <w:p w14:paraId="6D8D1D01">
            <w:pPr>
              <w:spacing w:line="240" w:lineRule="auto"/>
              <w:jc w:val="center"/>
              <w:rPr>
                <w:sz w:val="21"/>
                <w:szCs w:val="21"/>
              </w:rPr>
            </w:pPr>
          </w:p>
        </w:tc>
        <w:tc>
          <w:tcPr>
            <w:tcW w:w="782" w:type="dxa"/>
            <w:vMerge w:val="continue"/>
            <w:tcBorders>
              <w:tl2br w:val="nil"/>
              <w:tr2bl w:val="nil"/>
            </w:tcBorders>
            <w:vAlign w:val="center"/>
          </w:tcPr>
          <w:p w14:paraId="2EEDB6DD">
            <w:pPr>
              <w:spacing w:line="240" w:lineRule="auto"/>
              <w:jc w:val="center"/>
              <w:rPr>
                <w:sz w:val="21"/>
                <w:szCs w:val="21"/>
              </w:rPr>
            </w:pPr>
          </w:p>
        </w:tc>
        <w:tc>
          <w:tcPr>
            <w:tcW w:w="3660" w:type="dxa"/>
            <w:tcBorders>
              <w:tl2br w:val="nil"/>
              <w:tr2bl w:val="nil"/>
            </w:tcBorders>
            <w:vAlign w:val="center"/>
          </w:tcPr>
          <w:p w14:paraId="0ECE51F5">
            <w:pPr>
              <w:spacing w:line="240" w:lineRule="auto"/>
              <w:jc w:val="center"/>
              <w:rPr>
                <w:sz w:val="21"/>
                <w:szCs w:val="21"/>
                <w:lang w:val="zh-CN"/>
              </w:rPr>
            </w:pPr>
            <w:r>
              <w:rPr>
                <w:rFonts w:hint="eastAsia"/>
                <w:sz w:val="21"/>
                <w:szCs w:val="21"/>
                <w:lang w:val="zh-CN"/>
              </w:rPr>
              <w:t>YXQ-SG46-280手提式压力蒸汽消毒器</w:t>
            </w:r>
          </w:p>
        </w:tc>
        <w:tc>
          <w:tcPr>
            <w:tcW w:w="810" w:type="dxa"/>
            <w:tcBorders>
              <w:tl2br w:val="nil"/>
              <w:tr2bl w:val="nil"/>
            </w:tcBorders>
            <w:vAlign w:val="center"/>
          </w:tcPr>
          <w:p w14:paraId="6147D680">
            <w:pPr>
              <w:spacing w:line="240" w:lineRule="auto"/>
              <w:jc w:val="center"/>
              <w:rPr>
                <w:sz w:val="21"/>
                <w:szCs w:val="21"/>
              </w:rPr>
            </w:pPr>
            <w:r>
              <w:rPr>
                <w:rFonts w:hint="eastAsia"/>
                <w:sz w:val="21"/>
                <w:szCs w:val="21"/>
              </w:rPr>
              <w:t>1台</w:t>
            </w:r>
          </w:p>
        </w:tc>
        <w:tc>
          <w:tcPr>
            <w:tcW w:w="1301" w:type="dxa"/>
            <w:vMerge w:val="continue"/>
            <w:tcBorders>
              <w:tl2br w:val="nil"/>
              <w:tr2bl w:val="nil"/>
            </w:tcBorders>
            <w:vAlign w:val="center"/>
          </w:tcPr>
          <w:p w14:paraId="53DC4E7D">
            <w:pPr>
              <w:spacing w:line="240" w:lineRule="auto"/>
              <w:jc w:val="center"/>
              <w:rPr>
                <w:sz w:val="21"/>
                <w:szCs w:val="21"/>
              </w:rPr>
            </w:pPr>
          </w:p>
        </w:tc>
        <w:tc>
          <w:tcPr>
            <w:tcW w:w="1410" w:type="dxa"/>
            <w:vMerge w:val="continue"/>
            <w:tcBorders>
              <w:tl2br w:val="nil"/>
              <w:tr2bl w:val="nil"/>
            </w:tcBorders>
            <w:vAlign w:val="center"/>
          </w:tcPr>
          <w:p w14:paraId="5D4D38BF">
            <w:pPr>
              <w:spacing w:line="240" w:lineRule="auto"/>
              <w:jc w:val="center"/>
              <w:rPr>
                <w:sz w:val="21"/>
                <w:szCs w:val="21"/>
              </w:rPr>
            </w:pPr>
          </w:p>
        </w:tc>
      </w:tr>
      <w:tr w14:paraId="4DF0B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0" w:hRule="atLeast"/>
          <w:jc w:val="center"/>
        </w:trPr>
        <w:tc>
          <w:tcPr>
            <w:tcW w:w="1100" w:type="dxa"/>
            <w:vMerge w:val="continue"/>
            <w:tcBorders>
              <w:tl2br w:val="nil"/>
              <w:tr2bl w:val="nil"/>
            </w:tcBorders>
            <w:vAlign w:val="center"/>
          </w:tcPr>
          <w:p w14:paraId="29FDD6AF">
            <w:pPr>
              <w:spacing w:line="240" w:lineRule="auto"/>
              <w:jc w:val="center"/>
              <w:rPr>
                <w:sz w:val="21"/>
                <w:szCs w:val="21"/>
              </w:rPr>
            </w:pPr>
          </w:p>
        </w:tc>
        <w:tc>
          <w:tcPr>
            <w:tcW w:w="782" w:type="dxa"/>
            <w:vMerge w:val="continue"/>
            <w:tcBorders>
              <w:tl2br w:val="nil"/>
              <w:tr2bl w:val="nil"/>
            </w:tcBorders>
            <w:vAlign w:val="center"/>
          </w:tcPr>
          <w:p w14:paraId="782100D9">
            <w:pPr>
              <w:spacing w:line="240" w:lineRule="auto"/>
              <w:jc w:val="center"/>
              <w:rPr>
                <w:sz w:val="21"/>
                <w:szCs w:val="21"/>
              </w:rPr>
            </w:pPr>
          </w:p>
        </w:tc>
        <w:tc>
          <w:tcPr>
            <w:tcW w:w="3660" w:type="dxa"/>
            <w:tcBorders>
              <w:tl2br w:val="nil"/>
              <w:tr2bl w:val="nil"/>
            </w:tcBorders>
            <w:vAlign w:val="center"/>
          </w:tcPr>
          <w:p w14:paraId="45F2C6F6">
            <w:pPr>
              <w:spacing w:line="240" w:lineRule="auto"/>
              <w:jc w:val="center"/>
              <w:rPr>
                <w:sz w:val="21"/>
                <w:szCs w:val="21"/>
                <w:lang w:val="zh-CN"/>
              </w:rPr>
            </w:pPr>
            <w:r>
              <w:rPr>
                <w:rFonts w:hint="eastAsia"/>
                <w:sz w:val="21"/>
                <w:szCs w:val="21"/>
                <w:lang w:val="zh-CN"/>
              </w:rPr>
              <w:t>显微镜</w:t>
            </w:r>
          </w:p>
        </w:tc>
        <w:tc>
          <w:tcPr>
            <w:tcW w:w="810" w:type="dxa"/>
            <w:tcBorders>
              <w:tl2br w:val="nil"/>
              <w:tr2bl w:val="nil"/>
            </w:tcBorders>
            <w:vAlign w:val="center"/>
          </w:tcPr>
          <w:p w14:paraId="65A9ED95">
            <w:pPr>
              <w:spacing w:line="240" w:lineRule="auto"/>
              <w:jc w:val="center"/>
              <w:rPr>
                <w:sz w:val="21"/>
                <w:szCs w:val="21"/>
              </w:rPr>
            </w:pPr>
            <w:r>
              <w:rPr>
                <w:rFonts w:hint="eastAsia"/>
                <w:sz w:val="21"/>
                <w:szCs w:val="21"/>
              </w:rPr>
              <w:t>1台</w:t>
            </w:r>
          </w:p>
        </w:tc>
        <w:tc>
          <w:tcPr>
            <w:tcW w:w="1301" w:type="dxa"/>
            <w:vMerge w:val="continue"/>
            <w:tcBorders>
              <w:tl2br w:val="nil"/>
              <w:tr2bl w:val="nil"/>
            </w:tcBorders>
            <w:vAlign w:val="center"/>
          </w:tcPr>
          <w:p w14:paraId="2FBEB623">
            <w:pPr>
              <w:spacing w:line="240" w:lineRule="auto"/>
              <w:jc w:val="center"/>
              <w:rPr>
                <w:sz w:val="21"/>
                <w:szCs w:val="21"/>
              </w:rPr>
            </w:pPr>
          </w:p>
        </w:tc>
        <w:tc>
          <w:tcPr>
            <w:tcW w:w="1410" w:type="dxa"/>
            <w:vMerge w:val="continue"/>
            <w:tcBorders>
              <w:tl2br w:val="nil"/>
              <w:tr2bl w:val="nil"/>
            </w:tcBorders>
            <w:vAlign w:val="center"/>
          </w:tcPr>
          <w:p w14:paraId="1F816A06">
            <w:pPr>
              <w:spacing w:line="240" w:lineRule="auto"/>
              <w:jc w:val="center"/>
              <w:rPr>
                <w:sz w:val="21"/>
                <w:szCs w:val="21"/>
              </w:rPr>
            </w:pPr>
          </w:p>
        </w:tc>
      </w:tr>
    </w:tbl>
    <w:p w14:paraId="43FF5A2E">
      <w:pPr>
        <w:pStyle w:val="10"/>
        <w:adjustRightInd w:val="0"/>
        <w:snapToGrid w:val="0"/>
        <w:spacing w:line="480" w:lineRule="exact"/>
        <w:ind w:firstLine="0"/>
        <w:jc w:val="center"/>
        <w:rPr>
          <w:rFonts w:hint="eastAsia"/>
          <w:b/>
          <w:bCs/>
          <w:sz w:val="21"/>
          <w:szCs w:val="21"/>
        </w:rPr>
      </w:pPr>
    </w:p>
    <w:p w14:paraId="27813AAB">
      <w:pPr>
        <w:pStyle w:val="10"/>
        <w:adjustRightInd w:val="0"/>
        <w:snapToGrid w:val="0"/>
        <w:spacing w:line="480" w:lineRule="exact"/>
        <w:ind w:firstLine="0"/>
        <w:jc w:val="center"/>
        <w:rPr>
          <w:b/>
          <w:bCs/>
        </w:rPr>
      </w:pPr>
      <w:r>
        <w:rPr>
          <w:rFonts w:hint="eastAsia"/>
          <w:b/>
          <w:bCs/>
          <w:sz w:val="21"/>
          <w:szCs w:val="21"/>
        </w:rPr>
        <w:t>表4-2  可调用的应急物资储备情况</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50"/>
        <w:gridCol w:w="1722"/>
        <w:gridCol w:w="2301"/>
        <w:gridCol w:w="800"/>
        <w:gridCol w:w="1280"/>
        <w:gridCol w:w="2030"/>
      </w:tblGrid>
      <w:tr w14:paraId="22692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8" w:hRule="atLeast"/>
          <w:jc w:val="center"/>
        </w:trPr>
        <w:tc>
          <w:tcPr>
            <w:tcW w:w="2672" w:type="dxa"/>
            <w:gridSpan w:val="2"/>
            <w:vAlign w:val="center"/>
          </w:tcPr>
          <w:p w14:paraId="10898F88">
            <w:pPr>
              <w:spacing w:line="240" w:lineRule="auto"/>
              <w:jc w:val="center"/>
              <w:rPr>
                <w:rFonts w:hint="eastAsia"/>
                <w:b/>
                <w:bCs/>
                <w:sz w:val="21"/>
                <w:szCs w:val="21"/>
                <w:lang w:val="zh-CN"/>
              </w:rPr>
            </w:pPr>
            <w:r>
              <w:rPr>
                <w:rFonts w:hint="eastAsia"/>
                <w:b/>
                <w:bCs/>
                <w:sz w:val="21"/>
                <w:szCs w:val="21"/>
                <w:lang w:val="zh-CN"/>
              </w:rPr>
              <w:t>单位名称</w:t>
            </w:r>
          </w:p>
        </w:tc>
        <w:tc>
          <w:tcPr>
            <w:tcW w:w="2301" w:type="dxa"/>
            <w:vAlign w:val="center"/>
          </w:tcPr>
          <w:p w14:paraId="09DF37C3">
            <w:pPr>
              <w:spacing w:line="240" w:lineRule="auto"/>
              <w:jc w:val="center"/>
              <w:rPr>
                <w:rFonts w:hint="eastAsia"/>
                <w:b/>
                <w:bCs/>
                <w:sz w:val="21"/>
                <w:szCs w:val="21"/>
                <w:lang w:val="zh-CN"/>
              </w:rPr>
            </w:pPr>
            <w:r>
              <w:rPr>
                <w:rFonts w:hint="eastAsia"/>
                <w:b/>
                <w:bCs/>
                <w:sz w:val="21"/>
                <w:szCs w:val="21"/>
                <w:lang w:val="zh-CN"/>
              </w:rPr>
              <w:t>应急物资名称</w:t>
            </w:r>
          </w:p>
        </w:tc>
        <w:tc>
          <w:tcPr>
            <w:tcW w:w="800" w:type="dxa"/>
            <w:vAlign w:val="center"/>
          </w:tcPr>
          <w:p w14:paraId="130E952F">
            <w:pPr>
              <w:spacing w:line="240" w:lineRule="auto"/>
              <w:jc w:val="center"/>
              <w:rPr>
                <w:rFonts w:hint="eastAsia"/>
                <w:b/>
                <w:bCs/>
                <w:sz w:val="21"/>
                <w:szCs w:val="21"/>
                <w:lang w:val="zh-CN"/>
              </w:rPr>
            </w:pPr>
            <w:r>
              <w:rPr>
                <w:rFonts w:hint="eastAsia"/>
                <w:b/>
                <w:bCs/>
                <w:sz w:val="21"/>
                <w:szCs w:val="21"/>
                <w:lang w:val="zh-CN"/>
              </w:rPr>
              <w:t>数量</w:t>
            </w:r>
          </w:p>
        </w:tc>
        <w:tc>
          <w:tcPr>
            <w:tcW w:w="1280" w:type="dxa"/>
            <w:vAlign w:val="center"/>
          </w:tcPr>
          <w:p w14:paraId="3FD0B481">
            <w:pPr>
              <w:spacing w:line="240" w:lineRule="auto"/>
              <w:jc w:val="center"/>
              <w:rPr>
                <w:rFonts w:hint="eastAsia"/>
                <w:b/>
                <w:bCs/>
                <w:sz w:val="21"/>
                <w:szCs w:val="21"/>
                <w:lang w:val="zh-CN"/>
              </w:rPr>
            </w:pPr>
            <w:r>
              <w:rPr>
                <w:rFonts w:hint="eastAsia"/>
                <w:b/>
                <w:bCs/>
                <w:sz w:val="21"/>
                <w:szCs w:val="21"/>
                <w:lang w:val="zh-CN"/>
              </w:rPr>
              <w:t>储存地点</w:t>
            </w:r>
          </w:p>
        </w:tc>
        <w:tc>
          <w:tcPr>
            <w:tcW w:w="2030" w:type="dxa"/>
            <w:vAlign w:val="center"/>
          </w:tcPr>
          <w:p w14:paraId="519ED624">
            <w:pPr>
              <w:spacing w:line="240" w:lineRule="auto"/>
              <w:jc w:val="center"/>
              <w:rPr>
                <w:rFonts w:hint="eastAsia"/>
                <w:b/>
                <w:bCs/>
                <w:sz w:val="21"/>
                <w:szCs w:val="21"/>
                <w:lang w:val="zh-CN"/>
              </w:rPr>
            </w:pPr>
            <w:r>
              <w:rPr>
                <w:rFonts w:hint="eastAsia"/>
                <w:b/>
                <w:bCs/>
                <w:sz w:val="21"/>
                <w:szCs w:val="21"/>
                <w:lang w:val="zh-CN"/>
              </w:rPr>
              <w:t>联系人及联系方式</w:t>
            </w:r>
          </w:p>
        </w:tc>
      </w:tr>
      <w:tr w14:paraId="0473E9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restart"/>
            <w:vAlign w:val="center"/>
          </w:tcPr>
          <w:p w14:paraId="6F54811B">
            <w:pPr>
              <w:spacing w:line="240" w:lineRule="auto"/>
              <w:jc w:val="center"/>
              <w:rPr>
                <w:rFonts w:hint="eastAsia"/>
                <w:sz w:val="21"/>
                <w:szCs w:val="21"/>
                <w:lang w:val="zh-CN"/>
              </w:rPr>
            </w:pPr>
            <w:r>
              <w:rPr>
                <w:rFonts w:hint="eastAsia"/>
                <w:sz w:val="21"/>
                <w:szCs w:val="21"/>
              </w:rPr>
              <w:t>绥宁县</w:t>
            </w:r>
            <w:r>
              <w:rPr>
                <w:rFonts w:hint="eastAsia"/>
                <w:sz w:val="21"/>
                <w:szCs w:val="21"/>
                <w:lang w:val="zh-CN"/>
              </w:rPr>
              <w:t>生态环境监测站</w:t>
            </w:r>
          </w:p>
        </w:tc>
        <w:tc>
          <w:tcPr>
            <w:tcW w:w="1722" w:type="dxa"/>
            <w:vMerge w:val="restart"/>
            <w:vAlign w:val="center"/>
          </w:tcPr>
          <w:p w14:paraId="13B0F6C6">
            <w:pPr>
              <w:spacing w:line="240" w:lineRule="auto"/>
              <w:jc w:val="center"/>
              <w:rPr>
                <w:rFonts w:hint="eastAsia"/>
                <w:sz w:val="21"/>
                <w:szCs w:val="21"/>
                <w:lang w:val="zh-CN"/>
              </w:rPr>
            </w:pPr>
            <w:r>
              <w:rPr>
                <w:rFonts w:hint="eastAsia"/>
                <w:sz w:val="21"/>
                <w:szCs w:val="21"/>
                <w:lang w:val="zh-CN"/>
              </w:rPr>
              <w:t>监测仪器、设备</w:t>
            </w:r>
          </w:p>
        </w:tc>
        <w:tc>
          <w:tcPr>
            <w:tcW w:w="2301" w:type="dxa"/>
            <w:vAlign w:val="center"/>
          </w:tcPr>
          <w:p w14:paraId="1129D30D">
            <w:pPr>
              <w:spacing w:line="240" w:lineRule="auto"/>
              <w:jc w:val="center"/>
              <w:rPr>
                <w:rFonts w:hint="eastAsia"/>
                <w:sz w:val="21"/>
                <w:szCs w:val="21"/>
                <w:lang w:val="zh-CN"/>
              </w:rPr>
            </w:pPr>
            <w:r>
              <w:rPr>
                <w:rFonts w:hint="eastAsia"/>
                <w:sz w:val="21"/>
                <w:szCs w:val="21"/>
                <w:lang w:val="zh-CN"/>
              </w:rPr>
              <w:t>烟气快速测定仪</w:t>
            </w:r>
          </w:p>
        </w:tc>
        <w:tc>
          <w:tcPr>
            <w:tcW w:w="800" w:type="dxa"/>
            <w:vAlign w:val="center"/>
          </w:tcPr>
          <w:p w14:paraId="3A866697">
            <w:pPr>
              <w:spacing w:line="240" w:lineRule="auto"/>
              <w:jc w:val="center"/>
              <w:rPr>
                <w:rFonts w:hint="eastAsia"/>
                <w:sz w:val="21"/>
                <w:szCs w:val="21"/>
                <w:lang w:val="zh-CN"/>
              </w:rPr>
            </w:pPr>
            <w:r>
              <w:rPr>
                <w:rFonts w:hint="eastAsia"/>
                <w:sz w:val="21"/>
                <w:szCs w:val="21"/>
                <w:lang w:val="zh-CN"/>
              </w:rPr>
              <w:t>1</w:t>
            </w:r>
          </w:p>
        </w:tc>
        <w:tc>
          <w:tcPr>
            <w:tcW w:w="1280" w:type="dxa"/>
            <w:vMerge w:val="restart"/>
            <w:vAlign w:val="center"/>
          </w:tcPr>
          <w:p w14:paraId="2D9CC87E">
            <w:pPr>
              <w:spacing w:line="240" w:lineRule="auto"/>
              <w:jc w:val="center"/>
              <w:rPr>
                <w:rFonts w:hint="eastAsia"/>
                <w:sz w:val="21"/>
                <w:szCs w:val="21"/>
                <w:lang w:val="zh-CN"/>
              </w:rPr>
            </w:pPr>
            <w:r>
              <w:rPr>
                <w:rFonts w:hint="eastAsia"/>
                <w:sz w:val="21"/>
                <w:szCs w:val="21"/>
              </w:rPr>
              <w:t>绥宁县生态</w:t>
            </w:r>
            <w:r>
              <w:rPr>
                <w:rFonts w:hint="eastAsia"/>
                <w:sz w:val="21"/>
                <w:szCs w:val="21"/>
                <w:lang w:val="zh-CN"/>
              </w:rPr>
              <w:t>环境监测站</w:t>
            </w:r>
          </w:p>
        </w:tc>
        <w:tc>
          <w:tcPr>
            <w:tcW w:w="2030" w:type="dxa"/>
            <w:vMerge w:val="restart"/>
            <w:vAlign w:val="center"/>
          </w:tcPr>
          <w:p w14:paraId="1FD0CDF0">
            <w:pPr>
              <w:spacing w:line="240" w:lineRule="auto"/>
              <w:jc w:val="center"/>
              <w:rPr>
                <w:rFonts w:hint="eastAsia"/>
                <w:sz w:val="21"/>
                <w:szCs w:val="21"/>
                <w:lang w:val="zh-CN"/>
              </w:rPr>
            </w:pPr>
            <w:r>
              <w:rPr>
                <w:rFonts w:hint="eastAsia"/>
                <w:sz w:val="21"/>
                <w:szCs w:val="21"/>
                <w:lang w:val="zh-CN"/>
              </w:rPr>
              <w:t>彭慧霞18373900633</w:t>
            </w:r>
          </w:p>
        </w:tc>
      </w:tr>
      <w:tr w14:paraId="083EB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continue"/>
            <w:vAlign w:val="center"/>
          </w:tcPr>
          <w:p w14:paraId="24061DC1">
            <w:pPr>
              <w:spacing w:line="240" w:lineRule="auto"/>
              <w:jc w:val="center"/>
              <w:rPr>
                <w:rFonts w:hint="eastAsia"/>
                <w:sz w:val="21"/>
                <w:szCs w:val="21"/>
                <w:lang w:val="zh-CN"/>
              </w:rPr>
            </w:pPr>
          </w:p>
        </w:tc>
        <w:tc>
          <w:tcPr>
            <w:tcW w:w="1722" w:type="dxa"/>
            <w:vMerge w:val="continue"/>
            <w:vAlign w:val="center"/>
          </w:tcPr>
          <w:p w14:paraId="0F97365C">
            <w:pPr>
              <w:spacing w:line="240" w:lineRule="auto"/>
              <w:jc w:val="center"/>
              <w:rPr>
                <w:rFonts w:hint="eastAsia"/>
                <w:sz w:val="21"/>
                <w:szCs w:val="21"/>
                <w:lang w:val="zh-CN"/>
              </w:rPr>
            </w:pPr>
          </w:p>
        </w:tc>
        <w:tc>
          <w:tcPr>
            <w:tcW w:w="2301" w:type="dxa"/>
            <w:vAlign w:val="center"/>
          </w:tcPr>
          <w:p w14:paraId="699193C2">
            <w:pPr>
              <w:spacing w:line="240" w:lineRule="auto"/>
              <w:jc w:val="center"/>
              <w:rPr>
                <w:rFonts w:hint="eastAsia"/>
                <w:sz w:val="21"/>
                <w:szCs w:val="21"/>
                <w:lang w:val="zh-CN"/>
              </w:rPr>
            </w:pPr>
            <w:r>
              <w:rPr>
                <w:rFonts w:hint="eastAsia"/>
                <w:sz w:val="21"/>
                <w:szCs w:val="21"/>
                <w:lang w:val="zh-CN"/>
              </w:rPr>
              <w:t>粉尘快速测定仪</w:t>
            </w:r>
          </w:p>
        </w:tc>
        <w:tc>
          <w:tcPr>
            <w:tcW w:w="800" w:type="dxa"/>
          </w:tcPr>
          <w:p w14:paraId="7810A3F7">
            <w:pPr>
              <w:spacing w:line="240" w:lineRule="auto"/>
              <w:jc w:val="center"/>
              <w:rPr>
                <w:rFonts w:hint="eastAsia"/>
                <w:sz w:val="21"/>
                <w:szCs w:val="21"/>
                <w:lang w:val="zh-CN"/>
              </w:rPr>
            </w:pPr>
            <w:r>
              <w:rPr>
                <w:rFonts w:hint="eastAsia"/>
                <w:sz w:val="21"/>
                <w:szCs w:val="21"/>
                <w:lang w:val="zh-CN"/>
              </w:rPr>
              <w:t>1</w:t>
            </w:r>
          </w:p>
        </w:tc>
        <w:tc>
          <w:tcPr>
            <w:tcW w:w="1280" w:type="dxa"/>
            <w:vMerge w:val="continue"/>
            <w:vAlign w:val="center"/>
          </w:tcPr>
          <w:p w14:paraId="412C22F3">
            <w:pPr>
              <w:spacing w:line="240" w:lineRule="auto"/>
              <w:jc w:val="center"/>
              <w:rPr>
                <w:rFonts w:hint="eastAsia"/>
                <w:sz w:val="21"/>
                <w:szCs w:val="21"/>
                <w:lang w:val="zh-CN"/>
              </w:rPr>
            </w:pPr>
          </w:p>
        </w:tc>
        <w:tc>
          <w:tcPr>
            <w:tcW w:w="2030" w:type="dxa"/>
            <w:vMerge w:val="continue"/>
            <w:vAlign w:val="center"/>
          </w:tcPr>
          <w:p w14:paraId="26566B70">
            <w:pPr>
              <w:spacing w:line="240" w:lineRule="auto"/>
              <w:jc w:val="center"/>
              <w:rPr>
                <w:rFonts w:hint="eastAsia"/>
                <w:sz w:val="21"/>
                <w:szCs w:val="21"/>
                <w:lang w:val="zh-CN"/>
              </w:rPr>
            </w:pPr>
          </w:p>
        </w:tc>
      </w:tr>
      <w:tr w14:paraId="37EFD4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continue"/>
            <w:vAlign w:val="center"/>
          </w:tcPr>
          <w:p w14:paraId="2957B1F3">
            <w:pPr>
              <w:spacing w:line="240" w:lineRule="auto"/>
              <w:jc w:val="center"/>
              <w:rPr>
                <w:rFonts w:hint="eastAsia"/>
                <w:sz w:val="21"/>
                <w:szCs w:val="21"/>
                <w:lang w:val="zh-CN"/>
              </w:rPr>
            </w:pPr>
          </w:p>
        </w:tc>
        <w:tc>
          <w:tcPr>
            <w:tcW w:w="1722" w:type="dxa"/>
            <w:vMerge w:val="continue"/>
            <w:vAlign w:val="center"/>
          </w:tcPr>
          <w:p w14:paraId="274B00E4">
            <w:pPr>
              <w:spacing w:line="240" w:lineRule="auto"/>
              <w:jc w:val="center"/>
              <w:rPr>
                <w:rFonts w:hint="eastAsia"/>
                <w:sz w:val="21"/>
                <w:szCs w:val="21"/>
                <w:lang w:val="zh-CN"/>
              </w:rPr>
            </w:pPr>
          </w:p>
        </w:tc>
        <w:tc>
          <w:tcPr>
            <w:tcW w:w="2301" w:type="dxa"/>
            <w:vAlign w:val="center"/>
          </w:tcPr>
          <w:p w14:paraId="753EB044">
            <w:pPr>
              <w:spacing w:line="240" w:lineRule="auto"/>
              <w:jc w:val="center"/>
              <w:rPr>
                <w:rFonts w:hint="eastAsia"/>
                <w:sz w:val="21"/>
                <w:szCs w:val="21"/>
                <w:lang w:val="zh-CN"/>
              </w:rPr>
            </w:pPr>
            <w:r>
              <w:rPr>
                <w:rFonts w:hint="eastAsia"/>
                <w:sz w:val="21"/>
                <w:szCs w:val="21"/>
                <w:lang w:val="zh-CN"/>
              </w:rPr>
              <w:t>便携式多种气体分析仪</w:t>
            </w:r>
          </w:p>
        </w:tc>
        <w:tc>
          <w:tcPr>
            <w:tcW w:w="800" w:type="dxa"/>
          </w:tcPr>
          <w:p w14:paraId="608FECD0">
            <w:pPr>
              <w:spacing w:line="240" w:lineRule="auto"/>
              <w:jc w:val="center"/>
              <w:rPr>
                <w:rFonts w:hint="eastAsia"/>
                <w:sz w:val="21"/>
                <w:szCs w:val="21"/>
                <w:lang w:val="zh-CN"/>
              </w:rPr>
            </w:pPr>
            <w:r>
              <w:rPr>
                <w:rFonts w:hint="eastAsia"/>
                <w:sz w:val="21"/>
                <w:szCs w:val="21"/>
                <w:lang w:val="zh-CN"/>
              </w:rPr>
              <w:t>1</w:t>
            </w:r>
          </w:p>
        </w:tc>
        <w:tc>
          <w:tcPr>
            <w:tcW w:w="1280" w:type="dxa"/>
            <w:vMerge w:val="continue"/>
            <w:vAlign w:val="center"/>
          </w:tcPr>
          <w:p w14:paraId="0F5CFC83">
            <w:pPr>
              <w:spacing w:line="240" w:lineRule="auto"/>
              <w:jc w:val="center"/>
              <w:rPr>
                <w:rFonts w:hint="eastAsia"/>
                <w:sz w:val="21"/>
                <w:szCs w:val="21"/>
                <w:lang w:val="zh-CN"/>
              </w:rPr>
            </w:pPr>
          </w:p>
        </w:tc>
        <w:tc>
          <w:tcPr>
            <w:tcW w:w="2030" w:type="dxa"/>
            <w:vMerge w:val="continue"/>
            <w:vAlign w:val="center"/>
          </w:tcPr>
          <w:p w14:paraId="0CF5D074">
            <w:pPr>
              <w:spacing w:line="240" w:lineRule="auto"/>
              <w:jc w:val="center"/>
              <w:rPr>
                <w:rFonts w:hint="eastAsia"/>
                <w:sz w:val="21"/>
                <w:szCs w:val="21"/>
                <w:lang w:val="zh-CN"/>
              </w:rPr>
            </w:pPr>
          </w:p>
        </w:tc>
      </w:tr>
      <w:tr w14:paraId="48947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continue"/>
            <w:vAlign w:val="center"/>
          </w:tcPr>
          <w:p w14:paraId="7F2194FC">
            <w:pPr>
              <w:spacing w:line="240" w:lineRule="auto"/>
              <w:jc w:val="center"/>
              <w:rPr>
                <w:rFonts w:hint="eastAsia"/>
                <w:sz w:val="21"/>
                <w:szCs w:val="21"/>
                <w:lang w:val="zh-CN"/>
              </w:rPr>
            </w:pPr>
          </w:p>
        </w:tc>
        <w:tc>
          <w:tcPr>
            <w:tcW w:w="1722" w:type="dxa"/>
            <w:vMerge w:val="continue"/>
            <w:vAlign w:val="center"/>
          </w:tcPr>
          <w:p w14:paraId="0D791344">
            <w:pPr>
              <w:spacing w:line="240" w:lineRule="auto"/>
              <w:jc w:val="center"/>
              <w:rPr>
                <w:rFonts w:hint="eastAsia"/>
                <w:sz w:val="21"/>
                <w:szCs w:val="21"/>
                <w:lang w:val="zh-CN"/>
              </w:rPr>
            </w:pPr>
          </w:p>
        </w:tc>
        <w:tc>
          <w:tcPr>
            <w:tcW w:w="2301" w:type="dxa"/>
            <w:vAlign w:val="center"/>
          </w:tcPr>
          <w:p w14:paraId="20AB2C86">
            <w:pPr>
              <w:spacing w:line="240" w:lineRule="auto"/>
              <w:jc w:val="center"/>
              <w:rPr>
                <w:rFonts w:hint="eastAsia"/>
                <w:sz w:val="21"/>
                <w:szCs w:val="21"/>
                <w:lang w:val="zh-CN"/>
              </w:rPr>
            </w:pPr>
            <w:r>
              <w:rPr>
                <w:rFonts w:hint="eastAsia"/>
                <w:sz w:val="21"/>
                <w:szCs w:val="21"/>
                <w:lang w:val="zh-CN"/>
              </w:rPr>
              <w:t>便携式溶解氧测定仪</w:t>
            </w:r>
          </w:p>
        </w:tc>
        <w:tc>
          <w:tcPr>
            <w:tcW w:w="800" w:type="dxa"/>
          </w:tcPr>
          <w:p w14:paraId="3BE68D2C">
            <w:pPr>
              <w:spacing w:line="240" w:lineRule="auto"/>
              <w:jc w:val="center"/>
              <w:rPr>
                <w:rFonts w:hint="eastAsia"/>
                <w:sz w:val="21"/>
                <w:szCs w:val="21"/>
                <w:lang w:val="zh-CN"/>
              </w:rPr>
            </w:pPr>
            <w:r>
              <w:rPr>
                <w:rFonts w:hint="eastAsia"/>
                <w:sz w:val="21"/>
                <w:szCs w:val="21"/>
                <w:lang w:val="zh-CN"/>
              </w:rPr>
              <w:t>1</w:t>
            </w:r>
          </w:p>
        </w:tc>
        <w:tc>
          <w:tcPr>
            <w:tcW w:w="1280" w:type="dxa"/>
            <w:vMerge w:val="continue"/>
            <w:vAlign w:val="center"/>
          </w:tcPr>
          <w:p w14:paraId="3B3C869E">
            <w:pPr>
              <w:spacing w:line="240" w:lineRule="auto"/>
              <w:jc w:val="center"/>
              <w:rPr>
                <w:rFonts w:hint="eastAsia"/>
                <w:sz w:val="21"/>
                <w:szCs w:val="21"/>
                <w:lang w:val="zh-CN"/>
              </w:rPr>
            </w:pPr>
          </w:p>
        </w:tc>
        <w:tc>
          <w:tcPr>
            <w:tcW w:w="2030" w:type="dxa"/>
            <w:vMerge w:val="continue"/>
            <w:vAlign w:val="center"/>
          </w:tcPr>
          <w:p w14:paraId="3EF806E8">
            <w:pPr>
              <w:spacing w:line="240" w:lineRule="auto"/>
              <w:jc w:val="center"/>
              <w:rPr>
                <w:rFonts w:hint="eastAsia"/>
                <w:sz w:val="21"/>
                <w:szCs w:val="21"/>
                <w:lang w:val="zh-CN"/>
              </w:rPr>
            </w:pPr>
          </w:p>
        </w:tc>
      </w:tr>
      <w:tr w14:paraId="5ACC28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continue"/>
            <w:vAlign w:val="center"/>
          </w:tcPr>
          <w:p w14:paraId="7B361D10">
            <w:pPr>
              <w:spacing w:line="240" w:lineRule="auto"/>
              <w:jc w:val="center"/>
              <w:rPr>
                <w:rFonts w:hint="eastAsia"/>
                <w:sz w:val="21"/>
                <w:szCs w:val="21"/>
                <w:lang w:val="zh-CN"/>
              </w:rPr>
            </w:pPr>
          </w:p>
        </w:tc>
        <w:tc>
          <w:tcPr>
            <w:tcW w:w="1722" w:type="dxa"/>
            <w:vMerge w:val="continue"/>
            <w:vAlign w:val="center"/>
          </w:tcPr>
          <w:p w14:paraId="1486EAAA">
            <w:pPr>
              <w:spacing w:line="240" w:lineRule="auto"/>
              <w:jc w:val="center"/>
              <w:rPr>
                <w:rFonts w:hint="eastAsia"/>
                <w:sz w:val="21"/>
                <w:szCs w:val="21"/>
                <w:lang w:val="zh-CN"/>
              </w:rPr>
            </w:pPr>
          </w:p>
        </w:tc>
        <w:tc>
          <w:tcPr>
            <w:tcW w:w="2301" w:type="dxa"/>
            <w:vAlign w:val="center"/>
          </w:tcPr>
          <w:p w14:paraId="122A84FD">
            <w:pPr>
              <w:spacing w:line="240" w:lineRule="auto"/>
              <w:jc w:val="center"/>
              <w:rPr>
                <w:rFonts w:hint="eastAsia"/>
                <w:sz w:val="21"/>
                <w:szCs w:val="21"/>
                <w:lang w:val="zh-CN"/>
              </w:rPr>
            </w:pPr>
            <w:r>
              <w:rPr>
                <w:rFonts w:hint="eastAsia"/>
                <w:sz w:val="21"/>
                <w:szCs w:val="21"/>
                <w:lang w:val="zh-CN"/>
              </w:rPr>
              <w:t>紫外分光度计</w:t>
            </w:r>
          </w:p>
        </w:tc>
        <w:tc>
          <w:tcPr>
            <w:tcW w:w="800" w:type="dxa"/>
          </w:tcPr>
          <w:p w14:paraId="77C61370">
            <w:pPr>
              <w:spacing w:line="240" w:lineRule="auto"/>
              <w:jc w:val="center"/>
              <w:rPr>
                <w:rFonts w:hint="eastAsia"/>
                <w:sz w:val="21"/>
                <w:szCs w:val="21"/>
                <w:lang w:val="zh-CN"/>
              </w:rPr>
            </w:pPr>
            <w:r>
              <w:rPr>
                <w:rFonts w:hint="eastAsia"/>
                <w:sz w:val="21"/>
                <w:szCs w:val="21"/>
                <w:lang w:val="zh-CN"/>
              </w:rPr>
              <w:t>1</w:t>
            </w:r>
          </w:p>
        </w:tc>
        <w:tc>
          <w:tcPr>
            <w:tcW w:w="1280" w:type="dxa"/>
            <w:vMerge w:val="continue"/>
            <w:vAlign w:val="center"/>
          </w:tcPr>
          <w:p w14:paraId="16C819A0">
            <w:pPr>
              <w:spacing w:line="240" w:lineRule="auto"/>
              <w:jc w:val="center"/>
              <w:rPr>
                <w:rFonts w:hint="eastAsia"/>
                <w:sz w:val="21"/>
                <w:szCs w:val="21"/>
                <w:lang w:val="zh-CN"/>
              </w:rPr>
            </w:pPr>
          </w:p>
        </w:tc>
        <w:tc>
          <w:tcPr>
            <w:tcW w:w="2030" w:type="dxa"/>
            <w:vMerge w:val="continue"/>
            <w:vAlign w:val="center"/>
          </w:tcPr>
          <w:p w14:paraId="6FE9BF9C">
            <w:pPr>
              <w:spacing w:line="240" w:lineRule="auto"/>
              <w:jc w:val="center"/>
              <w:rPr>
                <w:rFonts w:hint="eastAsia"/>
                <w:sz w:val="21"/>
                <w:szCs w:val="21"/>
                <w:lang w:val="zh-CN"/>
              </w:rPr>
            </w:pPr>
          </w:p>
        </w:tc>
      </w:tr>
      <w:tr w14:paraId="2FB6A4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continue"/>
            <w:vAlign w:val="center"/>
          </w:tcPr>
          <w:p w14:paraId="1B60FB34">
            <w:pPr>
              <w:spacing w:line="240" w:lineRule="auto"/>
              <w:jc w:val="center"/>
              <w:rPr>
                <w:rFonts w:hint="eastAsia"/>
                <w:sz w:val="21"/>
                <w:szCs w:val="21"/>
                <w:lang w:val="zh-CN"/>
              </w:rPr>
            </w:pPr>
          </w:p>
        </w:tc>
        <w:tc>
          <w:tcPr>
            <w:tcW w:w="1722" w:type="dxa"/>
            <w:vMerge w:val="continue"/>
            <w:vAlign w:val="center"/>
          </w:tcPr>
          <w:p w14:paraId="05AB3E1A">
            <w:pPr>
              <w:spacing w:line="240" w:lineRule="auto"/>
              <w:jc w:val="center"/>
              <w:rPr>
                <w:rFonts w:hint="eastAsia"/>
                <w:sz w:val="21"/>
                <w:szCs w:val="21"/>
                <w:lang w:val="zh-CN"/>
              </w:rPr>
            </w:pPr>
          </w:p>
        </w:tc>
        <w:tc>
          <w:tcPr>
            <w:tcW w:w="2301" w:type="dxa"/>
            <w:vAlign w:val="center"/>
          </w:tcPr>
          <w:p w14:paraId="26D1EF92">
            <w:pPr>
              <w:spacing w:line="240" w:lineRule="auto"/>
              <w:jc w:val="center"/>
              <w:rPr>
                <w:rFonts w:hint="eastAsia"/>
                <w:sz w:val="21"/>
                <w:szCs w:val="21"/>
                <w:lang w:val="zh-CN"/>
              </w:rPr>
            </w:pPr>
            <w:r>
              <w:rPr>
                <w:rFonts w:hint="eastAsia"/>
                <w:sz w:val="21"/>
                <w:szCs w:val="21"/>
                <w:lang w:val="zh-CN"/>
              </w:rPr>
              <w:t>7200型可见分光光度计</w:t>
            </w:r>
          </w:p>
        </w:tc>
        <w:tc>
          <w:tcPr>
            <w:tcW w:w="800" w:type="dxa"/>
          </w:tcPr>
          <w:p w14:paraId="24E431C4">
            <w:pPr>
              <w:spacing w:line="240" w:lineRule="auto"/>
              <w:jc w:val="center"/>
              <w:rPr>
                <w:rFonts w:hint="eastAsia"/>
                <w:sz w:val="21"/>
                <w:szCs w:val="21"/>
                <w:lang w:val="zh-CN"/>
              </w:rPr>
            </w:pPr>
            <w:r>
              <w:rPr>
                <w:rFonts w:hint="eastAsia"/>
                <w:sz w:val="21"/>
                <w:szCs w:val="21"/>
                <w:lang w:val="zh-CN"/>
              </w:rPr>
              <w:t>1</w:t>
            </w:r>
          </w:p>
        </w:tc>
        <w:tc>
          <w:tcPr>
            <w:tcW w:w="1280" w:type="dxa"/>
            <w:vMerge w:val="continue"/>
            <w:vAlign w:val="center"/>
          </w:tcPr>
          <w:p w14:paraId="0DD076AD">
            <w:pPr>
              <w:spacing w:line="240" w:lineRule="auto"/>
              <w:jc w:val="center"/>
              <w:rPr>
                <w:rFonts w:hint="eastAsia"/>
                <w:sz w:val="21"/>
                <w:szCs w:val="21"/>
                <w:lang w:val="zh-CN"/>
              </w:rPr>
            </w:pPr>
          </w:p>
        </w:tc>
        <w:tc>
          <w:tcPr>
            <w:tcW w:w="2030" w:type="dxa"/>
            <w:vMerge w:val="continue"/>
            <w:vAlign w:val="center"/>
          </w:tcPr>
          <w:p w14:paraId="594ABA3E">
            <w:pPr>
              <w:spacing w:line="240" w:lineRule="auto"/>
              <w:jc w:val="center"/>
              <w:rPr>
                <w:rFonts w:hint="eastAsia"/>
                <w:sz w:val="21"/>
                <w:szCs w:val="21"/>
                <w:lang w:val="zh-CN"/>
              </w:rPr>
            </w:pPr>
          </w:p>
        </w:tc>
      </w:tr>
      <w:tr w14:paraId="2387AE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continue"/>
            <w:vAlign w:val="center"/>
          </w:tcPr>
          <w:p w14:paraId="67ACEAD7">
            <w:pPr>
              <w:spacing w:line="240" w:lineRule="auto"/>
              <w:jc w:val="center"/>
              <w:rPr>
                <w:rFonts w:hint="eastAsia"/>
                <w:sz w:val="21"/>
                <w:szCs w:val="21"/>
                <w:lang w:val="zh-CN"/>
              </w:rPr>
            </w:pPr>
          </w:p>
        </w:tc>
        <w:tc>
          <w:tcPr>
            <w:tcW w:w="1722" w:type="dxa"/>
            <w:vMerge w:val="continue"/>
            <w:vAlign w:val="center"/>
          </w:tcPr>
          <w:p w14:paraId="5AD7DC36">
            <w:pPr>
              <w:spacing w:line="240" w:lineRule="auto"/>
              <w:jc w:val="center"/>
              <w:rPr>
                <w:rFonts w:hint="eastAsia"/>
                <w:sz w:val="21"/>
                <w:szCs w:val="21"/>
                <w:lang w:val="zh-CN"/>
              </w:rPr>
            </w:pPr>
          </w:p>
        </w:tc>
        <w:tc>
          <w:tcPr>
            <w:tcW w:w="2301" w:type="dxa"/>
            <w:vAlign w:val="center"/>
          </w:tcPr>
          <w:p w14:paraId="5F900649">
            <w:pPr>
              <w:spacing w:line="240" w:lineRule="auto"/>
              <w:jc w:val="center"/>
              <w:rPr>
                <w:rFonts w:hint="eastAsia"/>
                <w:sz w:val="21"/>
                <w:szCs w:val="21"/>
                <w:lang w:val="zh-CN"/>
              </w:rPr>
            </w:pPr>
            <w:r>
              <w:rPr>
                <w:rFonts w:hint="eastAsia"/>
                <w:sz w:val="21"/>
                <w:szCs w:val="21"/>
                <w:lang w:val="zh-CN"/>
              </w:rPr>
              <w:t>红外测油仪</w:t>
            </w:r>
          </w:p>
        </w:tc>
        <w:tc>
          <w:tcPr>
            <w:tcW w:w="800" w:type="dxa"/>
          </w:tcPr>
          <w:p w14:paraId="783F8A46">
            <w:pPr>
              <w:spacing w:line="240" w:lineRule="auto"/>
              <w:jc w:val="center"/>
              <w:rPr>
                <w:rFonts w:hint="eastAsia"/>
                <w:sz w:val="21"/>
                <w:szCs w:val="21"/>
                <w:lang w:val="zh-CN"/>
              </w:rPr>
            </w:pPr>
            <w:r>
              <w:rPr>
                <w:rFonts w:hint="eastAsia"/>
                <w:sz w:val="21"/>
                <w:szCs w:val="21"/>
                <w:lang w:val="zh-CN"/>
              </w:rPr>
              <w:t>1</w:t>
            </w:r>
          </w:p>
        </w:tc>
        <w:tc>
          <w:tcPr>
            <w:tcW w:w="1280" w:type="dxa"/>
            <w:vMerge w:val="continue"/>
            <w:vAlign w:val="center"/>
          </w:tcPr>
          <w:p w14:paraId="4EEF20E7">
            <w:pPr>
              <w:spacing w:line="240" w:lineRule="auto"/>
              <w:jc w:val="center"/>
              <w:rPr>
                <w:rFonts w:hint="eastAsia"/>
                <w:sz w:val="21"/>
                <w:szCs w:val="21"/>
                <w:lang w:val="zh-CN"/>
              </w:rPr>
            </w:pPr>
          </w:p>
        </w:tc>
        <w:tc>
          <w:tcPr>
            <w:tcW w:w="2030" w:type="dxa"/>
            <w:vMerge w:val="continue"/>
            <w:vAlign w:val="center"/>
          </w:tcPr>
          <w:p w14:paraId="55079EF4">
            <w:pPr>
              <w:spacing w:line="240" w:lineRule="auto"/>
              <w:jc w:val="center"/>
              <w:rPr>
                <w:rFonts w:hint="eastAsia"/>
                <w:sz w:val="21"/>
                <w:szCs w:val="21"/>
                <w:lang w:val="zh-CN"/>
              </w:rPr>
            </w:pPr>
          </w:p>
        </w:tc>
      </w:tr>
      <w:tr w14:paraId="21C980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continue"/>
            <w:vAlign w:val="center"/>
          </w:tcPr>
          <w:p w14:paraId="6FC90C1A">
            <w:pPr>
              <w:spacing w:line="240" w:lineRule="auto"/>
              <w:jc w:val="center"/>
              <w:rPr>
                <w:rFonts w:hint="eastAsia"/>
                <w:sz w:val="21"/>
                <w:szCs w:val="21"/>
                <w:lang w:val="zh-CN"/>
              </w:rPr>
            </w:pPr>
          </w:p>
        </w:tc>
        <w:tc>
          <w:tcPr>
            <w:tcW w:w="1722" w:type="dxa"/>
            <w:vMerge w:val="continue"/>
            <w:vAlign w:val="center"/>
          </w:tcPr>
          <w:p w14:paraId="76E103CA">
            <w:pPr>
              <w:spacing w:line="240" w:lineRule="auto"/>
              <w:jc w:val="center"/>
              <w:rPr>
                <w:rFonts w:hint="eastAsia"/>
                <w:sz w:val="21"/>
                <w:szCs w:val="21"/>
                <w:lang w:val="zh-CN"/>
              </w:rPr>
            </w:pPr>
          </w:p>
        </w:tc>
        <w:tc>
          <w:tcPr>
            <w:tcW w:w="2301" w:type="dxa"/>
            <w:vAlign w:val="center"/>
          </w:tcPr>
          <w:p w14:paraId="2C0DC2F3">
            <w:pPr>
              <w:spacing w:line="240" w:lineRule="auto"/>
              <w:jc w:val="center"/>
              <w:rPr>
                <w:rFonts w:hint="eastAsia"/>
                <w:sz w:val="21"/>
                <w:szCs w:val="21"/>
                <w:lang w:val="zh-CN"/>
              </w:rPr>
            </w:pPr>
            <w:r>
              <w:rPr>
                <w:rFonts w:hint="eastAsia"/>
                <w:sz w:val="21"/>
                <w:szCs w:val="21"/>
                <w:lang w:val="zh-CN"/>
              </w:rPr>
              <w:t>原子吸收分光光度计</w:t>
            </w:r>
          </w:p>
        </w:tc>
        <w:tc>
          <w:tcPr>
            <w:tcW w:w="800" w:type="dxa"/>
          </w:tcPr>
          <w:p w14:paraId="60ED5573">
            <w:pPr>
              <w:spacing w:line="240" w:lineRule="auto"/>
              <w:jc w:val="center"/>
              <w:rPr>
                <w:rFonts w:hint="eastAsia"/>
                <w:sz w:val="21"/>
                <w:szCs w:val="21"/>
                <w:lang w:val="zh-CN"/>
              </w:rPr>
            </w:pPr>
            <w:r>
              <w:rPr>
                <w:rFonts w:hint="eastAsia"/>
                <w:sz w:val="21"/>
                <w:szCs w:val="21"/>
                <w:lang w:val="zh-CN"/>
              </w:rPr>
              <w:t>1</w:t>
            </w:r>
          </w:p>
        </w:tc>
        <w:tc>
          <w:tcPr>
            <w:tcW w:w="1280" w:type="dxa"/>
            <w:vMerge w:val="continue"/>
            <w:vAlign w:val="center"/>
          </w:tcPr>
          <w:p w14:paraId="6DA7CC8D">
            <w:pPr>
              <w:spacing w:line="240" w:lineRule="auto"/>
              <w:jc w:val="center"/>
              <w:rPr>
                <w:rFonts w:hint="eastAsia"/>
                <w:sz w:val="21"/>
                <w:szCs w:val="21"/>
                <w:lang w:val="zh-CN"/>
              </w:rPr>
            </w:pPr>
          </w:p>
        </w:tc>
        <w:tc>
          <w:tcPr>
            <w:tcW w:w="2030" w:type="dxa"/>
            <w:vMerge w:val="continue"/>
            <w:vAlign w:val="center"/>
          </w:tcPr>
          <w:p w14:paraId="7A1B19B4">
            <w:pPr>
              <w:spacing w:line="240" w:lineRule="auto"/>
              <w:jc w:val="center"/>
              <w:rPr>
                <w:rFonts w:hint="eastAsia"/>
                <w:sz w:val="21"/>
                <w:szCs w:val="21"/>
                <w:lang w:val="zh-CN"/>
              </w:rPr>
            </w:pPr>
          </w:p>
        </w:tc>
      </w:tr>
      <w:tr w14:paraId="7381D0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continue"/>
            <w:vAlign w:val="center"/>
          </w:tcPr>
          <w:p w14:paraId="5754B7A7">
            <w:pPr>
              <w:spacing w:line="240" w:lineRule="auto"/>
              <w:jc w:val="center"/>
              <w:rPr>
                <w:rFonts w:hint="eastAsia"/>
                <w:sz w:val="21"/>
                <w:szCs w:val="21"/>
                <w:lang w:val="zh-CN"/>
              </w:rPr>
            </w:pPr>
          </w:p>
        </w:tc>
        <w:tc>
          <w:tcPr>
            <w:tcW w:w="1722" w:type="dxa"/>
            <w:vMerge w:val="continue"/>
            <w:vAlign w:val="center"/>
          </w:tcPr>
          <w:p w14:paraId="280689A7">
            <w:pPr>
              <w:spacing w:line="240" w:lineRule="auto"/>
              <w:jc w:val="center"/>
              <w:rPr>
                <w:rFonts w:hint="eastAsia"/>
                <w:sz w:val="21"/>
                <w:szCs w:val="21"/>
                <w:lang w:val="zh-CN"/>
              </w:rPr>
            </w:pPr>
          </w:p>
        </w:tc>
        <w:tc>
          <w:tcPr>
            <w:tcW w:w="2301" w:type="dxa"/>
            <w:vAlign w:val="center"/>
          </w:tcPr>
          <w:p w14:paraId="6B4CA186">
            <w:pPr>
              <w:spacing w:line="240" w:lineRule="auto"/>
              <w:jc w:val="center"/>
              <w:rPr>
                <w:rFonts w:hint="eastAsia"/>
                <w:sz w:val="21"/>
                <w:szCs w:val="21"/>
                <w:lang w:val="zh-CN"/>
              </w:rPr>
            </w:pPr>
            <w:r>
              <w:rPr>
                <w:rFonts w:hint="eastAsia"/>
                <w:sz w:val="21"/>
                <w:szCs w:val="21"/>
                <w:lang w:val="zh-CN"/>
              </w:rPr>
              <w:t>原子荧光光度计</w:t>
            </w:r>
          </w:p>
        </w:tc>
        <w:tc>
          <w:tcPr>
            <w:tcW w:w="800" w:type="dxa"/>
          </w:tcPr>
          <w:p w14:paraId="55A0BF73">
            <w:pPr>
              <w:spacing w:line="240" w:lineRule="auto"/>
              <w:jc w:val="center"/>
              <w:rPr>
                <w:rFonts w:hint="eastAsia"/>
                <w:sz w:val="21"/>
                <w:szCs w:val="21"/>
                <w:lang w:val="zh-CN"/>
              </w:rPr>
            </w:pPr>
            <w:r>
              <w:rPr>
                <w:rFonts w:hint="eastAsia"/>
                <w:sz w:val="21"/>
                <w:szCs w:val="21"/>
                <w:lang w:val="zh-CN"/>
              </w:rPr>
              <w:t>1</w:t>
            </w:r>
          </w:p>
        </w:tc>
        <w:tc>
          <w:tcPr>
            <w:tcW w:w="1280" w:type="dxa"/>
            <w:vMerge w:val="continue"/>
            <w:vAlign w:val="center"/>
          </w:tcPr>
          <w:p w14:paraId="71B3FDF1">
            <w:pPr>
              <w:spacing w:line="240" w:lineRule="auto"/>
              <w:jc w:val="center"/>
              <w:rPr>
                <w:rFonts w:hint="eastAsia"/>
                <w:sz w:val="21"/>
                <w:szCs w:val="21"/>
                <w:lang w:val="zh-CN"/>
              </w:rPr>
            </w:pPr>
          </w:p>
        </w:tc>
        <w:tc>
          <w:tcPr>
            <w:tcW w:w="2030" w:type="dxa"/>
            <w:vMerge w:val="continue"/>
            <w:vAlign w:val="center"/>
          </w:tcPr>
          <w:p w14:paraId="676C4549">
            <w:pPr>
              <w:spacing w:line="240" w:lineRule="auto"/>
              <w:jc w:val="center"/>
              <w:rPr>
                <w:rFonts w:hint="eastAsia"/>
                <w:sz w:val="21"/>
                <w:szCs w:val="21"/>
                <w:lang w:val="zh-CN"/>
              </w:rPr>
            </w:pPr>
          </w:p>
        </w:tc>
      </w:tr>
      <w:tr w14:paraId="25E9F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continue"/>
            <w:vAlign w:val="center"/>
          </w:tcPr>
          <w:p w14:paraId="7AF953CF">
            <w:pPr>
              <w:spacing w:line="240" w:lineRule="auto"/>
              <w:jc w:val="center"/>
              <w:rPr>
                <w:rFonts w:hint="eastAsia"/>
                <w:sz w:val="21"/>
                <w:szCs w:val="21"/>
                <w:lang w:val="zh-CN"/>
              </w:rPr>
            </w:pPr>
          </w:p>
        </w:tc>
        <w:tc>
          <w:tcPr>
            <w:tcW w:w="1722" w:type="dxa"/>
            <w:vMerge w:val="continue"/>
            <w:vAlign w:val="center"/>
          </w:tcPr>
          <w:p w14:paraId="79DE534C">
            <w:pPr>
              <w:spacing w:line="240" w:lineRule="auto"/>
              <w:jc w:val="center"/>
              <w:rPr>
                <w:rFonts w:hint="eastAsia"/>
                <w:sz w:val="21"/>
                <w:szCs w:val="21"/>
                <w:lang w:val="zh-CN"/>
              </w:rPr>
            </w:pPr>
          </w:p>
        </w:tc>
        <w:tc>
          <w:tcPr>
            <w:tcW w:w="2301" w:type="dxa"/>
            <w:vAlign w:val="center"/>
          </w:tcPr>
          <w:p w14:paraId="59FDA6E5">
            <w:pPr>
              <w:spacing w:line="240" w:lineRule="auto"/>
              <w:jc w:val="center"/>
              <w:rPr>
                <w:rFonts w:hint="eastAsia"/>
                <w:sz w:val="21"/>
                <w:szCs w:val="21"/>
                <w:lang w:val="zh-CN"/>
              </w:rPr>
            </w:pPr>
            <w:r>
              <w:rPr>
                <w:rFonts w:hint="eastAsia"/>
                <w:sz w:val="21"/>
                <w:szCs w:val="21"/>
                <w:lang w:val="zh-CN"/>
              </w:rPr>
              <w:t>生化培养箱</w:t>
            </w:r>
          </w:p>
        </w:tc>
        <w:tc>
          <w:tcPr>
            <w:tcW w:w="800" w:type="dxa"/>
          </w:tcPr>
          <w:p w14:paraId="238F45D0">
            <w:pPr>
              <w:spacing w:line="240" w:lineRule="auto"/>
              <w:jc w:val="center"/>
              <w:rPr>
                <w:rFonts w:hint="eastAsia"/>
                <w:sz w:val="21"/>
                <w:szCs w:val="21"/>
                <w:lang w:val="zh-CN"/>
              </w:rPr>
            </w:pPr>
            <w:r>
              <w:rPr>
                <w:rFonts w:hint="eastAsia"/>
                <w:sz w:val="21"/>
                <w:szCs w:val="21"/>
                <w:lang w:val="zh-CN"/>
              </w:rPr>
              <w:t>1</w:t>
            </w:r>
          </w:p>
        </w:tc>
        <w:tc>
          <w:tcPr>
            <w:tcW w:w="1280" w:type="dxa"/>
            <w:vMerge w:val="continue"/>
            <w:vAlign w:val="center"/>
          </w:tcPr>
          <w:p w14:paraId="6B5F6685">
            <w:pPr>
              <w:spacing w:line="240" w:lineRule="auto"/>
              <w:jc w:val="center"/>
              <w:rPr>
                <w:rFonts w:hint="eastAsia"/>
                <w:sz w:val="21"/>
                <w:szCs w:val="21"/>
                <w:lang w:val="zh-CN"/>
              </w:rPr>
            </w:pPr>
          </w:p>
        </w:tc>
        <w:tc>
          <w:tcPr>
            <w:tcW w:w="2030" w:type="dxa"/>
            <w:vMerge w:val="continue"/>
            <w:vAlign w:val="center"/>
          </w:tcPr>
          <w:p w14:paraId="0791DD92">
            <w:pPr>
              <w:spacing w:line="240" w:lineRule="auto"/>
              <w:jc w:val="center"/>
              <w:rPr>
                <w:rFonts w:hint="eastAsia"/>
                <w:sz w:val="21"/>
                <w:szCs w:val="21"/>
                <w:lang w:val="zh-CN"/>
              </w:rPr>
            </w:pPr>
          </w:p>
        </w:tc>
      </w:tr>
      <w:tr w14:paraId="4859D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continue"/>
            <w:vAlign w:val="center"/>
          </w:tcPr>
          <w:p w14:paraId="5DA9FCD3">
            <w:pPr>
              <w:spacing w:line="240" w:lineRule="auto"/>
              <w:jc w:val="center"/>
              <w:rPr>
                <w:rFonts w:hint="eastAsia"/>
                <w:sz w:val="21"/>
                <w:szCs w:val="21"/>
                <w:lang w:val="zh-CN"/>
              </w:rPr>
            </w:pPr>
          </w:p>
        </w:tc>
        <w:tc>
          <w:tcPr>
            <w:tcW w:w="1722" w:type="dxa"/>
            <w:vMerge w:val="continue"/>
            <w:vAlign w:val="center"/>
          </w:tcPr>
          <w:p w14:paraId="74ACD2E2">
            <w:pPr>
              <w:spacing w:line="240" w:lineRule="auto"/>
              <w:jc w:val="center"/>
              <w:rPr>
                <w:rFonts w:hint="eastAsia"/>
                <w:sz w:val="21"/>
                <w:szCs w:val="21"/>
                <w:lang w:val="zh-CN"/>
              </w:rPr>
            </w:pPr>
          </w:p>
        </w:tc>
        <w:tc>
          <w:tcPr>
            <w:tcW w:w="2301" w:type="dxa"/>
            <w:vAlign w:val="center"/>
          </w:tcPr>
          <w:p w14:paraId="39B08EE5">
            <w:pPr>
              <w:spacing w:line="240" w:lineRule="auto"/>
              <w:jc w:val="center"/>
              <w:rPr>
                <w:rFonts w:hint="eastAsia"/>
                <w:sz w:val="21"/>
                <w:szCs w:val="21"/>
                <w:lang w:val="zh-CN"/>
              </w:rPr>
            </w:pPr>
            <w:r>
              <w:rPr>
                <w:rFonts w:hint="eastAsia"/>
                <w:sz w:val="21"/>
                <w:szCs w:val="21"/>
              </w:rPr>
              <w:t>p</w:t>
            </w:r>
            <w:r>
              <w:rPr>
                <w:rFonts w:hint="eastAsia"/>
                <w:sz w:val="21"/>
                <w:szCs w:val="21"/>
                <w:lang w:val="zh-CN"/>
              </w:rPr>
              <w:t>H计</w:t>
            </w:r>
          </w:p>
        </w:tc>
        <w:tc>
          <w:tcPr>
            <w:tcW w:w="800" w:type="dxa"/>
          </w:tcPr>
          <w:p w14:paraId="2FA51F27">
            <w:pPr>
              <w:spacing w:line="240" w:lineRule="auto"/>
              <w:jc w:val="center"/>
              <w:rPr>
                <w:rFonts w:hint="eastAsia"/>
                <w:sz w:val="21"/>
                <w:szCs w:val="21"/>
                <w:lang w:val="zh-CN"/>
              </w:rPr>
            </w:pPr>
            <w:r>
              <w:rPr>
                <w:rFonts w:hint="eastAsia"/>
                <w:sz w:val="21"/>
                <w:szCs w:val="21"/>
                <w:lang w:val="zh-CN"/>
              </w:rPr>
              <w:t>1</w:t>
            </w:r>
          </w:p>
        </w:tc>
        <w:tc>
          <w:tcPr>
            <w:tcW w:w="1280" w:type="dxa"/>
            <w:vMerge w:val="continue"/>
            <w:vAlign w:val="center"/>
          </w:tcPr>
          <w:p w14:paraId="45106A60">
            <w:pPr>
              <w:spacing w:line="240" w:lineRule="auto"/>
              <w:jc w:val="center"/>
              <w:rPr>
                <w:rFonts w:hint="eastAsia"/>
                <w:sz w:val="21"/>
                <w:szCs w:val="21"/>
                <w:lang w:val="zh-CN"/>
              </w:rPr>
            </w:pPr>
          </w:p>
        </w:tc>
        <w:tc>
          <w:tcPr>
            <w:tcW w:w="2030" w:type="dxa"/>
            <w:vMerge w:val="continue"/>
            <w:vAlign w:val="center"/>
          </w:tcPr>
          <w:p w14:paraId="25D707C6">
            <w:pPr>
              <w:spacing w:line="240" w:lineRule="auto"/>
              <w:jc w:val="center"/>
              <w:rPr>
                <w:rFonts w:hint="eastAsia"/>
                <w:sz w:val="21"/>
                <w:szCs w:val="21"/>
                <w:lang w:val="zh-CN"/>
              </w:rPr>
            </w:pPr>
          </w:p>
        </w:tc>
      </w:tr>
      <w:tr w14:paraId="1F5B5A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restart"/>
            <w:vAlign w:val="center"/>
          </w:tcPr>
          <w:p w14:paraId="6E3144E7">
            <w:pPr>
              <w:spacing w:line="240" w:lineRule="auto"/>
              <w:jc w:val="center"/>
              <w:rPr>
                <w:rFonts w:hint="eastAsia"/>
                <w:sz w:val="21"/>
                <w:szCs w:val="21"/>
                <w:lang w:val="zh-CN"/>
              </w:rPr>
            </w:pPr>
            <w:r>
              <w:rPr>
                <w:rFonts w:hint="eastAsia"/>
                <w:sz w:val="21"/>
                <w:szCs w:val="21"/>
              </w:rPr>
              <w:t>绥宁县</w:t>
            </w:r>
            <w:r>
              <w:rPr>
                <w:rFonts w:hint="eastAsia"/>
                <w:sz w:val="21"/>
                <w:szCs w:val="21"/>
                <w:lang w:val="zh-CN"/>
              </w:rPr>
              <w:t>消防大队</w:t>
            </w:r>
          </w:p>
        </w:tc>
        <w:tc>
          <w:tcPr>
            <w:tcW w:w="1722" w:type="dxa"/>
            <w:vMerge w:val="restart"/>
            <w:vAlign w:val="center"/>
          </w:tcPr>
          <w:p w14:paraId="5AA12261">
            <w:pPr>
              <w:spacing w:line="240" w:lineRule="auto"/>
              <w:jc w:val="center"/>
              <w:rPr>
                <w:rFonts w:hint="eastAsia"/>
                <w:sz w:val="21"/>
                <w:szCs w:val="21"/>
              </w:rPr>
            </w:pPr>
            <w:r>
              <w:rPr>
                <w:rFonts w:hint="eastAsia"/>
                <w:sz w:val="21"/>
                <w:szCs w:val="21"/>
              </w:rPr>
              <w:t>救援设备</w:t>
            </w:r>
          </w:p>
        </w:tc>
        <w:tc>
          <w:tcPr>
            <w:tcW w:w="2301" w:type="dxa"/>
            <w:vAlign w:val="center"/>
          </w:tcPr>
          <w:p w14:paraId="6C9F3721">
            <w:pPr>
              <w:spacing w:line="240" w:lineRule="auto"/>
              <w:jc w:val="center"/>
              <w:rPr>
                <w:rFonts w:hint="eastAsia"/>
                <w:sz w:val="21"/>
                <w:szCs w:val="21"/>
                <w:lang w:val="zh-CN"/>
              </w:rPr>
            </w:pPr>
            <w:r>
              <w:rPr>
                <w:rFonts w:hint="eastAsia"/>
                <w:sz w:val="21"/>
                <w:szCs w:val="21"/>
                <w:lang w:val="zh-CN"/>
              </w:rPr>
              <w:t>消防车</w:t>
            </w:r>
          </w:p>
        </w:tc>
        <w:tc>
          <w:tcPr>
            <w:tcW w:w="800" w:type="dxa"/>
            <w:vAlign w:val="center"/>
          </w:tcPr>
          <w:p w14:paraId="68931974">
            <w:pPr>
              <w:spacing w:line="240" w:lineRule="auto"/>
              <w:jc w:val="center"/>
              <w:rPr>
                <w:rFonts w:hint="eastAsia"/>
                <w:sz w:val="21"/>
                <w:szCs w:val="21"/>
              </w:rPr>
            </w:pPr>
            <w:r>
              <w:rPr>
                <w:rFonts w:hint="eastAsia"/>
                <w:sz w:val="21"/>
                <w:szCs w:val="21"/>
              </w:rPr>
              <w:t>2</w:t>
            </w:r>
          </w:p>
        </w:tc>
        <w:tc>
          <w:tcPr>
            <w:tcW w:w="1280" w:type="dxa"/>
            <w:vMerge w:val="restart"/>
            <w:vAlign w:val="center"/>
          </w:tcPr>
          <w:p w14:paraId="315AC06C">
            <w:pPr>
              <w:spacing w:line="240" w:lineRule="auto"/>
              <w:jc w:val="center"/>
              <w:rPr>
                <w:rFonts w:hint="eastAsia"/>
                <w:sz w:val="21"/>
                <w:szCs w:val="21"/>
                <w:lang w:val="zh-CN"/>
              </w:rPr>
            </w:pPr>
            <w:r>
              <w:rPr>
                <w:rFonts w:hint="eastAsia"/>
                <w:sz w:val="21"/>
                <w:szCs w:val="21"/>
              </w:rPr>
              <w:t>绥宁县</w:t>
            </w:r>
            <w:r>
              <w:rPr>
                <w:rFonts w:hint="eastAsia"/>
                <w:sz w:val="21"/>
                <w:szCs w:val="21"/>
                <w:lang w:val="zh-CN"/>
              </w:rPr>
              <w:t>消防</w:t>
            </w:r>
            <w:r>
              <w:rPr>
                <w:rFonts w:hint="eastAsia"/>
                <w:sz w:val="21"/>
                <w:szCs w:val="21"/>
              </w:rPr>
              <w:t>救援</w:t>
            </w:r>
            <w:r>
              <w:rPr>
                <w:rFonts w:hint="eastAsia"/>
                <w:sz w:val="21"/>
                <w:szCs w:val="21"/>
                <w:lang w:val="zh-CN"/>
              </w:rPr>
              <w:t>大队</w:t>
            </w:r>
          </w:p>
        </w:tc>
        <w:tc>
          <w:tcPr>
            <w:tcW w:w="2030" w:type="dxa"/>
            <w:vMerge w:val="restart"/>
            <w:vAlign w:val="center"/>
          </w:tcPr>
          <w:p w14:paraId="5953ADFB">
            <w:pPr>
              <w:spacing w:line="240" w:lineRule="auto"/>
              <w:jc w:val="center"/>
              <w:rPr>
                <w:rFonts w:hint="eastAsia"/>
                <w:sz w:val="21"/>
                <w:szCs w:val="21"/>
                <w:lang w:val="zh-CN"/>
              </w:rPr>
            </w:pPr>
            <w:r>
              <w:rPr>
                <w:rFonts w:hint="eastAsia"/>
                <w:sz w:val="21"/>
                <w:szCs w:val="21"/>
              </w:rPr>
              <w:t xml:space="preserve">办公室 </w:t>
            </w:r>
            <w:r>
              <w:rPr>
                <w:rFonts w:hint="eastAsia"/>
                <w:sz w:val="21"/>
                <w:szCs w:val="21"/>
                <w:lang w:val="zh-CN"/>
              </w:rPr>
              <w:t>7611516</w:t>
            </w:r>
          </w:p>
        </w:tc>
      </w:tr>
      <w:tr w14:paraId="36D01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continue"/>
            <w:vAlign w:val="center"/>
          </w:tcPr>
          <w:p w14:paraId="64AD8C5B">
            <w:pPr>
              <w:spacing w:line="240" w:lineRule="auto"/>
              <w:jc w:val="center"/>
              <w:rPr>
                <w:rFonts w:hint="eastAsia"/>
                <w:sz w:val="21"/>
                <w:szCs w:val="21"/>
              </w:rPr>
            </w:pPr>
          </w:p>
        </w:tc>
        <w:tc>
          <w:tcPr>
            <w:tcW w:w="1722" w:type="dxa"/>
            <w:vMerge w:val="continue"/>
            <w:vAlign w:val="center"/>
          </w:tcPr>
          <w:p w14:paraId="773D49BE">
            <w:pPr>
              <w:spacing w:line="240" w:lineRule="auto"/>
              <w:jc w:val="center"/>
              <w:rPr>
                <w:rFonts w:hint="eastAsia"/>
                <w:sz w:val="21"/>
                <w:szCs w:val="21"/>
              </w:rPr>
            </w:pPr>
          </w:p>
        </w:tc>
        <w:tc>
          <w:tcPr>
            <w:tcW w:w="2301" w:type="dxa"/>
            <w:vAlign w:val="center"/>
          </w:tcPr>
          <w:p w14:paraId="706CBC3C">
            <w:pPr>
              <w:spacing w:line="240" w:lineRule="auto"/>
              <w:jc w:val="center"/>
              <w:rPr>
                <w:rFonts w:hint="eastAsia"/>
                <w:sz w:val="21"/>
                <w:szCs w:val="21"/>
                <w:lang w:val="zh-CN"/>
              </w:rPr>
            </w:pPr>
            <w:r>
              <w:rPr>
                <w:sz w:val="21"/>
              </w:rPr>
              <w:t>压缩空气泡沫车</w:t>
            </w:r>
          </w:p>
        </w:tc>
        <w:tc>
          <w:tcPr>
            <w:tcW w:w="800" w:type="dxa"/>
            <w:vAlign w:val="center"/>
          </w:tcPr>
          <w:p w14:paraId="6F79E1CD">
            <w:pPr>
              <w:spacing w:line="240" w:lineRule="auto"/>
              <w:jc w:val="center"/>
              <w:rPr>
                <w:rFonts w:hint="eastAsia"/>
                <w:sz w:val="21"/>
                <w:szCs w:val="21"/>
              </w:rPr>
            </w:pPr>
            <w:r>
              <w:rPr>
                <w:rFonts w:hint="eastAsia"/>
                <w:sz w:val="21"/>
                <w:szCs w:val="21"/>
              </w:rPr>
              <w:t>1</w:t>
            </w:r>
          </w:p>
        </w:tc>
        <w:tc>
          <w:tcPr>
            <w:tcW w:w="1280" w:type="dxa"/>
            <w:vMerge w:val="continue"/>
            <w:vAlign w:val="center"/>
          </w:tcPr>
          <w:p w14:paraId="02E21BC5">
            <w:pPr>
              <w:spacing w:line="240" w:lineRule="auto"/>
              <w:jc w:val="center"/>
              <w:rPr>
                <w:rFonts w:hint="eastAsia"/>
                <w:sz w:val="21"/>
                <w:szCs w:val="21"/>
              </w:rPr>
            </w:pPr>
          </w:p>
        </w:tc>
        <w:tc>
          <w:tcPr>
            <w:tcW w:w="2030" w:type="dxa"/>
            <w:vMerge w:val="continue"/>
            <w:vAlign w:val="center"/>
          </w:tcPr>
          <w:p w14:paraId="1FDDD85E">
            <w:pPr>
              <w:spacing w:line="240" w:lineRule="auto"/>
              <w:jc w:val="center"/>
              <w:rPr>
                <w:rFonts w:hint="eastAsia"/>
                <w:sz w:val="21"/>
                <w:szCs w:val="21"/>
              </w:rPr>
            </w:pPr>
          </w:p>
        </w:tc>
      </w:tr>
      <w:tr w14:paraId="71B7E1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950" w:type="dxa"/>
            <w:vMerge w:val="continue"/>
            <w:vAlign w:val="center"/>
          </w:tcPr>
          <w:p w14:paraId="6B751DDD">
            <w:pPr>
              <w:spacing w:line="240" w:lineRule="auto"/>
              <w:jc w:val="center"/>
              <w:rPr>
                <w:rFonts w:hint="eastAsia"/>
                <w:sz w:val="21"/>
                <w:szCs w:val="21"/>
              </w:rPr>
            </w:pPr>
          </w:p>
        </w:tc>
        <w:tc>
          <w:tcPr>
            <w:tcW w:w="1722" w:type="dxa"/>
            <w:vMerge w:val="continue"/>
            <w:vAlign w:val="center"/>
          </w:tcPr>
          <w:p w14:paraId="34E5FC4E">
            <w:pPr>
              <w:spacing w:line="240" w:lineRule="auto"/>
              <w:jc w:val="center"/>
              <w:rPr>
                <w:rFonts w:hint="eastAsia"/>
                <w:sz w:val="21"/>
                <w:szCs w:val="21"/>
              </w:rPr>
            </w:pPr>
          </w:p>
        </w:tc>
        <w:tc>
          <w:tcPr>
            <w:tcW w:w="2301" w:type="dxa"/>
            <w:vAlign w:val="center"/>
          </w:tcPr>
          <w:p w14:paraId="5CB491ED">
            <w:pPr>
              <w:spacing w:line="240" w:lineRule="auto"/>
              <w:jc w:val="center"/>
              <w:rPr>
                <w:sz w:val="21"/>
              </w:rPr>
            </w:pPr>
            <w:r>
              <w:rPr>
                <w:rFonts w:hint="eastAsia"/>
                <w:sz w:val="21"/>
              </w:rPr>
              <w:t>泡沫剂</w:t>
            </w:r>
          </w:p>
        </w:tc>
        <w:tc>
          <w:tcPr>
            <w:tcW w:w="800" w:type="dxa"/>
            <w:vAlign w:val="center"/>
          </w:tcPr>
          <w:p w14:paraId="3603EB87">
            <w:pPr>
              <w:spacing w:line="240" w:lineRule="auto"/>
              <w:jc w:val="center"/>
              <w:rPr>
                <w:rFonts w:hint="eastAsia"/>
                <w:sz w:val="21"/>
                <w:szCs w:val="21"/>
              </w:rPr>
            </w:pPr>
            <w:r>
              <w:rPr>
                <w:rFonts w:hint="eastAsia"/>
                <w:sz w:val="21"/>
                <w:szCs w:val="21"/>
              </w:rPr>
              <w:t>2t</w:t>
            </w:r>
          </w:p>
        </w:tc>
        <w:tc>
          <w:tcPr>
            <w:tcW w:w="1280" w:type="dxa"/>
            <w:vMerge w:val="continue"/>
            <w:vAlign w:val="center"/>
          </w:tcPr>
          <w:p w14:paraId="7F854919">
            <w:pPr>
              <w:spacing w:line="240" w:lineRule="auto"/>
              <w:jc w:val="center"/>
              <w:rPr>
                <w:rFonts w:hint="eastAsia"/>
                <w:sz w:val="21"/>
                <w:szCs w:val="21"/>
              </w:rPr>
            </w:pPr>
          </w:p>
        </w:tc>
        <w:tc>
          <w:tcPr>
            <w:tcW w:w="2030" w:type="dxa"/>
            <w:vMerge w:val="continue"/>
            <w:vAlign w:val="center"/>
          </w:tcPr>
          <w:p w14:paraId="7AD87627">
            <w:pPr>
              <w:spacing w:line="240" w:lineRule="auto"/>
              <w:jc w:val="center"/>
              <w:rPr>
                <w:rFonts w:hint="eastAsia"/>
                <w:sz w:val="21"/>
                <w:szCs w:val="21"/>
              </w:rPr>
            </w:pPr>
          </w:p>
        </w:tc>
      </w:tr>
    </w:tbl>
    <w:p w14:paraId="3E5BA3E6">
      <w:pPr>
        <w:pStyle w:val="10"/>
        <w:adjustRightInd w:val="0"/>
        <w:snapToGrid w:val="0"/>
        <w:spacing w:line="480" w:lineRule="exact"/>
        <w:ind w:firstLine="0"/>
        <w:jc w:val="center"/>
        <w:rPr>
          <w:b/>
          <w:bCs/>
        </w:rPr>
      </w:pPr>
      <w:r>
        <w:rPr>
          <w:rFonts w:hint="eastAsia"/>
          <w:b/>
          <w:bCs/>
          <w:sz w:val="21"/>
          <w:szCs w:val="21"/>
        </w:rPr>
        <w:t>表4-3  需补充应急救援物资（设备）一览表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590"/>
        <w:gridCol w:w="3705"/>
        <w:gridCol w:w="1066"/>
        <w:gridCol w:w="1860"/>
      </w:tblGrid>
      <w:tr w14:paraId="67751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9" w:type="dxa"/>
            <w:vAlign w:val="center"/>
          </w:tcPr>
          <w:p w14:paraId="266CDB4D">
            <w:pPr>
              <w:spacing w:line="240" w:lineRule="auto"/>
              <w:jc w:val="center"/>
              <w:rPr>
                <w:rFonts w:hint="eastAsia"/>
                <w:b/>
                <w:bCs/>
                <w:sz w:val="21"/>
                <w:szCs w:val="21"/>
                <w:lang w:val="zh-CN"/>
              </w:rPr>
            </w:pPr>
            <w:r>
              <w:rPr>
                <w:rFonts w:hint="eastAsia"/>
                <w:b/>
                <w:bCs/>
                <w:sz w:val="21"/>
                <w:szCs w:val="21"/>
                <w:lang w:val="zh-CN"/>
              </w:rPr>
              <w:t>序号</w:t>
            </w:r>
          </w:p>
        </w:tc>
        <w:tc>
          <w:tcPr>
            <w:tcW w:w="5295" w:type="dxa"/>
            <w:gridSpan w:val="2"/>
            <w:vAlign w:val="center"/>
          </w:tcPr>
          <w:p w14:paraId="284F8080">
            <w:pPr>
              <w:spacing w:line="240" w:lineRule="auto"/>
              <w:jc w:val="center"/>
              <w:rPr>
                <w:rFonts w:hint="eastAsia"/>
                <w:b/>
                <w:bCs/>
                <w:sz w:val="21"/>
                <w:szCs w:val="21"/>
                <w:lang w:val="zh-CN"/>
              </w:rPr>
            </w:pPr>
            <w:r>
              <w:rPr>
                <w:rFonts w:hint="eastAsia"/>
                <w:b/>
                <w:bCs/>
                <w:sz w:val="21"/>
                <w:szCs w:val="21"/>
                <w:lang w:val="zh-CN"/>
              </w:rPr>
              <w:t>应急物资、设备名称</w:t>
            </w:r>
          </w:p>
        </w:tc>
        <w:tc>
          <w:tcPr>
            <w:tcW w:w="1066" w:type="dxa"/>
            <w:vAlign w:val="center"/>
          </w:tcPr>
          <w:p w14:paraId="50D8CA9E">
            <w:pPr>
              <w:spacing w:line="240" w:lineRule="auto"/>
              <w:jc w:val="center"/>
              <w:rPr>
                <w:rFonts w:hint="eastAsia"/>
                <w:b/>
                <w:bCs/>
                <w:sz w:val="21"/>
                <w:szCs w:val="21"/>
                <w:lang w:val="zh-CN"/>
              </w:rPr>
            </w:pPr>
            <w:r>
              <w:rPr>
                <w:rFonts w:hint="eastAsia"/>
                <w:b/>
                <w:bCs/>
                <w:sz w:val="21"/>
                <w:szCs w:val="21"/>
                <w:lang w:val="zh-CN"/>
              </w:rPr>
              <w:t>数量</w:t>
            </w:r>
          </w:p>
        </w:tc>
        <w:tc>
          <w:tcPr>
            <w:tcW w:w="1860" w:type="dxa"/>
            <w:vAlign w:val="center"/>
          </w:tcPr>
          <w:p w14:paraId="1E9BF10A">
            <w:pPr>
              <w:spacing w:line="240" w:lineRule="auto"/>
              <w:jc w:val="center"/>
              <w:rPr>
                <w:rFonts w:hint="eastAsia"/>
                <w:b/>
                <w:bCs/>
                <w:sz w:val="21"/>
                <w:szCs w:val="21"/>
                <w:lang w:val="zh-CN"/>
              </w:rPr>
            </w:pPr>
            <w:r>
              <w:rPr>
                <w:rFonts w:hint="eastAsia"/>
                <w:b/>
                <w:bCs/>
                <w:sz w:val="21"/>
                <w:szCs w:val="21"/>
                <w:lang w:val="zh-CN"/>
              </w:rPr>
              <w:t>储存地点</w:t>
            </w:r>
          </w:p>
        </w:tc>
      </w:tr>
      <w:tr w14:paraId="48217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9" w:type="dxa"/>
            <w:vMerge w:val="restart"/>
            <w:vAlign w:val="center"/>
          </w:tcPr>
          <w:p w14:paraId="56B55A26">
            <w:pPr>
              <w:spacing w:line="240" w:lineRule="auto"/>
              <w:jc w:val="center"/>
              <w:rPr>
                <w:rFonts w:hint="eastAsia"/>
                <w:sz w:val="21"/>
                <w:szCs w:val="21"/>
                <w:lang w:val="zh-CN"/>
              </w:rPr>
            </w:pPr>
            <w:r>
              <w:rPr>
                <w:rFonts w:hint="eastAsia"/>
                <w:sz w:val="21"/>
                <w:szCs w:val="21"/>
                <w:lang w:val="zh-CN"/>
              </w:rPr>
              <w:t>1</w:t>
            </w:r>
          </w:p>
          <w:p w14:paraId="4B4EDE65">
            <w:pPr>
              <w:spacing w:line="240" w:lineRule="auto"/>
              <w:jc w:val="center"/>
              <w:rPr>
                <w:rFonts w:hint="eastAsia"/>
                <w:sz w:val="21"/>
                <w:szCs w:val="21"/>
                <w:lang w:val="zh-CN"/>
              </w:rPr>
            </w:pPr>
          </w:p>
        </w:tc>
        <w:tc>
          <w:tcPr>
            <w:tcW w:w="1590" w:type="dxa"/>
            <w:vMerge w:val="restart"/>
            <w:vAlign w:val="center"/>
          </w:tcPr>
          <w:p w14:paraId="131656F1">
            <w:pPr>
              <w:spacing w:line="240" w:lineRule="auto"/>
              <w:jc w:val="center"/>
              <w:rPr>
                <w:rFonts w:hint="eastAsia"/>
                <w:sz w:val="21"/>
                <w:szCs w:val="21"/>
                <w:lang w:val="zh-CN"/>
              </w:rPr>
            </w:pPr>
            <w:r>
              <w:rPr>
                <w:rFonts w:hint="eastAsia"/>
                <w:sz w:val="21"/>
                <w:szCs w:val="21"/>
                <w:lang w:val="zh-CN"/>
              </w:rPr>
              <w:t>水质净化药剂</w:t>
            </w:r>
          </w:p>
        </w:tc>
        <w:tc>
          <w:tcPr>
            <w:tcW w:w="3705" w:type="dxa"/>
            <w:vAlign w:val="center"/>
          </w:tcPr>
          <w:p w14:paraId="53C7B64E">
            <w:pPr>
              <w:spacing w:line="240" w:lineRule="auto"/>
              <w:jc w:val="center"/>
              <w:rPr>
                <w:rFonts w:hint="eastAsia"/>
                <w:sz w:val="21"/>
                <w:szCs w:val="21"/>
                <w:lang w:val="zh-CN"/>
              </w:rPr>
            </w:pPr>
            <w:r>
              <w:rPr>
                <w:rFonts w:hint="eastAsia"/>
                <w:sz w:val="21"/>
                <w:szCs w:val="21"/>
                <w:lang w:val="zh-CN"/>
              </w:rPr>
              <w:t>吸附剂（高分子吸附剂、黏土、砂土、活性炭、石灰等）</w:t>
            </w:r>
          </w:p>
        </w:tc>
        <w:tc>
          <w:tcPr>
            <w:tcW w:w="1066" w:type="dxa"/>
            <w:vAlign w:val="center"/>
          </w:tcPr>
          <w:p w14:paraId="28214378">
            <w:pPr>
              <w:spacing w:line="240" w:lineRule="auto"/>
              <w:jc w:val="center"/>
              <w:rPr>
                <w:rFonts w:hint="eastAsia"/>
                <w:sz w:val="21"/>
                <w:szCs w:val="21"/>
              </w:rPr>
            </w:pPr>
            <w:r>
              <w:rPr>
                <w:rFonts w:hint="eastAsia"/>
                <w:sz w:val="21"/>
                <w:szCs w:val="21"/>
              </w:rPr>
              <w:t>1t</w:t>
            </w:r>
          </w:p>
        </w:tc>
        <w:tc>
          <w:tcPr>
            <w:tcW w:w="1860" w:type="dxa"/>
            <w:vMerge w:val="restart"/>
            <w:vAlign w:val="center"/>
          </w:tcPr>
          <w:p w14:paraId="15E60475">
            <w:pPr>
              <w:spacing w:line="240" w:lineRule="auto"/>
              <w:jc w:val="center"/>
              <w:rPr>
                <w:rFonts w:hint="eastAsia"/>
                <w:sz w:val="21"/>
                <w:szCs w:val="21"/>
              </w:rPr>
            </w:pPr>
            <w:r>
              <w:rPr>
                <w:rFonts w:hint="eastAsia"/>
                <w:sz w:val="21"/>
                <w:szCs w:val="21"/>
              </w:rPr>
              <w:t>关峡水厂</w:t>
            </w:r>
          </w:p>
        </w:tc>
      </w:tr>
      <w:tr w14:paraId="35EB7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9" w:type="dxa"/>
            <w:vMerge w:val="continue"/>
            <w:vAlign w:val="center"/>
          </w:tcPr>
          <w:p w14:paraId="7918B88E">
            <w:pPr>
              <w:spacing w:line="240" w:lineRule="auto"/>
              <w:jc w:val="center"/>
              <w:rPr>
                <w:rFonts w:hint="eastAsia"/>
                <w:sz w:val="21"/>
                <w:szCs w:val="21"/>
                <w:lang w:val="zh-CN"/>
              </w:rPr>
            </w:pPr>
          </w:p>
        </w:tc>
        <w:tc>
          <w:tcPr>
            <w:tcW w:w="1590" w:type="dxa"/>
            <w:vMerge w:val="continue"/>
            <w:vAlign w:val="center"/>
          </w:tcPr>
          <w:p w14:paraId="623218A2">
            <w:pPr>
              <w:spacing w:line="240" w:lineRule="auto"/>
              <w:jc w:val="center"/>
              <w:rPr>
                <w:rFonts w:hint="eastAsia"/>
                <w:sz w:val="21"/>
                <w:szCs w:val="21"/>
                <w:lang w:val="zh-CN"/>
              </w:rPr>
            </w:pPr>
          </w:p>
        </w:tc>
        <w:tc>
          <w:tcPr>
            <w:tcW w:w="3705" w:type="dxa"/>
            <w:vAlign w:val="center"/>
          </w:tcPr>
          <w:p w14:paraId="0FB013EE">
            <w:pPr>
              <w:spacing w:line="240" w:lineRule="auto"/>
              <w:jc w:val="center"/>
              <w:rPr>
                <w:rFonts w:hint="eastAsia"/>
                <w:sz w:val="21"/>
                <w:szCs w:val="21"/>
                <w:lang w:val="zh-CN"/>
              </w:rPr>
            </w:pPr>
            <w:r>
              <w:rPr>
                <w:rFonts w:hint="eastAsia"/>
                <w:sz w:val="21"/>
                <w:szCs w:val="21"/>
                <w:lang w:val="zh-CN"/>
              </w:rPr>
              <w:t>中和剂（生石灰、碳酸钠等）</w:t>
            </w:r>
          </w:p>
        </w:tc>
        <w:tc>
          <w:tcPr>
            <w:tcW w:w="1066" w:type="dxa"/>
            <w:vAlign w:val="center"/>
          </w:tcPr>
          <w:p w14:paraId="1526B5BB">
            <w:pPr>
              <w:spacing w:line="240" w:lineRule="auto"/>
              <w:jc w:val="center"/>
              <w:rPr>
                <w:rFonts w:hint="eastAsia"/>
                <w:sz w:val="21"/>
                <w:szCs w:val="21"/>
              </w:rPr>
            </w:pPr>
            <w:r>
              <w:rPr>
                <w:rFonts w:hint="eastAsia"/>
                <w:sz w:val="21"/>
                <w:szCs w:val="21"/>
              </w:rPr>
              <w:t>0.5t</w:t>
            </w:r>
          </w:p>
        </w:tc>
        <w:tc>
          <w:tcPr>
            <w:tcW w:w="1860" w:type="dxa"/>
            <w:vMerge w:val="continue"/>
            <w:vAlign w:val="center"/>
          </w:tcPr>
          <w:p w14:paraId="462CF107">
            <w:pPr>
              <w:spacing w:line="240" w:lineRule="auto"/>
              <w:jc w:val="center"/>
              <w:rPr>
                <w:rFonts w:hint="eastAsia"/>
                <w:sz w:val="21"/>
                <w:szCs w:val="21"/>
                <w:lang w:val="zh-CN"/>
              </w:rPr>
            </w:pPr>
          </w:p>
        </w:tc>
      </w:tr>
      <w:tr w14:paraId="45099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9" w:type="dxa"/>
            <w:vMerge w:val="continue"/>
            <w:vAlign w:val="center"/>
          </w:tcPr>
          <w:p w14:paraId="3F3A63EA">
            <w:pPr>
              <w:spacing w:line="240" w:lineRule="auto"/>
              <w:jc w:val="center"/>
              <w:rPr>
                <w:rFonts w:hint="eastAsia"/>
                <w:sz w:val="21"/>
                <w:szCs w:val="21"/>
                <w:lang w:val="zh-CN"/>
              </w:rPr>
            </w:pPr>
          </w:p>
        </w:tc>
        <w:tc>
          <w:tcPr>
            <w:tcW w:w="1590" w:type="dxa"/>
            <w:vMerge w:val="continue"/>
            <w:vAlign w:val="center"/>
          </w:tcPr>
          <w:p w14:paraId="378255B0">
            <w:pPr>
              <w:spacing w:line="240" w:lineRule="auto"/>
              <w:jc w:val="center"/>
              <w:rPr>
                <w:rFonts w:hint="eastAsia"/>
                <w:sz w:val="21"/>
                <w:szCs w:val="21"/>
                <w:lang w:val="zh-CN"/>
              </w:rPr>
            </w:pPr>
          </w:p>
        </w:tc>
        <w:tc>
          <w:tcPr>
            <w:tcW w:w="3705" w:type="dxa"/>
            <w:vAlign w:val="center"/>
          </w:tcPr>
          <w:p w14:paraId="27C2F52E">
            <w:pPr>
              <w:spacing w:line="240" w:lineRule="auto"/>
              <w:jc w:val="center"/>
              <w:rPr>
                <w:rFonts w:hint="eastAsia"/>
                <w:sz w:val="21"/>
                <w:szCs w:val="21"/>
                <w:lang w:val="zh-CN"/>
              </w:rPr>
            </w:pPr>
            <w:r>
              <w:rPr>
                <w:rFonts w:hint="eastAsia"/>
                <w:sz w:val="21"/>
                <w:szCs w:val="21"/>
                <w:lang w:val="zh-CN"/>
              </w:rPr>
              <w:t>解毒药剂（螯合剂等）</w:t>
            </w:r>
          </w:p>
        </w:tc>
        <w:tc>
          <w:tcPr>
            <w:tcW w:w="1066" w:type="dxa"/>
            <w:vAlign w:val="center"/>
          </w:tcPr>
          <w:p w14:paraId="5429DC0D">
            <w:pPr>
              <w:spacing w:line="240" w:lineRule="auto"/>
              <w:jc w:val="center"/>
              <w:rPr>
                <w:rFonts w:hint="eastAsia"/>
                <w:sz w:val="21"/>
                <w:szCs w:val="21"/>
              </w:rPr>
            </w:pPr>
            <w:r>
              <w:rPr>
                <w:rFonts w:hint="eastAsia"/>
                <w:sz w:val="21"/>
                <w:szCs w:val="21"/>
              </w:rPr>
              <w:t>0.3t</w:t>
            </w:r>
          </w:p>
        </w:tc>
        <w:tc>
          <w:tcPr>
            <w:tcW w:w="1860" w:type="dxa"/>
            <w:vMerge w:val="continue"/>
            <w:vAlign w:val="center"/>
          </w:tcPr>
          <w:p w14:paraId="76D43ADB">
            <w:pPr>
              <w:spacing w:line="240" w:lineRule="auto"/>
              <w:jc w:val="center"/>
              <w:rPr>
                <w:rFonts w:hint="eastAsia"/>
                <w:sz w:val="21"/>
                <w:szCs w:val="21"/>
                <w:lang w:val="zh-CN"/>
              </w:rPr>
            </w:pPr>
          </w:p>
        </w:tc>
      </w:tr>
      <w:tr w14:paraId="6AA3AA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9" w:type="dxa"/>
            <w:vMerge w:val="continue"/>
            <w:vAlign w:val="center"/>
          </w:tcPr>
          <w:p w14:paraId="29CE0022">
            <w:pPr>
              <w:spacing w:line="240" w:lineRule="auto"/>
              <w:jc w:val="center"/>
              <w:rPr>
                <w:rFonts w:hint="eastAsia"/>
                <w:sz w:val="21"/>
                <w:szCs w:val="21"/>
                <w:lang w:val="zh-CN"/>
              </w:rPr>
            </w:pPr>
          </w:p>
        </w:tc>
        <w:tc>
          <w:tcPr>
            <w:tcW w:w="1590" w:type="dxa"/>
            <w:vMerge w:val="continue"/>
            <w:vAlign w:val="center"/>
          </w:tcPr>
          <w:p w14:paraId="3CE20445">
            <w:pPr>
              <w:spacing w:line="240" w:lineRule="auto"/>
              <w:jc w:val="center"/>
              <w:rPr>
                <w:rFonts w:hint="eastAsia"/>
                <w:sz w:val="21"/>
                <w:szCs w:val="21"/>
                <w:lang w:val="zh-CN"/>
              </w:rPr>
            </w:pPr>
          </w:p>
        </w:tc>
        <w:tc>
          <w:tcPr>
            <w:tcW w:w="3705" w:type="dxa"/>
            <w:vAlign w:val="center"/>
          </w:tcPr>
          <w:p w14:paraId="25C48987">
            <w:pPr>
              <w:spacing w:line="240" w:lineRule="auto"/>
              <w:jc w:val="center"/>
              <w:rPr>
                <w:rFonts w:hint="eastAsia"/>
                <w:sz w:val="21"/>
                <w:szCs w:val="21"/>
                <w:lang w:val="zh-CN"/>
              </w:rPr>
            </w:pPr>
            <w:r>
              <w:rPr>
                <w:rFonts w:hint="eastAsia"/>
                <w:sz w:val="21"/>
                <w:szCs w:val="21"/>
                <w:lang w:val="zh-CN"/>
              </w:rPr>
              <w:t>氧化还原剂（亚硫酸钠、漂白粉、次氯酸钠等）</w:t>
            </w:r>
          </w:p>
        </w:tc>
        <w:tc>
          <w:tcPr>
            <w:tcW w:w="1066" w:type="dxa"/>
            <w:vAlign w:val="center"/>
          </w:tcPr>
          <w:p w14:paraId="146F9844">
            <w:pPr>
              <w:spacing w:line="240" w:lineRule="auto"/>
              <w:jc w:val="center"/>
              <w:rPr>
                <w:rFonts w:hint="eastAsia"/>
                <w:sz w:val="21"/>
                <w:szCs w:val="21"/>
              </w:rPr>
            </w:pPr>
            <w:r>
              <w:rPr>
                <w:rFonts w:hint="eastAsia"/>
                <w:sz w:val="21"/>
                <w:szCs w:val="21"/>
              </w:rPr>
              <w:t>0.3t</w:t>
            </w:r>
          </w:p>
        </w:tc>
        <w:tc>
          <w:tcPr>
            <w:tcW w:w="1860" w:type="dxa"/>
            <w:vMerge w:val="continue"/>
            <w:vAlign w:val="center"/>
          </w:tcPr>
          <w:p w14:paraId="089EBA98">
            <w:pPr>
              <w:spacing w:line="240" w:lineRule="auto"/>
              <w:jc w:val="center"/>
              <w:rPr>
                <w:rFonts w:hint="eastAsia"/>
                <w:sz w:val="21"/>
                <w:szCs w:val="21"/>
                <w:lang w:val="zh-CN"/>
              </w:rPr>
            </w:pPr>
          </w:p>
        </w:tc>
      </w:tr>
      <w:tr w14:paraId="74049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9" w:type="dxa"/>
            <w:vAlign w:val="center"/>
          </w:tcPr>
          <w:p w14:paraId="5B0850A4">
            <w:pPr>
              <w:spacing w:line="240" w:lineRule="auto"/>
              <w:jc w:val="center"/>
              <w:rPr>
                <w:rFonts w:hint="eastAsia"/>
                <w:sz w:val="21"/>
                <w:szCs w:val="21"/>
                <w:lang w:val="zh-CN"/>
              </w:rPr>
            </w:pPr>
            <w:r>
              <w:rPr>
                <w:rFonts w:hint="eastAsia"/>
                <w:sz w:val="21"/>
                <w:szCs w:val="21"/>
                <w:lang w:val="zh-CN"/>
              </w:rPr>
              <w:t>2</w:t>
            </w:r>
          </w:p>
        </w:tc>
        <w:tc>
          <w:tcPr>
            <w:tcW w:w="1590" w:type="dxa"/>
            <w:vAlign w:val="center"/>
          </w:tcPr>
          <w:p w14:paraId="49D15956">
            <w:pPr>
              <w:spacing w:line="240" w:lineRule="auto"/>
              <w:jc w:val="center"/>
              <w:rPr>
                <w:rFonts w:hint="eastAsia"/>
                <w:sz w:val="21"/>
                <w:szCs w:val="21"/>
                <w:lang w:val="zh-CN"/>
              </w:rPr>
            </w:pPr>
            <w:r>
              <w:rPr>
                <w:rFonts w:hint="eastAsia"/>
                <w:sz w:val="21"/>
                <w:szCs w:val="21"/>
                <w:lang w:val="zh-CN"/>
              </w:rPr>
              <w:t>水质净化设备</w:t>
            </w:r>
          </w:p>
        </w:tc>
        <w:tc>
          <w:tcPr>
            <w:tcW w:w="3705" w:type="dxa"/>
            <w:vAlign w:val="center"/>
          </w:tcPr>
          <w:p w14:paraId="55DD71A7">
            <w:pPr>
              <w:spacing w:line="240" w:lineRule="auto"/>
              <w:jc w:val="center"/>
              <w:rPr>
                <w:rFonts w:hint="eastAsia"/>
                <w:sz w:val="21"/>
                <w:szCs w:val="21"/>
                <w:lang w:val="zh-CN"/>
              </w:rPr>
            </w:pPr>
            <w:r>
              <w:rPr>
                <w:rFonts w:hint="eastAsia"/>
                <w:sz w:val="21"/>
                <w:szCs w:val="21"/>
                <w:lang w:val="zh-CN"/>
              </w:rPr>
              <w:t>吸油管、吸油围栏、打捞工具等</w:t>
            </w:r>
          </w:p>
        </w:tc>
        <w:tc>
          <w:tcPr>
            <w:tcW w:w="1066" w:type="dxa"/>
            <w:vAlign w:val="center"/>
          </w:tcPr>
          <w:p w14:paraId="15B68474">
            <w:pPr>
              <w:spacing w:line="240" w:lineRule="auto"/>
              <w:jc w:val="center"/>
              <w:rPr>
                <w:rFonts w:hint="eastAsia"/>
                <w:sz w:val="21"/>
                <w:szCs w:val="21"/>
              </w:rPr>
            </w:pPr>
            <w:r>
              <w:rPr>
                <w:rFonts w:hint="eastAsia"/>
                <w:sz w:val="21"/>
                <w:szCs w:val="21"/>
              </w:rPr>
              <w:t>3套</w:t>
            </w:r>
          </w:p>
        </w:tc>
        <w:tc>
          <w:tcPr>
            <w:tcW w:w="1860" w:type="dxa"/>
            <w:vMerge w:val="continue"/>
            <w:vAlign w:val="center"/>
          </w:tcPr>
          <w:p w14:paraId="0DEB7740">
            <w:pPr>
              <w:spacing w:line="240" w:lineRule="auto"/>
              <w:jc w:val="center"/>
              <w:rPr>
                <w:rFonts w:hint="eastAsia"/>
                <w:sz w:val="21"/>
                <w:szCs w:val="21"/>
                <w:lang w:val="zh-CN"/>
              </w:rPr>
            </w:pPr>
          </w:p>
        </w:tc>
      </w:tr>
      <w:tr w14:paraId="301CA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9" w:type="dxa"/>
            <w:vAlign w:val="center"/>
          </w:tcPr>
          <w:p w14:paraId="70FCE885">
            <w:pPr>
              <w:spacing w:line="240" w:lineRule="auto"/>
              <w:jc w:val="center"/>
              <w:rPr>
                <w:rFonts w:hint="eastAsia"/>
                <w:sz w:val="21"/>
                <w:szCs w:val="21"/>
                <w:lang w:val="zh-CN"/>
              </w:rPr>
            </w:pPr>
            <w:r>
              <w:rPr>
                <w:rFonts w:hint="eastAsia"/>
                <w:sz w:val="21"/>
                <w:szCs w:val="21"/>
                <w:lang w:val="zh-CN"/>
              </w:rPr>
              <w:t>3</w:t>
            </w:r>
          </w:p>
        </w:tc>
        <w:tc>
          <w:tcPr>
            <w:tcW w:w="1590" w:type="dxa"/>
            <w:vAlign w:val="center"/>
          </w:tcPr>
          <w:p w14:paraId="345653C6">
            <w:pPr>
              <w:spacing w:line="240" w:lineRule="auto"/>
              <w:jc w:val="center"/>
              <w:rPr>
                <w:rFonts w:hint="eastAsia"/>
                <w:sz w:val="21"/>
                <w:szCs w:val="21"/>
                <w:lang w:val="zh-CN"/>
              </w:rPr>
            </w:pPr>
            <w:r>
              <w:rPr>
                <w:rFonts w:hint="eastAsia"/>
                <w:sz w:val="21"/>
                <w:szCs w:val="21"/>
                <w:lang w:val="zh-CN"/>
              </w:rPr>
              <w:t>个人防护设施</w:t>
            </w:r>
          </w:p>
        </w:tc>
        <w:tc>
          <w:tcPr>
            <w:tcW w:w="3705" w:type="dxa"/>
            <w:vAlign w:val="center"/>
          </w:tcPr>
          <w:p w14:paraId="7212A731">
            <w:pPr>
              <w:spacing w:line="240" w:lineRule="auto"/>
              <w:jc w:val="center"/>
              <w:rPr>
                <w:rFonts w:hint="eastAsia"/>
                <w:sz w:val="21"/>
                <w:szCs w:val="21"/>
                <w:lang w:val="zh-CN"/>
              </w:rPr>
            </w:pPr>
            <w:r>
              <w:rPr>
                <w:rFonts w:hint="eastAsia"/>
                <w:sz w:val="21"/>
                <w:szCs w:val="21"/>
                <w:lang w:val="zh-CN"/>
              </w:rPr>
              <w:t>防护服、防毒面具、酸碱手套等</w:t>
            </w:r>
          </w:p>
        </w:tc>
        <w:tc>
          <w:tcPr>
            <w:tcW w:w="1066" w:type="dxa"/>
            <w:vAlign w:val="center"/>
          </w:tcPr>
          <w:p w14:paraId="7EC76560">
            <w:pPr>
              <w:spacing w:line="240" w:lineRule="auto"/>
              <w:jc w:val="center"/>
              <w:rPr>
                <w:rFonts w:hint="eastAsia"/>
                <w:sz w:val="21"/>
                <w:szCs w:val="21"/>
              </w:rPr>
            </w:pPr>
            <w:r>
              <w:rPr>
                <w:rFonts w:hint="eastAsia"/>
                <w:sz w:val="21"/>
                <w:szCs w:val="21"/>
              </w:rPr>
              <w:t>15套</w:t>
            </w:r>
          </w:p>
        </w:tc>
        <w:tc>
          <w:tcPr>
            <w:tcW w:w="1860" w:type="dxa"/>
            <w:vMerge w:val="continue"/>
            <w:vAlign w:val="center"/>
          </w:tcPr>
          <w:p w14:paraId="03E5DA56">
            <w:pPr>
              <w:spacing w:line="240" w:lineRule="auto"/>
              <w:jc w:val="center"/>
              <w:rPr>
                <w:rFonts w:hint="eastAsia"/>
                <w:sz w:val="21"/>
                <w:szCs w:val="21"/>
                <w:lang w:val="zh-CN"/>
              </w:rPr>
            </w:pPr>
          </w:p>
        </w:tc>
      </w:tr>
      <w:tr w14:paraId="05338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9" w:type="dxa"/>
            <w:vAlign w:val="center"/>
          </w:tcPr>
          <w:p w14:paraId="252F1CA1">
            <w:pPr>
              <w:spacing w:line="240" w:lineRule="auto"/>
              <w:jc w:val="center"/>
              <w:rPr>
                <w:rFonts w:hint="eastAsia"/>
                <w:sz w:val="21"/>
                <w:szCs w:val="21"/>
                <w:lang w:val="zh-CN"/>
              </w:rPr>
            </w:pPr>
            <w:r>
              <w:rPr>
                <w:rFonts w:hint="eastAsia"/>
                <w:sz w:val="21"/>
                <w:szCs w:val="21"/>
                <w:lang w:val="zh-CN"/>
              </w:rPr>
              <w:t>4</w:t>
            </w:r>
          </w:p>
        </w:tc>
        <w:tc>
          <w:tcPr>
            <w:tcW w:w="1590" w:type="dxa"/>
            <w:vAlign w:val="center"/>
          </w:tcPr>
          <w:p w14:paraId="7EBF0763">
            <w:pPr>
              <w:spacing w:line="240" w:lineRule="auto"/>
              <w:jc w:val="center"/>
              <w:rPr>
                <w:rFonts w:hint="eastAsia"/>
                <w:sz w:val="21"/>
                <w:szCs w:val="21"/>
                <w:lang w:val="zh-CN"/>
              </w:rPr>
            </w:pPr>
            <w:r>
              <w:rPr>
                <w:rFonts w:hint="eastAsia"/>
                <w:sz w:val="21"/>
                <w:szCs w:val="21"/>
                <w:lang w:val="zh-CN"/>
              </w:rPr>
              <w:t>洪灾救援设施</w:t>
            </w:r>
          </w:p>
        </w:tc>
        <w:tc>
          <w:tcPr>
            <w:tcW w:w="3705" w:type="dxa"/>
            <w:vAlign w:val="center"/>
          </w:tcPr>
          <w:p w14:paraId="5790A972">
            <w:pPr>
              <w:spacing w:line="240" w:lineRule="auto"/>
              <w:jc w:val="center"/>
              <w:rPr>
                <w:rFonts w:hint="eastAsia"/>
                <w:sz w:val="21"/>
                <w:szCs w:val="21"/>
                <w:lang w:val="zh-CN"/>
              </w:rPr>
            </w:pPr>
            <w:r>
              <w:rPr>
                <w:rFonts w:hint="eastAsia"/>
                <w:sz w:val="21"/>
                <w:szCs w:val="21"/>
                <w:lang w:val="zh-CN"/>
              </w:rPr>
              <w:t>木竹杠、救生衣、编织袋、救生圈、麻绳等</w:t>
            </w:r>
          </w:p>
        </w:tc>
        <w:tc>
          <w:tcPr>
            <w:tcW w:w="1066" w:type="dxa"/>
            <w:vAlign w:val="center"/>
          </w:tcPr>
          <w:p w14:paraId="24DE67FB">
            <w:pPr>
              <w:spacing w:line="240" w:lineRule="auto"/>
              <w:jc w:val="center"/>
              <w:rPr>
                <w:rFonts w:hint="eastAsia"/>
                <w:sz w:val="21"/>
                <w:szCs w:val="21"/>
              </w:rPr>
            </w:pPr>
            <w:r>
              <w:rPr>
                <w:rFonts w:hint="eastAsia"/>
                <w:sz w:val="21"/>
                <w:szCs w:val="21"/>
              </w:rPr>
              <w:t>30套</w:t>
            </w:r>
          </w:p>
        </w:tc>
        <w:tc>
          <w:tcPr>
            <w:tcW w:w="1860" w:type="dxa"/>
            <w:vMerge w:val="continue"/>
            <w:vAlign w:val="center"/>
          </w:tcPr>
          <w:p w14:paraId="18F61615">
            <w:pPr>
              <w:spacing w:line="240" w:lineRule="auto"/>
              <w:jc w:val="center"/>
              <w:rPr>
                <w:rFonts w:hint="eastAsia"/>
                <w:sz w:val="21"/>
                <w:szCs w:val="21"/>
                <w:lang w:val="zh-CN"/>
              </w:rPr>
            </w:pPr>
          </w:p>
        </w:tc>
      </w:tr>
      <w:tr w14:paraId="34DC8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9" w:type="dxa"/>
            <w:vAlign w:val="center"/>
          </w:tcPr>
          <w:p w14:paraId="5CBB78F9">
            <w:pPr>
              <w:spacing w:line="240" w:lineRule="auto"/>
              <w:jc w:val="center"/>
              <w:rPr>
                <w:rFonts w:hint="eastAsia"/>
                <w:sz w:val="21"/>
                <w:szCs w:val="21"/>
                <w:lang w:val="zh-CN"/>
              </w:rPr>
            </w:pPr>
            <w:r>
              <w:rPr>
                <w:rFonts w:hint="eastAsia"/>
                <w:sz w:val="21"/>
                <w:szCs w:val="21"/>
                <w:lang w:val="zh-CN"/>
              </w:rPr>
              <w:t>5</w:t>
            </w:r>
          </w:p>
        </w:tc>
        <w:tc>
          <w:tcPr>
            <w:tcW w:w="1590" w:type="dxa"/>
            <w:vAlign w:val="center"/>
          </w:tcPr>
          <w:p w14:paraId="6354E6FE">
            <w:pPr>
              <w:spacing w:line="240" w:lineRule="auto"/>
              <w:jc w:val="center"/>
              <w:rPr>
                <w:rFonts w:hint="eastAsia"/>
                <w:sz w:val="21"/>
                <w:szCs w:val="21"/>
                <w:lang w:val="zh-CN"/>
              </w:rPr>
            </w:pPr>
            <w:r>
              <w:rPr>
                <w:rFonts w:hint="eastAsia"/>
                <w:sz w:val="21"/>
                <w:szCs w:val="21"/>
                <w:lang w:val="zh-CN"/>
              </w:rPr>
              <w:t>油品堵漏及处置器材</w:t>
            </w:r>
          </w:p>
        </w:tc>
        <w:tc>
          <w:tcPr>
            <w:tcW w:w="3705" w:type="dxa"/>
            <w:vAlign w:val="center"/>
          </w:tcPr>
          <w:p w14:paraId="7DE6CC72">
            <w:pPr>
              <w:spacing w:line="240" w:lineRule="auto"/>
              <w:jc w:val="center"/>
              <w:rPr>
                <w:rFonts w:hint="eastAsia"/>
                <w:sz w:val="21"/>
                <w:szCs w:val="21"/>
                <w:lang w:val="zh-CN"/>
              </w:rPr>
            </w:pPr>
            <w:r>
              <w:rPr>
                <w:rFonts w:hint="eastAsia"/>
                <w:sz w:val="21"/>
                <w:szCs w:val="21"/>
                <w:lang w:val="zh-CN"/>
              </w:rPr>
              <w:t>棉纱、捆扎带、堵漏胶带、专用扳手、吸油毡等</w:t>
            </w:r>
          </w:p>
        </w:tc>
        <w:tc>
          <w:tcPr>
            <w:tcW w:w="1066" w:type="dxa"/>
            <w:vAlign w:val="center"/>
          </w:tcPr>
          <w:p w14:paraId="42A05AAA">
            <w:pPr>
              <w:spacing w:line="240" w:lineRule="auto"/>
              <w:jc w:val="center"/>
              <w:rPr>
                <w:rFonts w:hint="eastAsia"/>
                <w:sz w:val="21"/>
                <w:szCs w:val="21"/>
              </w:rPr>
            </w:pPr>
            <w:r>
              <w:rPr>
                <w:rFonts w:hint="eastAsia"/>
                <w:sz w:val="21"/>
                <w:szCs w:val="21"/>
              </w:rPr>
              <w:t>30套</w:t>
            </w:r>
          </w:p>
        </w:tc>
        <w:tc>
          <w:tcPr>
            <w:tcW w:w="1860" w:type="dxa"/>
            <w:vMerge w:val="continue"/>
            <w:vAlign w:val="center"/>
          </w:tcPr>
          <w:p w14:paraId="073BE39B">
            <w:pPr>
              <w:spacing w:line="240" w:lineRule="auto"/>
              <w:jc w:val="center"/>
              <w:rPr>
                <w:rFonts w:hint="eastAsia"/>
                <w:sz w:val="21"/>
                <w:szCs w:val="21"/>
                <w:lang w:val="zh-CN"/>
              </w:rPr>
            </w:pPr>
          </w:p>
        </w:tc>
      </w:tr>
    </w:tbl>
    <w:p w14:paraId="288F0999">
      <w:pPr>
        <w:pStyle w:val="3"/>
      </w:pPr>
      <w:bookmarkStart w:id="353" w:name="_Toc2183"/>
      <w:bookmarkStart w:id="354" w:name="_Toc12469"/>
      <w:r>
        <w:rPr>
          <w:rFonts w:hint="eastAsia"/>
        </w:rPr>
        <w:t>5、</w:t>
      </w:r>
      <w:r>
        <w:t>环境应急专项经费调查</w:t>
      </w:r>
      <w:bookmarkEnd w:id="349"/>
      <w:bookmarkEnd w:id="350"/>
      <w:bookmarkEnd w:id="351"/>
      <w:bookmarkEnd w:id="352"/>
      <w:bookmarkEnd w:id="353"/>
      <w:bookmarkEnd w:id="354"/>
    </w:p>
    <w:p w14:paraId="340D7C7E">
      <w:pPr>
        <w:ind w:firstLine="480" w:firstLineChars="200"/>
        <w:rPr>
          <w:rFonts w:hint="default" w:eastAsia="宋体"/>
          <w:kern w:val="0"/>
          <w:lang w:val="en-US" w:eastAsia="zh-CN"/>
        </w:rPr>
      </w:pPr>
      <w:r>
        <w:t>应急经费</w:t>
      </w:r>
      <w:r>
        <w:rPr>
          <w:kern w:val="0"/>
        </w:rPr>
        <w:t>保障是在突发环境事件发生时迅速开展应急工作的前提保障，没有可靠的资金渠道和充足的应急经费，就无法保证有效开展应急工作和维护应急管理体系正常运转。县人民政府及相关部门，根据</w:t>
      </w:r>
      <w:r>
        <w:rPr>
          <w:rFonts w:hint="eastAsia"/>
        </w:rPr>
        <w:t>绥宁县关峡苗族乡兰溪水饮用水水源地保护区</w:t>
      </w:r>
      <w:r>
        <w:rPr>
          <w:kern w:val="0"/>
        </w:rPr>
        <w:t>突发环境事件应急需要，提出项目支出预算报县、市两级财政部门审批后执行，县、市两级财政部门应保障资金到位。</w:t>
      </w:r>
      <w:r>
        <w:rPr>
          <w:rFonts w:hint="eastAsia"/>
          <w:kern w:val="0"/>
          <w:u w:val="wave"/>
          <w:lang w:val="en-US" w:eastAsia="zh-CN"/>
        </w:rPr>
        <w:t>上一轮调查统计及应急预案编制花费约6万元，本轮调查统计及应急预案编制花费约6万元。</w:t>
      </w:r>
    </w:p>
    <w:p w14:paraId="28B23D83">
      <w:pPr>
        <w:widowControl/>
        <w:ind w:firstLine="480" w:firstLineChars="200"/>
        <w:rPr>
          <w:kern w:val="0"/>
        </w:rPr>
      </w:pPr>
      <w:r>
        <w:rPr>
          <w:kern w:val="0"/>
        </w:rPr>
        <w:t>鼓励</w:t>
      </w:r>
      <w:r>
        <w:rPr>
          <w:rFonts w:hint="eastAsia"/>
        </w:rPr>
        <w:t>绥宁县关峡苗族乡兰溪水饮用水水源地保护区</w:t>
      </w:r>
      <w:r>
        <w:rPr>
          <w:kern w:val="0"/>
        </w:rPr>
        <w:t>及周边的环境风险源单位投保环境污染责任保险。</w:t>
      </w:r>
    </w:p>
    <w:p w14:paraId="3783A694">
      <w:pPr>
        <w:pStyle w:val="3"/>
        <w:rPr>
          <w:rStyle w:val="54"/>
          <w:b w:val="0"/>
          <w:bCs w:val="0"/>
          <w:sz w:val="32"/>
        </w:rPr>
      </w:pPr>
      <w:bookmarkStart w:id="355" w:name="_Toc11016"/>
      <w:bookmarkStart w:id="356" w:name="_Toc485049333"/>
      <w:bookmarkStart w:id="357" w:name="_Toc30988"/>
      <w:bookmarkStart w:id="358" w:name="_Toc485049409"/>
      <w:bookmarkStart w:id="359" w:name="_Toc492841672"/>
      <w:bookmarkStart w:id="360" w:name="_Toc16161"/>
      <w:r>
        <w:rPr>
          <w:rStyle w:val="54"/>
          <w:rFonts w:hint="eastAsia"/>
          <w:b w:val="0"/>
          <w:bCs w:val="0"/>
          <w:sz w:val="32"/>
        </w:rPr>
        <w:t>6、</w:t>
      </w:r>
      <w:r>
        <w:rPr>
          <w:rStyle w:val="54"/>
          <w:b w:val="0"/>
          <w:bCs w:val="0"/>
          <w:sz w:val="32"/>
        </w:rPr>
        <w:t>应急资源调查结论</w:t>
      </w:r>
      <w:bookmarkEnd w:id="355"/>
      <w:bookmarkEnd w:id="356"/>
      <w:bookmarkEnd w:id="357"/>
      <w:bookmarkEnd w:id="358"/>
      <w:bookmarkEnd w:id="359"/>
      <w:bookmarkEnd w:id="360"/>
    </w:p>
    <w:p w14:paraId="6EFC6EE1">
      <w:pPr>
        <w:pStyle w:val="4"/>
      </w:pPr>
      <w:bookmarkStart w:id="361" w:name="_Toc29614"/>
      <w:bookmarkStart w:id="362" w:name="_Toc468093247"/>
      <w:bookmarkStart w:id="363" w:name="_Toc1238"/>
      <w:bookmarkStart w:id="364" w:name="_Toc23770"/>
      <w:bookmarkStart w:id="365" w:name="_Toc30399"/>
      <w:bookmarkStart w:id="366" w:name="_Toc20186"/>
      <w:bookmarkStart w:id="367" w:name="_Toc485049334"/>
      <w:bookmarkStart w:id="368" w:name="_Toc492841673"/>
      <w:bookmarkStart w:id="369" w:name="_Toc485049410"/>
      <w:bookmarkStart w:id="370" w:name="_Toc30398"/>
      <w:bookmarkStart w:id="371" w:name="_Toc2753"/>
      <w:bookmarkStart w:id="372" w:name="_Toc25644"/>
      <w:bookmarkStart w:id="373" w:name="_Toc23647"/>
      <w:r>
        <w:rPr>
          <w:rFonts w:hint="eastAsia"/>
        </w:rPr>
        <w:t>6</w:t>
      </w:r>
      <w:r>
        <w:t>.1 总体结论</w:t>
      </w:r>
      <w:bookmarkEnd w:id="361"/>
      <w:bookmarkEnd w:id="362"/>
      <w:bookmarkEnd w:id="363"/>
      <w:bookmarkEnd w:id="364"/>
      <w:bookmarkEnd w:id="365"/>
      <w:bookmarkEnd w:id="366"/>
      <w:bookmarkEnd w:id="367"/>
      <w:bookmarkEnd w:id="368"/>
      <w:bookmarkEnd w:id="369"/>
      <w:bookmarkEnd w:id="370"/>
      <w:bookmarkEnd w:id="371"/>
      <w:bookmarkEnd w:id="372"/>
      <w:bookmarkEnd w:id="373"/>
    </w:p>
    <w:p w14:paraId="3ECE575E">
      <w:pPr>
        <w:ind w:firstLine="480" w:firstLineChars="200"/>
        <w:rPr>
          <w:kern w:val="0"/>
        </w:rPr>
      </w:pPr>
      <w:r>
        <w:rPr>
          <w:kern w:val="0"/>
        </w:rPr>
        <w:t>本次应急资源调查从“人、财、物”三方面进行了调查：</w:t>
      </w:r>
    </w:p>
    <w:p w14:paraId="24C7F452">
      <w:pPr>
        <w:ind w:firstLine="480" w:firstLineChars="200"/>
        <w:rPr>
          <w:kern w:val="0"/>
        </w:rPr>
      </w:pPr>
      <w:r>
        <w:t>绥宁县人民政府</w:t>
      </w:r>
      <w:r>
        <w:rPr>
          <w:kern w:val="0"/>
        </w:rPr>
        <w:t>针对</w:t>
      </w:r>
      <w:r>
        <w:rPr>
          <w:rFonts w:hint="eastAsia"/>
        </w:rPr>
        <w:t>绥宁县关峡苗族乡兰溪水饮用水水源地保护区</w:t>
      </w:r>
      <w:r>
        <w:rPr>
          <w:kern w:val="0"/>
        </w:rPr>
        <w:t>突发环境事件已组建了应急救援队伍。</w:t>
      </w:r>
    </w:p>
    <w:p w14:paraId="20EA04E4">
      <w:pPr>
        <w:ind w:firstLine="480" w:firstLineChars="200"/>
        <w:rPr>
          <w:kern w:val="0"/>
        </w:rPr>
      </w:pPr>
      <w:r>
        <w:rPr>
          <w:kern w:val="0"/>
        </w:rPr>
        <w:t>由于饮用水源保护区突发环境事件涉及的应急小组部门较多，而</w:t>
      </w:r>
      <w:r>
        <w:t>县人民政府</w:t>
      </w:r>
      <w:r>
        <w:rPr>
          <w:kern w:val="0"/>
        </w:rPr>
        <w:t>自身的应急资源又是有限的，</w:t>
      </w:r>
      <w:r>
        <w:t>县人民政府</w:t>
      </w:r>
      <w:r>
        <w:rPr>
          <w:kern w:val="0"/>
        </w:rPr>
        <w:t>应通过调查摸清可依托的互助单位与政府配套的公共应急资源及队伍，突发环境事件发生时，如果能及时有效的利用好这些资源，对突发环境事件的控制是非常有利的。</w:t>
      </w:r>
    </w:p>
    <w:p w14:paraId="5D09AC09">
      <w:pPr>
        <w:ind w:firstLine="480" w:firstLineChars="200"/>
        <w:rPr>
          <w:kern w:val="0"/>
        </w:rPr>
      </w:pPr>
      <w:r>
        <w:rPr>
          <w:kern w:val="0"/>
        </w:rPr>
        <w:t>此外，为了使饮用水源保护区突发环境事件发生时各项应急救援工作有序开展，应急救援经费也是必不可少的，为此本预案还制定了专项经费保障措施，只要落实好措施是能够满足事故应急要求的。</w:t>
      </w:r>
    </w:p>
    <w:p w14:paraId="0D5167D8">
      <w:pPr>
        <w:pStyle w:val="4"/>
      </w:pPr>
      <w:bookmarkStart w:id="374" w:name="_Toc24982"/>
      <w:bookmarkStart w:id="375" w:name="_Toc485049411"/>
      <w:bookmarkStart w:id="376" w:name="_Toc1502"/>
      <w:bookmarkStart w:id="377" w:name="_Toc9394"/>
      <w:bookmarkStart w:id="378" w:name="_Toc492841674"/>
      <w:bookmarkStart w:id="379" w:name="_Toc31855"/>
      <w:bookmarkStart w:id="380" w:name="_Toc485049335"/>
      <w:bookmarkStart w:id="381" w:name="_Toc21207"/>
      <w:bookmarkStart w:id="382" w:name="_Toc30266"/>
      <w:bookmarkStart w:id="383" w:name="_Toc26703"/>
      <w:bookmarkStart w:id="384" w:name="_Toc468093248"/>
      <w:bookmarkStart w:id="385" w:name="_Toc24289"/>
      <w:bookmarkStart w:id="386" w:name="_Toc24166"/>
      <w:r>
        <w:rPr>
          <w:rFonts w:hint="eastAsia"/>
        </w:rPr>
        <w:t>6</w:t>
      </w:r>
      <w:r>
        <w:t>.2 建议完善应急资源的配置</w:t>
      </w:r>
      <w:bookmarkEnd w:id="374"/>
      <w:bookmarkEnd w:id="375"/>
      <w:bookmarkEnd w:id="376"/>
      <w:bookmarkEnd w:id="377"/>
      <w:bookmarkEnd w:id="378"/>
      <w:bookmarkEnd w:id="379"/>
      <w:bookmarkEnd w:id="380"/>
      <w:bookmarkEnd w:id="381"/>
      <w:bookmarkEnd w:id="382"/>
      <w:bookmarkEnd w:id="383"/>
      <w:bookmarkEnd w:id="384"/>
      <w:bookmarkEnd w:id="385"/>
      <w:bookmarkEnd w:id="386"/>
    </w:p>
    <w:p w14:paraId="6892041D">
      <w:pPr>
        <w:spacing w:line="240" w:lineRule="auto"/>
        <w:ind w:firstLine="480" w:firstLineChars="200"/>
        <w:rPr>
          <w:kern w:val="0"/>
        </w:rPr>
      </w:pPr>
      <w:r>
        <w:rPr>
          <w:kern w:val="0"/>
        </w:rPr>
        <w:t>通过对目前已有的应急物资、装备和应急队伍分析的基础上，建议进一步完善内容如下：</w:t>
      </w:r>
    </w:p>
    <w:p w14:paraId="6196EB41">
      <w:pPr>
        <w:ind w:firstLine="480" w:firstLineChars="200"/>
        <w:rPr>
          <w:kern w:val="0"/>
        </w:rPr>
      </w:pPr>
      <w:r>
        <w:rPr>
          <w:kern w:val="0"/>
        </w:rPr>
        <w:t>1、补齐应急物资，主要包括应急人员安全防护物资、饮用水源保护区风险防范措施，见表2-11。建议及时配备相关物资；个人防护用品建议一备一用，确保突发事故时可第一时间现场救援，特别是危险化学品泄漏的应急物资需要及时配备；</w:t>
      </w:r>
    </w:p>
    <w:p w14:paraId="1F335461">
      <w:pPr>
        <w:ind w:firstLine="480" w:firstLineChars="200"/>
        <w:rPr>
          <w:kern w:val="0"/>
        </w:rPr>
      </w:pPr>
      <w:r>
        <w:rPr>
          <w:kern w:val="0"/>
        </w:rPr>
        <w:t>2、建立应急物资、应急装备设施的维护和保养的台账和领用记录等相关的规章制度；</w:t>
      </w:r>
    </w:p>
    <w:p w14:paraId="32BD5B90">
      <w:pPr>
        <w:ind w:firstLine="480" w:firstLineChars="200"/>
        <w:rPr>
          <w:kern w:val="0"/>
        </w:rPr>
      </w:pPr>
      <w:r>
        <w:rPr>
          <w:kern w:val="0"/>
        </w:rPr>
        <w:t>3、加强应急队伍的突发事故演练和培训，使各小队负责人和成员具备相应的应急技能；</w:t>
      </w:r>
    </w:p>
    <w:p w14:paraId="106DB4A2">
      <w:pPr>
        <w:ind w:firstLine="480" w:firstLineChars="200"/>
        <w:rPr>
          <w:kern w:val="0"/>
        </w:rPr>
      </w:pPr>
      <w:r>
        <w:rPr>
          <w:kern w:val="0"/>
        </w:rPr>
        <w:t>4、</w:t>
      </w:r>
      <w:r>
        <w:rPr>
          <w:rFonts w:hint="eastAsia"/>
          <w:kern w:val="0"/>
        </w:rPr>
        <w:t>完善</w:t>
      </w:r>
      <w:r>
        <w:rPr>
          <w:kern w:val="0"/>
        </w:rPr>
        <w:t>应急专家库名单。</w:t>
      </w:r>
    </w:p>
    <w:p w14:paraId="3D2EF35D">
      <w:pPr>
        <w:ind w:firstLine="480" w:firstLineChars="200"/>
        <w:rPr>
          <w:kern w:val="0"/>
        </w:rPr>
      </w:pPr>
      <w:r>
        <w:rPr>
          <w:kern w:val="0"/>
        </w:rPr>
        <w:t>由于各类防护设施、应急物资、救援人员等均处于动态变化过程中，因此，</w:t>
      </w:r>
      <w:r>
        <w:t>县政府</w:t>
      </w:r>
      <w:r>
        <w:rPr>
          <w:kern w:val="0"/>
        </w:rPr>
        <w:t>根据《</w:t>
      </w:r>
      <w:r>
        <w:rPr>
          <w:rFonts w:hint="eastAsia"/>
        </w:rPr>
        <w:t>绥宁县关峡苗族乡兰溪水饮用水水源地保护区</w:t>
      </w:r>
      <w:r>
        <w:rPr>
          <w:kern w:val="0"/>
        </w:rPr>
        <w:t>突发环境事件应急预案》的要求，日常应对应急物资、装备进行有效的检查与维护保养，对应急人员进行安全教育培训，加强应急救援培训和演练工作，确保在紧急情况下，应急装备、应急物资、应急队伍的有效性。</w:t>
      </w:r>
    </w:p>
    <w:p w14:paraId="628086A6">
      <w:pPr>
        <w:ind w:firstLine="480" w:firstLineChars="200"/>
        <w:rPr>
          <w:kern w:val="0"/>
        </w:rPr>
      </w:pPr>
    </w:p>
    <w:p w14:paraId="4A36F869">
      <w:pPr>
        <w:ind w:firstLine="480" w:firstLineChars="200"/>
        <w:rPr>
          <w:kern w:val="0"/>
        </w:rPr>
      </w:pPr>
    </w:p>
    <w:p w14:paraId="6832CE69">
      <w:pPr>
        <w:ind w:firstLine="480" w:firstLineChars="200"/>
        <w:rPr>
          <w:kern w:val="0"/>
        </w:rPr>
      </w:pPr>
    </w:p>
    <w:p w14:paraId="1569E630">
      <w:pPr>
        <w:ind w:firstLine="480" w:firstLineChars="200"/>
        <w:rPr>
          <w:kern w:val="0"/>
        </w:rPr>
      </w:pPr>
    </w:p>
    <w:p w14:paraId="471CC3A4">
      <w:pPr>
        <w:ind w:firstLine="480" w:firstLineChars="200"/>
        <w:rPr>
          <w:kern w:val="0"/>
        </w:rPr>
      </w:pPr>
    </w:p>
    <w:p w14:paraId="63A9838D">
      <w:pPr>
        <w:ind w:firstLine="480" w:firstLineChars="200"/>
        <w:rPr>
          <w:kern w:val="0"/>
        </w:rPr>
      </w:pPr>
    </w:p>
    <w:p w14:paraId="489822B4">
      <w:pPr>
        <w:ind w:firstLine="480" w:firstLineChars="200"/>
        <w:rPr>
          <w:kern w:val="0"/>
        </w:rPr>
      </w:pPr>
    </w:p>
    <w:p w14:paraId="224FFCFC">
      <w:pPr>
        <w:ind w:firstLine="480" w:firstLineChars="200"/>
        <w:rPr>
          <w:kern w:val="0"/>
        </w:rPr>
      </w:pPr>
    </w:p>
    <w:p w14:paraId="709F714F">
      <w:pPr>
        <w:ind w:firstLine="480" w:firstLineChars="200"/>
        <w:rPr>
          <w:kern w:val="0"/>
        </w:rPr>
      </w:pPr>
    </w:p>
    <w:p w14:paraId="601372B8">
      <w:pPr>
        <w:ind w:firstLine="480" w:firstLineChars="200"/>
        <w:rPr>
          <w:kern w:val="0"/>
        </w:rPr>
      </w:pPr>
    </w:p>
    <w:p w14:paraId="4AFB46B8">
      <w:pPr>
        <w:ind w:firstLine="480" w:firstLineChars="200"/>
        <w:rPr>
          <w:kern w:val="0"/>
        </w:rPr>
      </w:pPr>
    </w:p>
    <w:p w14:paraId="3CBBFF25">
      <w:pPr>
        <w:ind w:firstLine="480" w:firstLineChars="200"/>
        <w:rPr>
          <w:kern w:val="0"/>
        </w:rPr>
      </w:pPr>
    </w:p>
    <w:p w14:paraId="4A09CF79">
      <w:pPr>
        <w:ind w:firstLine="480" w:firstLineChars="200"/>
        <w:rPr>
          <w:kern w:val="0"/>
        </w:rPr>
      </w:pPr>
    </w:p>
    <w:p w14:paraId="0BF166DF">
      <w:pPr>
        <w:ind w:firstLine="480" w:firstLineChars="200"/>
        <w:rPr>
          <w:kern w:val="0"/>
        </w:rPr>
      </w:pPr>
    </w:p>
    <w:p w14:paraId="035D5327">
      <w:pPr>
        <w:ind w:firstLine="480" w:firstLineChars="200"/>
        <w:rPr>
          <w:kern w:val="0"/>
        </w:rPr>
      </w:pPr>
    </w:p>
    <w:p w14:paraId="49E727C5">
      <w:pPr>
        <w:ind w:firstLine="480" w:firstLineChars="200"/>
        <w:rPr>
          <w:kern w:val="0"/>
        </w:rPr>
      </w:pPr>
    </w:p>
    <w:p w14:paraId="48D2186A">
      <w:pPr>
        <w:ind w:firstLine="480" w:firstLineChars="200"/>
        <w:rPr>
          <w:kern w:val="0"/>
        </w:rPr>
      </w:pPr>
    </w:p>
    <w:p w14:paraId="62CB6848">
      <w:pPr>
        <w:ind w:firstLine="480" w:firstLineChars="200"/>
        <w:rPr>
          <w:kern w:val="0"/>
        </w:rPr>
      </w:pPr>
    </w:p>
    <w:p w14:paraId="35B76D97">
      <w:pPr>
        <w:ind w:firstLine="480" w:firstLineChars="200"/>
        <w:rPr>
          <w:kern w:val="0"/>
        </w:rPr>
      </w:pPr>
    </w:p>
    <w:p w14:paraId="207C92DB">
      <w:pPr>
        <w:ind w:firstLine="480" w:firstLineChars="200"/>
        <w:rPr>
          <w:kern w:val="0"/>
        </w:rPr>
      </w:pPr>
    </w:p>
    <w:p w14:paraId="0C5DFF76">
      <w:pPr>
        <w:ind w:firstLine="480" w:firstLineChars="200"/>
        <w:rPr>
          <w:kern w:val="0"/>
        </w:rPr>
      </w:pPr>
    </w:p>
    <w:p w14:paraId="721F1A5B">
      <w:pPr>
        <w:ind w:firstLine="480" w:firstLineChars="200"/>
        <w:rPr>
          <w:kern w:val="0"/>
        </w:rPr>
      </w:pPr>
    </w:p>
    <w:p w14:paraId="3F235C9C">
      <w:pPr>
        <w:ind w:firstLine="480" w:firstLineChars="200"/>
        <w:rPr>
          <w:kern w:val="0"/>
        </w:rPr>
      </w:pPr>
    </w:p>
    <w:p w14:paraId="0D9D8A71">
      <w:pPr>
        <w:pStyle w:val="16"/>
      </w:pPr>
    </w:p>
    <w:p w14:paraId="22C9ACCC">
      <w:pPr>
        <w:rPr>
          <w:kern w:val="0"/>
        </w:rPr>
      </w:pPr>
    </w:p>
    <w:p w14:paraId="25A4DABF">
      <w:pPr>
        <w:adjustRightInd w:val="0"/>
        <w:snapToGrid w:val="0"/>
        <w:spacing w:line="348" w:lineRule="auto"/>
        <w:jc w:val="center"/>
        <w:rPr>
          <w:rFonts w:eastAsia="仿宋_GB2312"/>
          <w:b/>
          <w:sz w:val="30"/>
          <w:szCs w:val="30"/>
        </w:rPr>
      </w:pPr>
      <w:r>
        <w:rPr>
          <w:rFonts w:hint="eastAsia" w:ascii="黑体" w:hAnsi="黑体" w:eastAsia="黑体"/>
          <w:sz w:val="30"/>
          <w:szCs w:val="30"/>
        </w:rPr>
        <w:t>企事业单位环境应急资源调查报告表</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90"/>
        <w:gridCol w:w="2274"/>
        <w:gridCol w:w="2122"/>
        <w:gridCol w:w="2274"/>
      </w:tblGrid>
      <w:tr w14:paraId="4AF25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14:paraId="4890EA60">
            <w:pPr>
              <w:adjustRightInd w:val="0"/>
              <w:snapToGrid w:val="0"/>
              <w:spacing w:line="240" w:lineRule="auto"/>
              <w:rPr>
                <w:rFonts w:eastAsia="黑体"/>
                <w:sz w:val="21"/>
                <w:szCs w:val="21"/>
              </w:rPr>
            </w:pPr>
            <w:r>
              <w:rPr>
                <w:rFonts w:eastAsia="黑体"/>
                <w:sz w:val="21"/>
                <w:szCs w:val="21"/>
              </w:rPr>
              <w:t>1.调查概述</w:t>
            </w:r>
          </w:p>
        </w:tc>
      </w:tr>
      <w:tr w14:paraId="3690C9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vAlign w:val="center"/>
          </w:tcPr>
          <w:p w14:paraId="00416A43">
            <w:pPr>
              <w:adjustRightInd w:val="0"/>
              <w:snapToGrid w:val="0"/>
              <w:spacing w:line="240" w:lineRule="auto"/>
              <w:jc w:val="center"/>
              <w:rPr>
                <w:sz w:val="21"/>
                <w:szCs w:val="21"/>
              </w:rPr>
            </w:pPr>
            <w:r>
              <w:rPr>
                <w:sz w:val="21"/>
                <w:szCs w:val="21"/>
              </w:rPr>
              <w:t>调查开始时间</w:t>
            </w:r>
          </w:p>
        </w:tc>
        <w:tc>
          <w:tcPr>
            <w:tcW w:w="2274" w:type="dxa"/>
            <w:vAlign w:val="center"/>
          </w:tcPr>
          <w:p w14:paraId="0989CA72">
            <w:pPr>
              <w:adjustRightInd w:val="0"/>
              <w:snapToGrid w:val="0"/>
              <w:spacing w:line="240" w:lineRule="auto"/>
              <w:jc w:val="center"/>
              <w:rPr>
                <w:sz w:val="21"/>
                <w:szCs w:val="21"/>
              </w:rPr>
            </w:pPr>
            <w:r>
              <w:rPr>
                <w:sz w:val="21"/>
                <w:szCs w:val="21"/>
              </w:rPr>
              <w:t>2023年</w:t>
            </w:r>
            <w:r>
              <w:rPr>
                <w:rFonts w:hint="eastAsia"/>
                <w:sz w:val="21"/>
                <w:szCs w:val="21"/>
              </w:rPr>
              <w:t>11</w:t>
            </w:r>
            <w:r>
              <w:rPr>
                <w:sz w:val="21"/>
                <w:szCs w:val="21"/>
              </w:rPr>
              <w:t>月</w:t>
            </w:r>
            <w:r>
              <w:rPr>
                <w:rFonts w:hint="eastAsia"/>
                <w:sz w:val="21"/>
                <w:szCs w:val="21"/>
              </w:rPr>
              <w:t>10</w:t>
            </w:r>
            <w:r>
              <w:rPr>
                <w:sz w:val="21"/>
                <w:szCs w:val="21"/>
              </w:rPr>
              <w:t>日</w:t>
            </w:r>
          </w:p>
        </w:tc>
        <w:tc>
          <w:tcPr>
            <w:tcW w:w="2122" w:type="dxa"/>
            <w:vAlign w:val="center"/>
          </w:tcPr>
          <w:p w14:paraId="64CD58A8">
            <w:pPr>
              <w:adjustRightInd w:val="0"/>
              <w:snapToGrid w:val="0"/>
              <w:spacing w:line="240" w:lineRule="auto"/>
              <w:jc w:val="center"/>
              <w:rPr>
                <w:sz w:val="21"/>
                <w:szCs w:val="21"/>
              </w:rPr>
            </w:pPr>
            <w:r>
              <w:rPr>
                <w:sz w:val="21"/>
                <w:szCs w:val="21"/>
              </w:rPr>
              <w:t>调查结束时间</w:t>
            </w:r>
          </w:p>
        </w:tc>
        <w:tc>
          <w:tcPr>
            <w:tcW w:w="2274" w:type="dxa"/>
            <w:vAlign w:val="center"/>
          </w:tcPr>
          <w:p w14:paraId="357CE906">
            <w:pPr>
              <w:adjustRightInd w:val="0"/>
              <w:snapToGrid w:val="0"/>
              <w:spacing w:line="240" w:lineRule="auto"/>
              <w:rPr>
                <w:sz w:val="21"/>
                <w:szCs w:val="21"/>
              </w:rPr>
            </w:pPr>
            <w:r>
              <w:rPr>
                <w:sz w:val="21"/>
                <w:szCs w:val="21"/>
              </w:rPr>
              <w:t xml:space="preserve">  2023年</w:t>
            </w:r>
            <w:r>
              <w:rPr>
                <w:rFonts w:hint="eastAsia"/>
                <w:sz w:val="21"/>
                <w:szCs w:val="21"/>
              </w:rPr>
              <w:t>11</w:t>
            </w:r>
            <w:r>
              <w:rPr>
                <w:sz w:val="21"/>
                <w:szCs w:val="21"/>
              </w:rPr>
              <w:t>月</w:t>
            </w:r>
            <w:r>
              <w:rPr>
                <w:rFonts w:hint="eastAsia"/>
                <w:sz w:val="21"/>
                <w:szCs w:val="21"/>
              </w:rPr>
              <w:t>30</w:t>
            </w:r>
            <w:r>
              <w:rPr>
                <w:sz w:val="21"/>
                <w:szCs w:val="21"/>
              </w:rPr>
              <w:t>日</w:t>
            </w:r>
          </w:p>
        </w:tc>
      </w:tr>
      <w:tr w14:paraId="0D017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vAlign w:val="center"/>
          </w:tcPr>
          <w:p w14:paraId="6F67AFA0">
            <w:pPr>
              <w:adjustRightInd w:val="0"/>
              <w:snapToGrid w:val="0"/>
              <w:spacing w:line="240" w:lineRule="auto"/>
              <w:jc w:val="center"/>
              <w:rPr>
                <w:sz w:val="21"/>
                <w:szCs w:val="21"/>
              </w:rPr>
            </w:pPr>
            <w:r>
              <w:rPr>
                <w:sz w:val="21"/>
                <w:szCs w:val="21"/>
              </w:rPr>
              <w:t>调查负责人姓名</w:t>
            </w:r>
          </w:p>
        </w:tc>
        <w:tc>
          <w:tcPr>
            <w:tcW w:w="2274" w:type="dxa"/>
            <w:vAlign w:val="center"/>
          </w:tcPr>
          <w:p w14:paraId="215A52D3">
            <w:pPr>
              <w:adjustRightInd w:val="0"/>
              <w:snapToGrid w:val="0"/>
              <w:spacing w:line="240" w:lineRule="auto"/>
              <w:jc w:val="center"/>
              <w:rPr>
                <w:sz w:val="21"/>
                <w:szCs w:val="21"/>
              </w:rPr>
            </w:pPr>
            <w:r>
              <w:fldChar w:fldCharType="begin"/>
            </w:r>
            <w:r>
              <w:instrText xml:space="preserve"> HYPERLINK "javascript:;" </w:instrText>
            </w:r>
            <w:r>
              <w:fldChar w:fldCharType="separate"/>
            </w:r>
            <w:r>
              <w:rPr>
                <w:sz w:val="21"/>
                <w:szCs w:val="21"/>
              </w:rPr>
              <w:t>唐小芳</w:t>
            </w:r>
            <w:r>
              <w:rPr>
                <w:sz w:val="21"/>
                <w:szCs w:val="21"/>
              </w:rPr>
              <w:fldChar w:fldCharType="end"/>
            </w:r>
          </w:p>
        </w:tc>
        <w:tc>
          <w:tcPr>
            <w:tcW w:w="2122" w:type="dxa"/>
            <w:vAlign w:val="center"/>
          </w:tcPr>
          <w:p w14:paraId="737315DD">
            <w:pPr>
              <w:adjustRightInd w:val="0"/>
              <w:snapToGrid w:val="0"/>
              <w:spacing w:line="240" w:lineRule="auto"/>
              <w:jc w:val="center"/>
              <w:rPr>
                <w:sz w:val="21"/>
                <w:szCs w:val="21"/>
              </w:rPr>
            </w:pPr>
            <w:r>
              <w:rPr>
                <w:sz w:val="21"/>
                <w:szCs w:val="21"/>
              </w:rPr>
              <w:t>调查联系人/电话</w:t>
            </w:r>
          </w:p>
        </w:tc>
        <w:tc>
          <w:tcPr>
            <w:tcW w:w="2274" w:type="dxa"/>
            <w:vAlign w:val="center"/>
          </w:tcPr>
          <w:p w14:paraId="1B08FDAB">
            <w:pPr>
              <w:adjustRightInd w:val="0"/>
              <w:snapToGrid w:val="0"/>
              <w:spacing w:line="240" w:lineRule="auto"/>
              <w:jc w:val="center"/>
              <w:rPr>
                <w:sz w:val="21"/>
                <w:szCs w:val="21"/>
              </w:rPr>
            </w:pPr>
            <w:r>
              <w:rPr>
                <w:rFonts w:hint="eastAsia"/>
                <w:sz w:val="21"/>
                <w:szCs w:val="21"/>
              </w:rPr>
              <w:t>李永刚</w:t>
            </w:r>
          </w:p>
        </w:tc>
      </w:tr>
      <w:tr w14:paraId="2893F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90" w:type="dxa"/>
            <w:vAlign w:val="center"/>
          </w:tcPr>
          <w:p w14:paraId="08900BCC">
            <w:pPr>
              <w:adjustRightInd w:val="0"/>
              <w:snapToGrid w:val="0"/>
              <w:spacing w:line="240" w:lineRule="auto"/>
              <w:jc w:val="center"/>
              <w:rPr>
                <w:sz w:val="21"/>
                <w:szCs w:val="21"/>
              </w:rPr>
            </w:pPr>
            <w:r>
              <w:rPr>
                <w:sz w:val="21"/>
                <w:szCs w:val="21"/>
              </w:rPr>
              <w:t>调查过程</w:t>
            </w:r>
          </w:p>
        </w:tc>
        <w:tc>
          <w:tcPr>
            <w:tcW w:w="6670" w:type="dxa"/>
            <w:gridSpan w:val="3"/>
            <w:vAlign w:val="center"/>
          </w:tcPr>
          <w:p w14:paraId="78E88FCC">
            <w:pPr>
              <w:adjustRightInd w:val="0"/>
              <w:snapToGrid w:val="0"/>
              <w:spacing w:line="240" w:lineRule="auto"/>
              <w:rPr>
                <w:sz w:val="21"/>
                <w:szCs w:val="21"/>
              </w:rPr>
            </w:pPr>
            <w:r>
              <w:rPr>
                <w:sz w:val="21"/>
                <w:szCs w:val="21"/>
              </w:rPr>
              <w:t>由</w:t>
            </w:r>
            <w:r>
              <w:rPr>
                <w:rFonts w:hint="eastAsia"/>
                <w:sz w:val="21"/>
                <w:szCs w:val="21"/>
              </w:rPr>
              <w:t>邵阳市生态环境局绥宁分局</w:t>
            </w:r>
            <w:r>
              <w:rPr>
                <w:sz w:val="21"/>
                <w:szCs w:val="21"/>
              </w:rPr>
              <w:t>发布应急物资调查公告，制定调查方案，组织相关调查人员参加培训，以熟悉调查内容、程序并掌握填写调查表的方法。</w:t>
            </w:r>
            <w:r>
              <w:rPr>
                <w:rFonts w:hint="eastAsia"/>
                <w:sz w:val="21"/>
                <w:szCs w:val="21"/>
              </w:rPr>
              <w:t>分局人员</w:t>
            </w:r>
            <w:r>
              <w:rPr>
                <w:sz w:val="21"/>
                <w:szCs w:val="21"/>
              </w:rPr>
              <w:t>针对各应急物资放置点逐一调查和统计，并做详实的记录，并将统计结果汇报应急办负责人。由应急办负责人进行数据审核</w:t>
            </w:r>
            <w:r>
              <w:rPr>
                <w:rFonts w:hint="eastAsia"/>
                <w:sz w:val="21"/>
                <w:szCs w:val="21"/>
              </w:rPr>
              <w:t>。应急办负责人集中收集各项调查结果，将采集的各项信息进行汇总，同步录入数据档案库，利用统计归纳方法分析完好的、损坏的及缺乏的物资，并将损坏的物资更换为完好物资，将缺乏的物资进行补足。</w:t>
            </w:r>
          </w:p>
        </w:tc>
      </w:tr>
      <w:tr w14:paraId="71E24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14:paraId="29284D12">
            <w:pPr>
              <w:adjustRightInd w:val="0"/>
              <w:snapToGrid w:val="0"/>
              <w:spacing w:line="240" w:lineRule="auto"/>
              <w:rPr>
                <w:b/>
                <w:sz w:val="21"/>
                <w:szCs w:val="21"/>
              </w:rPr>
            </w:pPr>
            <w:r>
              <w:rPr>
                <w:rFonts w:eastAsia="黑体"/>
                <w:sz w:val="21"/>
                <w:szCs w:val="21"/>
              </w:rPr>
              <w:t>2.调查结果</w:t>
            </w:r>
          </w:p>
        </w:tc>
      </w:tr>
      <w:tr w14:paraId="391ED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2390" w:type="dxa"/>
            <w:vAlign w:val="center"/>
          </w:tcPr>
          <w:p w14:paraId="06A5442D">
            <w:pPr>
              <w:adjustRightInd w:val="0"/>
              <w:snapToGrid w:val="0"/>
              <w:spacing w:line="288" w:lineRule="auto"/>
              <w:rPr>
                <w:sz w:val="21"/>
                <w:szCs w:val="21"/>
              </w:rPr>
            </w:pPr>
            <w:r>
              <w:rPr>
                <w:sz w:val="21"/>
                <w:szCs w:val="21"/>
              </w:rPr>
              <w:t>应急资源情况</w:t>
            </w:r>
          </w:p>
        </w:tc>
        <w:tc>
          <w:tcPr>
            <w:tcW w:w="6670" w:type="dxa"/>
            <w:gridSpan w:val="3"/>
            <w:vAlign w:val="center"/>
          </w:tcPr>
          <w:p w14:paraId="22BBF5A2">
            <w:pPr>
              <w:adjustRightInd w:val="0"/>
              <w:snapToGrid w:val="0"/>
              <w:spacing w:line="288" w:lineRule="auto"/>
              <w:rPr>
                <w:sz w:val="21"/>
                <w:szCs w:val="21"/>
              </w:rPr>
            </w:pPr>
            <w:r>
              <w:rPr>
                <w:sz w:val="21"/>
                <w:szCs w:val="21"/>
              </w:rPr>
              <w:t>资源品种：</w:t>
            </w:r>
            <w:r>
              <w:rPr>
                <w:sz w:val="21"/>
                <w:szCs w:val="21"/>
                <w:u w:val="single"/>
              </w:rPr>
              <w:t xml:space="preserve"> </w:t>
            </w:r>
            <w:r>
              <w:rPr>
                <w:rFonts w:hint="eastAsia"/>
                <w:sz w:val="21"/>
                <w:szCs w:val="21"/>
                <w:u w:val="single"/>
              </w:rPr>
              <w:t>27</w:t>
            </w:r>
            <w:r>
              <w:rPr>
                <w:sz w:val="21"/>
                <w:szCs w:val="21"/>
                <w:u w:val="single"/>
              </w:rPr>
              <w:t xml:space="preserve"> </w:t>
            </w:r>
            <w:r>
              <w:rPr>
                <w:sz w:val="21"/>
                <w:szCs w:val="21"/>
              </w:rPr>
              <w:t>种；</w:t>
            </w:r>
          </w:p>
          <w:p w14:paraId="29633CE8">
            <w:pPr>
              <w:adjustRightInd w:val="0"/>
              <w:snapToGrid w:val="0"/>
              <w:spacing w:line="288" w:lineRule="auto"/>
              <w:rPr>
                <w:sz w:val="21"/>
                <w:szCs w:val="21"/>
              </w:rPr>
            </w:pPr>
            <w:r>
              <w:rPr>
                <w:sz w:val="21"/>
                <w:szCs w:val="21"/>
              </w:rPr>
              <w:t>是否有外部环境应急支持单位：</w:t>
            </w:r>
            <w:r>
              <w:rPr>
                <w:rFonts w:hint="eastAsia"/>
                <w:sz w:val="21"/>
                <w:szCs w:val="21"/>
              </w:rPr>
              <w:t>☑</w:t>
            </w:r>
            <w:r>
              <w:rPr>
                <w:sz w:val="21"/>
                <w:szCs w:val="21"/>
              </w:rPr>
              <w:t xml:space="preserve">有, </w:t>
            </w:r>
            <w:r>
              <w:rPr>
                <w:sz w:val="21"/>
                <w:szCs w:val="21"/>
                <w:u w:val="single"/>
              </w:rPr>
              <w:t xml:space="preserve"> </w:t>
            </w:r>
            <w:r>
              <w:rPr>
                <w:rFonts w:hint="eastAsia"/>
                <w:sz w:val="21"/>
                <w:szCs w:val="21"/>
                <w:u w:val="single"/>
              </w:rPr>
              <w:t>7</w:t>
            </w:r>
            <w:r>
              <w:rPr>
                <w:sz w:val="21"/>
                <w:szCs w:val="21"/>
                <w:u w:val="single"/>
              </w:rPr>
              <w:t xml:space="preserve"> </w:t>
            </w:r>
            <w:r>
              <w:rPr>
                <w:sz w:val="21"/>
                <w:szCs w:val="21"/>
              </w:rPr>
              <w:t>家；□无</w:t>
            </w:r>
          </w:p>
        </w:tc>
      </w:tr>
      <w:tr w14:paraId="43788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14:paraId="4511963E">
            <w:pPr>
              <w:adjustRightInd w:val="0"/>
              <w:snapToGrid w:val="0"/>
              <w:spacing w:line="240" w:lineRule="auto"/>
              <w:rPr>
                <w:b/>
                <w:sz w:val="21"/>
                <w:szCs w:val="21"/>
              </w:rPr>
            </w:pPr>
            <w:r>
              <w:rPr>
                <w:rFonts w:eastAsia="黑体"/>
                <w:sz w:val="21"/>
                <w:szCs w:val="21"/>
              </w:rPr>
              <w:t>3.调查质量控制与管理</w:t>
            </w:r>
          </w:p>
        </w:tc>
      </w:tr>
      <w:tr w14:paraId="7AC4F0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9060" w:type="dxa"/>
            <w:gridSpan w:val="4"/>
            <w:vAlign w:val="center"/>
          </w:tcPr>
          <w:p w14:paraId="0A15FE26">
            <w:pPr>
              <w:adjustRightInd w:val="0"/>
              <w:snapToGrid w:val="0"/>
              <w:spacing w:line="288" w:lineRule="auto"/>
              <w:rPr>
                <w:sz w:val="21"/>
                <w:szCs w:val="21"/>
              </w:rPr>
            </w:pPr>
            <w:r>
              <w:rPr>
                <w:sz w:val="21"/>
                <w:szCs w:val="21"/>
              </w:rPr>
              <w:t>是否进行了调查信息审核：</w:t>
            </w:r>
            <w:r>
              <w:rPr>
                <w:rFonts w:hint="eastAsia"/>
                <w:sz w:val="21"/>
                <w:szCs w:val="21"/>
              </w:rPr>
              <w:t>☑</w:t>
            </w:r>
            <w:r>
              <w:rPr>
                <w:sz w:val="21"/>
                <w:szCs w:val="21"/>
              </w:rPr>
              <w:t>有；□无</w:t>
            </w:r>
          </w:p>
          <w:p w14:paraId="1EC0B27C">
            <w:pPr>
              <w:adjustRightInd w:val="0"/>
              <w:snapToGrid w:val="0"/>
              <w:spacing w:line="288" w:lineRule="auto"/>
              <w:rPr>
                <w:sz w:val="21"/>
                <w:szCs w:val="21"/>
              </w:rPr>
            </w:pPr>
            <w:r>
              <w:rPr>
                <w:sz w:val="21"/>
                <w:szCs w:val="21"/>
              </w:rPr>
              <w:t>是否建立了调查信息档案：</w:t>
            </w:r>
            <w:r>
              <w:rPr>
                <w:rFonts w:hint="eastAsia"/>
                <w:sz w:val="21"/>
                <w:szCs w:val="21"/>
              </w:rPr>
              <w:t>☑</w:t>
            </w:r>
            <w:r>
              <w:rPr>
                <w:sz w:val="21"/>
                <w:szCs w:val="21"/>
              </w:rPr>
              <w:t>有；□无</w:t>
            </w:r>
          </w:p>
          <w:p w14:paraId="5F7BC544">
            <w:pPr>
              <w:adjustRightInd w:val="0"/>
              <w:snapToGrid w:val="0"/>
              <w:spacing w:line="288" w:lineRule="auto"/>
              <w:rPr>
                <w:sz w:val="21"/>
                <w:szCs w:val="21"/>
              </w:rPr>
            </w:pPr>
            <w:r>
              <w:rPr>
                <w:sz w:val="21"/>
                <w:szCs w:val="21"/>
              </w:rPr>
              <w:t>是否建立了调查更新机制：</w:t>
            </w:r>
            <w:r>
              <w:rPr>
                <w:rFonts w:hint="eastAsia"/>
                <w:sz w:val="21"/>
                <w:szCs w:val="21"/>
              </w:rPr>
              <w:t>☑</w:t>
            </w:r>
            <w:r>
              <w:rPr>
                <w:sz w:val="21"/>
                <w:szCs w:val="21"/>
              </w:rPr>
              <w:t>有；□无</w:t>
            </w:r>
          </w:p>
        </w:tc>
      </w:tr>
      <w:tr w14:paraId="04ABE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14:paraId="45A12D91">
            <w:pPr>
              <w:adjustRightInd w:val="0"/>
              <w:snapToGrid w:val="0"/>
              <w:spacing w:line="240" w:lineRule="auto"/>
              <w:rPr>
                <w:b/>
                <w:sz w:val="21"/>
                <w:szCs w:val="21"/>
              </w:rPr>
            </w:pPr>
            <w:r>
              <w:rPr>
                <w:rFonts w:eastAsia="黑体"/>
                <w:sz w:val="21"/>
                <w:szCs w:val="21"/>
              </w:rPr>
              <w:t>4.资源储备与应急需求匹配的分析结论</w:t>
            </w:r>
          </w:p>
        </w:tc>
      </w:tr>
      <w:tr w14:paraId="20620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14:paraId="609F0897">
            <w:pPr>
              <w:adjustRightInd w:val="0"/>
              <w:snapToGrid w:val="0"/>
              <w:spacing w:line="240" w:lineRule="auto"/>
              <w:rPr>
                <w:sz w:val="21"/>
                <w:szCs w:val="21"/>
              </w:rPr>
            </w:pPr>
            <w:r>
              <w:rPr>
                <w:rFonts w:hint="eastAsia"/>
                <w:sz w:val="21"/>
                <w:szCs w:val="21"/>
              </w:rPr>
              <w:t>☑</w:t>
            </w:r>
            <w:r>
              <w:rPr>
                <w:sz w:val="21"/>
                <w:szCs w:val="21"/>
              </w:rPr>
              <w:t>完全满足；□满足；□基本满足；□不能满足</w:t>
            </w:r>
          </w:p>
        </w:tc>
      </w:tr>
      <w:tr w14:paraId="2685DB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14:paraId="468E751C">
            <w:pPr>
              <w:adjustRightInd w:val="0"/>
              <w:snapToGrid w:val="0"/>
              <w:spacing w:line="240" w:lineRule="auto"/>
              <w:rPr>
                <w:sz w:val="21"/>
                <w:szCs w:val="21"/>
              </w:rPr>
            </w:pPr>
            <w:r>
              <w:rPr>
                <w:rFonts w:eastAsia="黑体"/>
                <w:sz w:val="21"/>
                <w:szCs w:val="21"/>
              </w:rPr>
              <w:t>5.附件</w:t>
            </w:r>
          </w:p>
        </w:tc>
      </w:tr>
      <w:tr w14:paraId="7180C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vAlign w:val="center"/>
          </w:tcPr>
          <w:p w14:paraId="58729A2D">
            <w:pPr>
              <w:adjustRightInd w:val="0"/>
              <w:snapToGrid w:val="0"/>
              <w:spacing w:beforeLines="30" w:line="288" w:lineRule="auto"/>
              <w:rPr>
                <w:sz w:val="21"/>
                <w:szCs w:val="21"/>
              </w:rPr>
            </w:pPr>
            <w:r>
              <w:rPr>
                <w:sz w:val="21"/>
                <w:szCs w:val="21"/>
              </w:rPr>
              <w:t>一般包括以下附件：</w:t>
            </w:r>
          </w:p>
          <w:p w14:paraId="64BD7161">
            <w:pPr>
              <w:adjustRightInd w:val="0"/>
              <w:snapToGrid w:val="0"/>
              <w:spacing w:line="288" w:lineRule="auto"/>
              <w:rPr>
                <w:sz w:val="21"/>
                <w:szCs w:val="21"/>
              </w:rPr>
            </w:pPr>
            <w:r>
              <w:rPr>
                <w:sz w:val="21"/>
                <w:szCs w:val="21"/>
              </w:rPr>
              <w:t>5.1环境应急资源/信息汇总表</w:t>
            </w:r>
          </w:p>
          <w:p w14:paraId="5AE6ED13">
            <w:pPr>
              <w:adjustRightInd w:val="0"/>
              <w:snapToGrid w:val="0"/>
              <w:spacing w:line="288" w:lineRule="auto"/>
              <w:rPr>
                <w:sz w:val="21"/>
                <w:szCs w:val="21"/>
              </w:rPr>
            </w:pPr>
            <w:r>
              <w:rPr>
                <w:sz w:val="21"/>
                <w:szCs w:val="21"/>
              </w:rPr>
              <w:t>5.2环境应急资源单位内部分布图</w:t>
            </w:r>
          </w:p>
          <w:p w14:paraId="5D9EB068">
            <w:pPr>
              <w:adjustRightInd w:val="0"/>
              <w:snapToGrid w:val="0"/>
              <w:spacing w:line="288" w:lineRule="auto"/>
              <w:rPr>
                <w:sz w:val="21"/>
                <w:szCs w:val="21"/>
              </w:rPr>
            </w:pPr>
            <w:r>
              <w:rPr>
                <w:sz w:val="21"/>
                <w:szCs w:val="21"/>
              </w:rPr>
              <w:t>5.3环境应急资源管理维护更新等制度</w:t>
            </w:r>
          </w:p>
          <w:p w14:paraId="43168DFD">
            <w:pPr>
              <w:adjustRightInd w:val="0"/>
              <w:snapToGrid w:val="0"/>
              <w:spacing w:line="240" w:lineRule="auto"/>
              <w:rPr>
                <w:sz w:val="21"/>
                <w:szCs w:val="21"/>
              </w:rPr>
            </w:pPr>
          </w:p>
          <w:p w14:paraId="5DC5FC0A">
            <w:pPr>
              <w:adjustRightInd w:val="0"/>
              <w:snapToGrid w:val="0"/>
              <w:spacing w:line="240" w:lineRule="auto"/>
              <w:rPr>
                <w:b/>
                <w:sz w:val="21"/>
                <w:szCs w:val="21"/>
              </w:rPr>
            </w:pPr>
          </w:p>
        </w:tc>
      </w:tr>
    </w:tbl>
    <w:p w14:paraId="7D681EE1">
      <w:pPr>
        <w:adjustRightInd w:val="0"/>
        <w:snapToGrid w:val="0"/>
        <w:spacing w:beforeLines="30" w:line="288" w:lineRule="auto"/>
        <w:rPr>
          <w:rFonts w:hint="eastAsia" w:ascii="宋体" w:hAnsi="宋体"/>
          <w:sz w:val="21"/>
          <w:szCs w:val="21"/>
        </w:rPr>
      </w:pPr>
      <w:r>
        <w:rPr>
          <w:rFonts w:hint="eastAsia" w:ascii="宋体" w:hAnsi="宋体"/>
          <w:sz w:val="21"/>
          <w:szCs w:val="21"/>
        </w:rPr>
        <w:t>注：</w:t>
      </w:r>
      <w:r>
        <w:rPr>
          <w:rFonts w:ascii="宋体" w:hAnsi="宋体"/>
          <w:sz w:val="21"/>
          <w:szCs w:val="21"/>
        </w:rPr>
        <w:t>1.</w:t>
      </w:r>
      <w:r>
        <w:rPr>
          <w:rFonts w:hint="eastAsia" w:ascii="宋体" w:hAnsi="宋体"/>
          <w:sz w:val="21"/>
          <w:szCs w:val="21"/>
        </w:rPr>
        <w:t>企事业单位可依据突发环境事件风险评估，分析环境应急资源匹配情况，给出分析结论；</w:t>
      </w:r>
    </w:p>
    <w:p w14:paraId="40490AD4">
      <w:pPr>
        <w:adjustRightInd w:val="0"/>
        <w:snapToGrid w:val="0"/>
        <w:spacing w:line="288" w:lineRule="auto"/>
        <w:rPr>
          <w:kern w:val="0"/>
        </w:rPr>
      </w:pPr>
      <w:r>
        <w:rPr>
          <w:rFonts w:hint="eastAsia" w:ascii="宋体" w:hAnsi="宋体"/>
          <w:sz w:val="21"/>
          <w:szCs w:val="21"/>
        </w:rPr>
        <w:t xml:space="preserve">    </w:t>
      </w:r>
      <w:r>
        <w:rPr>
          <w:rFonts w:ascii="宋体" w:hAnsi="宋体"/>
          <w:sz w:val="21"/>
          <w:szCs w:val="21"/>
        </w:rPr>
        <w:t>2.</w:t>
      </w:r>
      <w:r>
        <w:rPr>
          <w:rFonts w:hint="eastAsia" w:ascii="宋体" w:hAnsi="宋体"/>
          <w:sz w:val="21"/>
          <w:szCs w:val="21"/>
        </w:rPr>
        <w:t>参考附录</w:t>
      </w:r>
      <w:r>
        <w:rPr>
          <w:rFonts w:ascii="宋体" w:hAnsi="宋体"/>
          <w:sz w:val="21"/>
          <w:szCs w:val="21"/>
        </w:rPr>
        <w:t>B</w:t>
      </w:r>
      <w:r>
        <w:rPr>
          <w:rFonts w:hint="eastAsia" w:ascii="宋体" w:hAnsi="宋体"/>
          <w:sz w:val="21"/>
          <w:szCs w:val="21"/>
        </w:rPr>
        <w:t>汇总形成环境应急资源/信息汇总表等相关附件（单位内部的资源可不提供经纬度），绘制环境应急资源分布图并说明调配路线。</w:t>
      </w:r>
    </w:p>
    <w:p w14:paraId="20FD5834">
      <w:pPr>
        <w:widowControl/>
        <w:spacing w:line="240" w:lineRule="auto"/>
        <w:jc w:val="left"/>
        <w:rPr>
          <w:rFonts w:ascii="宋体" w:hAnsi="宋体" w:cs="宋体"/>
          <w:kern w:val="0"/>
        </w:rPr>
      </w:pPr>
    </w:p>
    <w:p w14:paraId="38D9BB7A">
      <w:pPr>
        <w:rPr>
          <w:kern w:val="0"/>
        </w:rPr>
      </w:pPr>
    </w:p>
    <w:p w14:paraId="23E5C79A">
      <w:pPr>
        <w:rPr>
          <w:kern w:val="0"/>
        </w:rPr>
      </w:pPr>
    </w:p>
    <w:sectPr>
      <w:headerReference r:id="rId13" w:type="default"/>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新宋体-18030">
    <w:altName w:val="Arial Unicode MS"/>
    <w:panose1 w:val="00000000000000000000"/>
    <w:charset w:val="00"/>
    <w:family w:val="auto"/>
    <w:pitch w:val="default"/>
    <w:sig w:usb0="00000000" w:usb1="00000000" w:usb2="00000000" w:usb3="00000000" w:csb0="00040001" w:csb1="00000000"/>
  </w:font>
  <w:font w:name="方正小标宋_GBK">
    <w:altName w:val="Arial Unicode MS"/>
    <w:panose1 w:val="02000000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8FC45">
    <w:pPr>
      <w:pStyle w:val="13"/>
      <w:ind w:right="360" w:firstLine="31680"/>
      <w:jc w:val="both"/>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C7293">
    <w:pPr>
      <w:pStyle w:val="13"/>
      <w:ind w:right="360" w:firstLine="31680"/>
      <w:jc w:val="both"/>
      <w:rPr>
        <w:sz w:val="24"/>
      </w:rPr>
    </w:pPr>
    <w:r>
      <w:rPr>
        <w:sz w:val="24"/>
      </w:rPr>
      <w:pict>
        <v:shape id="文本框 2057" o:spid="_x0000_s307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5AD230B2">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41</w:t>
                </w:r>
                <w:r>
                  <w:rPr>
                    <w:rFonts w:hint="eastAsia"/>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CFCE1">
    <w:pPr>
      <w:pStyle w:val="13"/>
      <w:ind w:firstLine="31680"/>
      <w:jc w:val="center"/>
    </w:pPr>
    <w:r>
      <w:pict>
        <v:shape id="文本框 2058" o:spid="_x0000_s3082"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640BBC5F">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99</w:t>
                </w:r>
                <w:r>
                  <w:rPr>
                    <w:rFonts w:hint="eastAsia"/>
                  </w:rPr>
                  <w:fldChar w:fldCharType="end"/>
                </w:r>
              </w:p>
            </w:txbxContent>
          </v:textbox>
        </v:shape>
      </w:pict>
    </w:r>
  </w:p>
  <w:p w14:paraId="70A5816B">
    <w:pPr>
      <w:pStyle w:val="13"/>
      <w:ind w:right="360"/>
      <w:jc w:val="both"/>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33570">
    <w:pPr>
      <w:pStyle w:val="14"/>
      <w:pBdr>
        <w:bottom w:val="thickThinSmallGap" w:color="auto" w:sz="12" w:space="1"/>
      </w:pBdr>
      <w:rPr>
        <w:rFonts w:hint="eastAsia"/>
      </w:rPr>
    </w:pPr>
    <w:r>
      <w:rPr>
        <w:rFonts w:hint="eastAsia"/>
      </w:rPr>
      <w:t>绥宁县关峡苗族乡兰溪水饮用水水源地保护区突发环境事件应急预案（第一次修订，</w:t>
    </w:r>
    <w:r>
      <w:rPr>
        <w:rFonts w:hint="eastAsia"/>
        <w:lang w:eastAsia="zh-CN"/>
      </w:rPr>
      <w:t>2024年版</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D1581">
    <w:pPr>
      <w:pStyle w:val="14"/>
      <w:pBdr>
        <w:bottom w:val="thickThinSmallGap" w:color="auto" w:sz="12" w:space="1"/>
      </w:pBdr>
      <w:spacing w:line="240" w:lineRule="auto"/>
      <w:ind w:firstLine="360" w:firstLineChars="200"/>
    </w:pPr>
    <w:r>
      <w:rPr>
        <w:rFonts w:hint="eastAsia"/>
      </w:rPr>
      <w:t>绥宁县关峡苗族乡兰溪水饮用水水源地保护区突发环境事件应急预案（第一次修订，</w:t>
    </w:r>
    <w:r>
      <w:rPr>
        <w:rFonts w:hint="eastAsia"/>
        <w:lang w:eastAsia="zh-CN"/>
      </w:rPr>
      <w:t>2024年版</w:t>
    </w:r>
    <w:r>
      <w:rPr>
        <w:rFonts w:hint="eastAsia"/>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D22E1">
    <w:pPr>
      <w:pStyle w:val="14"/>
      <w:pBdr>
        <w:bottom w:val="thickThinSmallGap" w:color="auto" w:sz="12" w:space="1"/>
      </w:pBdr>
      <w:spacing w:line="240" w:lineRule="auto"/>
    </w:pPr>
    <w:r>
      <w:rPr>
        <w:rFonts w:hint="eastAsia"/>
      </w:rPr>
      <w:t>绥宁县关峡苗族乡兰溪水饮用水水源地保护区突发环境事件应急预案（第一次修订，</w:t>
    </w:r>
    <w:r>
      <w:rPr>
        <w:rFonts w:hint="eastAsia"/>
        <w:lang w:eastAsia="zh-CN"/>
      </w:rPr>
      <w:t>2024年版</w:t>
    </w:r>
    <w:r>
      <w:rPr>
        <w:rFonts w:hint="eastAsia"/>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A49FC">
    <w:pPr>
      <w:pStyle w:val="14"/>
      <w:pBdr>
        <w:bottom w:val="thickThinSmallGap" w:color="auto" w:sz="12" w:space="1"/>
      </w:pBdr>
      <w:spacing w:line="240" w:lineRule="auto"/>
    </w:pPr>
    <w:r>
      <w:rPr>
        <w:rFonts w:hint="eastAsia"/>
      </w:rPr>
      <w:t>绥宁县关峡苗族乡兰溪水饮用水水源地保护区突发环境事件应急预案（第一次修订，</w:t>
    </w:r>
    <w:r>
      <w:rPr>
        <w:rFonts w:hint="eastAsia"/>
        <w:lang w:eastAsia="zh-CN"/>
      </w:rPr>
      <w:t>2024年版</w:t>
    </w:r>
    <w:r>
      <w:rPr>
        <w:rFonts w:hint="eastAsia"/>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E9C4D">
    <w:pPr>
      <w:pStyle w:val="14"/>
      <w:pBdr>
        <w:bottom w:val="thickThinSmallGap" w:color="auto" w:sz="12" w:space="1"/>
      </w:pBdr>
      <w:spacing w:line="240" w:lineRule="auto"/>
    </w:pPr>
    <w:r>
      <w:rPr>
        <w:rFonts w:hint="eastAsia"/>
      </w:rPr>
      <w:t>绥宁县关峡苗族乡兰溪水饮用水水源地保护区突发环境事件应急预案（第一次修订，</w:t>
    </w:r>
    <w:r>
      <w:rPr>
        <w:rFonts w:hint="eastAsia"/>
        <w:lang w:eastAsia="zh-CN"/>
      </w:rPr>
      <w:t>2024年版</w:t>
    </w:r>
    <w:r>
      <w:rPr>
        <w:rFonts w:hint="eastAsia"/>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03B88">
    <w:pPr>
      <w:pStyle w:val="14"/>
      <w:pBdr>
        <w:bottom w:val="thickThinSmallGap" w:color="auto" w:sz="12" w:space="1"/>
      </w:pBdr>
      <w:spacing w:line="240" w:lineRule="auto"/>
      <w:ind w:firstLine="360" w:firstLineChars="200"/>
    </w:pPr>
    <w:r>
      <w:rPr>
        <w:rFonts w:hint="eastAsia"/>
      </w:rPr>
      <w:t>绥宁县关峡苗族乡兰溪水饮用水水源地保护区突发环境事件应急预案（第一次修订，</w:t>
    </w:r>
    <w:r>
      <w:rPr>
        <w:rFonts w:hint="eastAsia"/>
        <w:lang w:eastAsia="zh-CN"/>
      </w:rPr>
      <w:t>2024年版</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998544"/>
    <w:multiLevelType w:val="singleLevel"/>
    <w:tmpl w:val="8B998544"/>
    <w:lvl w:ilvl="0" w:tentative="0">
      <w:start w:val="1"/>
      <w:numFmt w:val="decimal"/>
      <w:suff w:val="nothing"/>
      <w:lvlText w:val="%1、"/>
      <w:lvlJc w:val="left"/>
    </w:lvl>
  </w:abstractNum>
  <w:abstractNum w:abstractNumId="1">
    <w:nsid w:val="AE710EF8"/>
    <w:multiLevelType w:val="singleLevel"/>
    <w:tmpl w:val="AE710EF8"/>
    <w:lvl w:ilvl="0" w:tentative="0">
      <w:start w:val="5"/>
      <w:numFmt w:val="decimal"/>
      <w:suff w:val="nothing"/>
      <w:lvlText w:val="（%1）"/>
      <w:lvlJc w:val="left"/>
    </w:lvl>
  </w:abstractNum>
  <w:abstractNum w:abstractNumId="2">
    <w:nsid w:val="B2CFF972"/>
    <w:multiLevelType w:val="singleLevel"/>
    <w:tmpl w:val="B2CFF972"/>
    <w:lvl w:ilvl="0" w:tentative="0">
      <w:start w:val="1"/>
      <w:numFmt w:val="decimal"/>
      <w:suff w:val="nothing"/>
      <w:lvlText w:val="（%1）"/>
      <w:lvlJc w:val="left"/>
    </w:lvl>
  </w:abstractNum>
  <w:abstractNum w:abstractNumId="3">
    <w:nsid w:val="0449CDFA"/>
    <w:multiLevelType w:val="singleLevel"/>
    <w:tmpl w:val="0449CDFA"/>
    <w:lvl w:ilvl="0" w:tentative="0">
      <w:start w:val="2"/>
      <w:numFmt w:val="decimal"/>
      <w:suff w:val="nothing"/>
      <w:lvlText w:val="%1、"/>
      <w:lvlJc w:val="left"/>
    </w:lvl>
  </w:abstractNum>
  <w:abstractNum w:abstractNumId="4">
    <w:nsid w:val="06B10388"/>
    <w:multiLevelType w:val="singleLevel"/>
    <w:tmpl w:val="06B10388"/>
    <w:lvl w:ilvl="0" w:tentative="0">
      <w:start w:val="1"/>
      <w:numFmt w:val="decimal"/>
      <w:suff w:val="nothing"/>
      <w:lvlText w:val="%1）"/>
      <w:lvlJc w:val="left"/>
    </w:lvl>
  </w:abstractNum>
  <w:abstractNum w:abstractNumId="5">
    <w:nsid w:val="09D45ECA"/>
    <w:multiLevelType w:val="singleLevel"/>
    <w:tmpl w:val="09D45ECA"/>
    <w:lvl w:ilvl="0" w:tentative="0">
      <w:start w:val="1"/>
      <w:numFmt w:val="decimal"/>
      <w:suff w:val="nothing"/>
      <w:lvlText w:val="%1、"/>
      <w:lvlJc w:val="left"/>
    </w:lvl>
  </w:abstractNum>
  <w:abstractNum w:abstractNumId="6">
    <w:nsid w:val="0A79B370"/>
    <w:multiLevelType w:val="singleLevel"/>
    <w:tmpl w:val="0A79B370"/>
    <w:lvl w:ilvl="0" w:tentative="0">
      <w:start w:val="1"/>
      <w:numFmt w:val="decimal"/>
      <w:suff w:val="nothing"/>
      <w:lvlText w:val="%1、"/>
      <w:lvlJc w:val="left"/>
    </w:lvl>
  </w:abstractNum>
  <w:abstractNum w:abstractNumId="7">
    <w:nsid w:val="254AD096"/>
    <w:multiLevelType w:val="singleLevel"/>
    <w:tmpl w:val="254AD096"/>
    <w:lvl w:ilvl="0" w:tentative="0">
      <w:start w:val="1"/>
      <w:numFmt w:val="decimal"/>
      <w:lvlText w:val="%1."/>
      <w:lvlJc w:val="left"/>
      <w:pPr>
        <w:tabs>
          <w:tab w:val="left" w:pos="312"/>
        </w:tabs>
      </w:pPr>
    </w:lvl>
  </w:abstractNum>
  <w:abstractNum w:abstractNumId="8">
    <w:nsid w:val="2D688CF3"/>
    <w:multiLevelType w:val="singleLevel"/>
    <w:tmpl w:val="2D688CF3"/>
    <w:lvl w:ilvl="0" w:tentative="0">
      <w:start w:val="1"/>
      <w:numFmt w:val="decimal"/>
      <w:suff w:val="nothing"/>
      <w:lvlText w:val="%1、"/>
      <w:lvlJc w:val="left"/>
    </w:lvl>
  </w:abstractNum>
  <w:abstractNum w:abstractNumId="9">
    <w:nsid w:val="469BD6E1"/>
    <w:multiLevelType w:val="singleLevel"/>
    <w:tmpl w:val="469BD6E1"/>
    <w:lvl w:ilvl="0" w:tentative="0">
      <w:start w:val="1"/>
      <w:numFmt w:val="decimal"/>
      <w:suff w:val="nothing"/>
      <w:lvlText w:val="（%1）"/>
      <w:lvlJc w:val="left"/>
    </w:lvl>
  </w:abstractNum>
  <w:abstractNum w:abstractNumId="10">
    <w:nsid w:val="6EA1399D"/>
    <w:multiLevelType w:val="singleLevel"/>
    <w:tmpl w:val="6EA1399D"/>
    <w:lvl w:ilvl="0" w:tentative="0">
      <w:start w:val="1"/>
      <w:numFmt w:val="decimal"/>
      <w:suff w:val="nothing"/>
      <w:lvlText w:val="（%1）"/>
      <w:lvlJc w:val="left"/>
    </w:lvl>
  </w:abstractNum>
  <w:abstractNum w:abstractNumId="11">
    <w:nsid w:val="771191F8"/>
    <w:multiLevelType w:val="singleLevel"/>
    <w:tmpl w:val="771191F8"/>
    <w:lvl w:ilvl="0" w:tentative="0">
      <w:start w:val="1"/>
      <w:numFmt w:val="decimal"/>
      <w:suff w:val="nothing"/>
      <w:lvlText w:val="（%1）"/>
      <w:lvlJc w:val="left"/>
    </w:lvl>
  </w:abstractNum>
  <w:num w:numId="1">
    <w:abstractNumId w:val="1"/>
  </w:num>
  <w:num w:numId="2">
    <w:abstractNumId w:val="7"/>
  </w:num>
  <w:num w:numId="3">
    <w:abstractNumId w:val="10"/>
  </w:num>
  <w:num w:numId="4">
    <w:abstractNumId w:val="0"/>
  </w:num>
  <w:num w:numId="5">
    <w:abstractNumId w:val="8"/>
  </w:num>
  <w:num w:numId="6">
    <w:abstractNumId w:val="5"/>
  </w:num>
  <w:num w:numId="7">
    <w:abstractNumId w:val="3"/>
  </w:num>
  <w:num w:numId="8">
    <w:abstractNumId w:val="11"/>
  </w:num>
  <w:num w:numId="9">
    <w:abstractNumId w:val="6"/>
  </w:num>
  <w:num w:numId="10">
    <w:abstractNumId w:val="2"/>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zgyMjZhYWNjMGI5ZWMxZGYyOWIwMzYyNzQ0ZmQ0YTUifQ=="/>
  </w:docVars>
  <w:rsids>
    <w:rsidRoot w:val="00172A27"/>
    <w:rsid w:val="00175DB0"/>
    <w:rsid w:val="00485A92"/>
    <w:rsid w:val="005022CA"/>
    <w:rsid w:val="00512474"/>
    <w:rsid w:val="005A442A"/>
    <w:rsid w:val="005E7811"/>
    <w:rsid w:val="00612001"/>
    <w:rsid w:val="00634C84"/>
    <w:rsid w:val="007513E3"/>
    <w:rsid w:val="00A84616"/>
    <w:rsid w:val="00AD6CE1"/>
    <w:rsid w:val="00CF1CC5"/>
    <w:rsid w:val="00DC12A2"/>
    <w:rsid w:val="00E46B3F"/>
    <w:rsid w:val="00EF010F"/>
    <w:rsid w:val="00F3197B"/>
    <w:rsid w:val="010F5779"/>
    <w:rsid w:val="012E1C8F"/>
    <w:rsid w:val="018D5A9B"/>
    <w:rsid w:val="01AE2085"/>
    <w:rsid w:val="01C76948"/>
    <w:rsid w:val="01E6607A"/>
    <w:rsid w:val="01ED6D1B"/>
    <w:rsid w:val="01F37578"/>
    <w:rsid w:val="02137BC1"/>
    <w:rsid w:val="022C502F"/>
    <w:rsid w:val="026F48D9"/>
    <w:rsid w:val="02957F7D"/>
    <w:rsid w:val="02B06AE7"/>
    <w:rsid w:val="02C82042"/>
    <w:rsid w:val="02D409C2"/>
    <w:rsid w:val="02F206FC"/>
    <w:rsid w:val="032D7441"/>
    <w:rsid w:val="032F04AF"/>
    <w:rsid w:val="03352806"/>
    <w:rsid w:val="034A078E"/>
    <w:rsid w:val="038F0F77"/>
    <w:rsid w:val="03BB5803"/>
    <w:rsid w:val="03BC583E"/>
    <w:rsid w:val="03C76B17"/>
    <w:rsid w:val="03FD653A"/>
    <w:rsid w:val="04015EC0"/>
    <w:rsid w:val="041C6F78"/>
    <w:rsid w:val="041D2ED2"/>
    <w:rsid w:val="045D4201"/>
    <w:rsid w:val="04657C2A"/>
    <w:rsid w:val="04744456"/>
    <w:rsid w:val="04844B44"/>
    <w:rsid w:val="048B04D6"/>
    <w:rsid w:val="04CE20BF"/>
    <w:rsid w:val="04EE0E35"/>
    <w:rsid w:val="04F47C50"/>
    <w:rsid w:val="050702EF"/>
    <w:rsid w:val="050D77EA"/>
    <w:rsid w:val="05602F44"/>
    <w:rsid w:val="05692211"/>
    <w:rsid w:val="05894647"/>
    <w:rsid w:val="05A04DE6"/>
    <w:rsid w:val="05AD66E9"/>
    <w:rsid w:val="05E20449"/>
    <w:rsid w:val="05E9183C"/>
    <w:rsid w:val="05F91F79"/>
    <w:rsid w:val="06494D3A"/>
    <w:rsid w:val="068869CF"/>
    <w:rsid w:val="069776D4"/>
    <w:rsid w:val="06A80C44"/>
    <w:rsid w:val="06AE3471"/>
    <w:rsid w:val="0710466C"/>
    <w:rsid w:val="07226CA6"/>
    <w:rsid w:val="072D6631"/>
    <w:rsid w:val="07332D58"/>
    <w:rsid w:val="077A3FD4"/>
    <w:rsid w:val="07874627"/>
    <w:rsid w:val="079A7B6C"/>
    <w:rsid w:val="07DB2A18"/>
    <w:rsid w:val="07E414DD"/>
    <w:rsid w:val="087B7D1C"/>
    <w:rsid w:val="088D0197"/>
    <w:rsid w:val="08A72A75"/>
    <w:rsid w:val="08DE327B"/>
    <w:rsid w:val="08E3050B"/>
    <w:rsid w:val="08E82BC3"/>
    <w:rsid w:val="091D2379"/>
    <w:rsid w:val="094D2433"/>
    <w:rsid w:val="09526662"/>
    <w:rsid w:val="09740455"/>
    <w:rsid w:val="099A4F76"/>
    <w:rsid w:val="09BE637B"/>
    <w:rsid w:val="09D142B6"/>
    <w:rsid w:val="09D23CBC"/>
    <w:rsid w:val="0A367E93"/>
    <w:rsid w:val="0A5A5B31"/>
    <w:rsid w:val="0A6676A9"/>
    <w:rsid w:val="0A6D310B"/>
    <w:rsid w:val="0A796C5E"/>
    <w:rsid w:val="0A8B20B4"/>
    <w:rsid w:val="0A9414E2"/>
    <w:rsid w:val="0AF16DFE"/>
    <w:rsid w:val="0B460A80"/>
    <w:rsid w:val="0B545CCF"/>
    <w:rsid w:val="0B5619AA"/>
    <w:rsid w:val="0B7D2AB0"/>
    <w:rsid w:val="0BED7BBB"/>
    <w:rsid w:val="0C1D7215"/>
    <w:rsid w:val="0C3A6197"/>
    <w:rsid w:val="0C3D5958"/>
    <w:rsid w:val="0C632B09"/>
    <w:rsid w:val="0C6B65B4"/>
    <w:rsid w:val="0CB426C3"/>
    <w:rsid w:val="0CB43F77"/>
    <w:rsid w:val="0CF743C0"/>
    <w:rsid w:val="0D03166F"/>
    <w:rsid w:val="0D215D83"/>
    <w:rsid w:val="0D2F2E82"/>
    <w:rsid w:val="0D9378B6"/>
    <w:rsid w:val="0DA31135"/>
    <w:rsid w:val="0DBA3486"/>
    <w:rsid w:val="0DBE0725"/>
    <w:rsid w:val="0DDB4384"/>
    <w:rsid w:val="0DFD7024"/>
    <w:rsid w:val="0E0801FC"/>
    <w:rsid w:val="0E657A37"/>
    <w:rsid w:val="0E9A1704"/>
    <w:rsid w:val="0EBF6738"/>
    <w:rsid w:val="0EC22B82"/>
    <w:rsid w:val="0F0547E3"/>
    <w:rsid w:val="0F0617E6"/>
    <w:rsid w:val="0F3E652F"/>
    <w:rsid w:val="0F6303B5"/>
    <w:rsid w:val="0F7E3B2A"/>
    <w:rsid w:val="0F925BA7"/>
    <w:rsid w:val="0F965396"/>
    <w:rsid w:val="0FB502E9"/>
    <w:rsid w:val="0FD43BCE"/>
    <w:rsid w:val="0FE8213B"/>
    <w:rsid w:val="103F3D25"/>
    <w:rsid w:val="106009A6"/>
    <w:rsid w:val="10704810"/>
    <w:rsid w:val="107075FA"/>
    <w:rsid w:val="108B184E"/>
    <w:rsid w:val="109935AA"/>
    <w:rsid w:val="109A138A"/>
    <w:rsid w:val="10B444B0"/>
    <w:rsid w:val="10C50638"/>
    <w:rsid w:val="10C646FC"/>
    <w:rsid w:val="10D2311E"/>
    <w:rsid w:val="10E57C89"/>
    <w:rsid w:val="111611BA"/>
    <w:rsid w:val="11255CAC"/>
    <w:rsid w:val="115915A1"/>
    <w:rsid w:val="118D2ED4"/>
    <w:rsid w:val="1190155D"/>
    <w:rsid w:val="11945948"/>
    <w:rsid w:val="11A1032A"/>
    <w:rsid w:val="11A93696"/>
    <w:rsid w:val="11A962F7"/>
    <w:rsid w:val="11EB6A09"/>
    <w:rsid w:val="11FE2DF8"/>
    <w:rsid w:val="120C57F1"/>
    <w:rsid w:val="12222D3D"/>
    <w:rsid w:val="12266DAC"/>
    <w:rsid w:val="123723E8"/>
    <w:rsid w:val="127C2A48"/>
    <w:rsid w:val="128539AD"/>
    <w:rsid w:val="12B20987"/>
    <w:rsid w:val="12CB79A8"/>
    <w:rsid w:val="132207A2"/>
    <w:rsid w:val="13573D95"/>
    <w:rsid w:val="1372542B"/>
    <w:rsid w:val="13771D7F"/>
    <w:rsid w:val="13B32794"/>
    <w:rsid w:val="1436146F"/>
    <w:rsid w:val="14A57996"/>
    <w:rsid w:val="15183BC0"/>
    <w:rsid w:val="151E7F86"/>
    <w:rsid w:val="152020CD"/>
    <w:rsid w:val="15342CC6"/>
    <w:rsid w:val="15574B23"/>
    <w:rsid w:val="155834A4"/>
    <w:rsid w:val="159A184E"/>
    <w:rsid w:val="15C3368D"/>
    <w:rsid w:val="160923CF"/>
    <w:rsid w:val="1612049B"/>
    <w:rsid w:val="16292A38"/>
    <w:rsid w:val="163E2A5C"/>
    <w:rsid w:val="165C5EB3"/>
    <w:rsid w:val="16AB61A8"/>
    <w:rsid w:val="16AB662C"/>
    <w:rsid w:val="16BE2C18"/>
    <w:rsid w:val="16C33544"/>
    <w:rsid w:val="16C6649D"/>
    <w:rsid w:val="16EF50A8"/>
    <w:rsid w:val="16FB4269"/>
    <w:rsid w:val="17310913"/>
    <w:rsid w:val="17345E86"/>
    <w:rsid w:val="174500DD"/>
    <w:rsid w:val="175956CC"/>
    <w:rsid w:val="1772014D"/>
    <w:rsid w:val="17824C23"/>
    <w:rsid w:val="17A92E8B"/>
    <w:rsid w:val="17E42915"/>
    <w:rsid w:val="17F007C6"/>
    <w:rsid w:val="17F91BAE"/>
    <w:rsid w:val="18126923"/>
    <w:rsid w:val="18245CDA"/>
    <w:rsid w:val="18285CB3"/>
    <w:rsid w:val="189E3CDE"/>
    <w:rsid w:val="189F792A"/>
    <w:rsid w:val="18A91621"/>
    <w:rsid w:val="18B510D7"/>
    <w:rsid w:val="18BB3C63"/>
    <w:rsid w:val="18F62D12"/>
    <w:rsid w:val="191A79A1"/>
    <w:rsid w:val="193C0262"/>
    <w:rsid w:val="195E0441"/>
    <w:rsid w:val="19767C9A"/>
    <w:rsid w:val="19902635"/>
    <w:rsid w:val="19DD40A3"/>
    <w:rsid w:val="19DE65BB"/>
    <w:rsid w:val="19DF5087"/>
    <w:rsid w:val="19FA0C1A"/>
    <w:rsid w:val="1A3577F6"/>
    <w:rsid w:val="1A5578AE"/>
    <w:rsid w:val="1A557A80"/>
    <w:rsid w:val="1A5D1A4F"/>
    <w:rsid w:val="1A603300"/>
    <w:rsid w:val="1A8232B5"/>
    <w:rsid w:val="1A83315F"/>
    <w:rsid w:val="1AA729A0"/>
    <w:rsid w:val="1ABA760B"/>
    <w:rsid w:val="1ACD6A84"/>
    <w:rsid w:val="1AEE2DED"/>
    <w:rsid w:val="1B325AE7"/>
    <w:rsid w:val="1B430C7E"/>
    <w:rsid w:val="1B6E32F9"/>
    <w:rsid w:val="1B8F5E11"/>
    <w:rsid w:val="1BBE01F3"/>
    <w:rsid w:val="1BC7664B"/>
    <w:rsid w:val="1C5243E5"/>
    <w:rsid w:val="1C59328D"/>
    <w:rsid w:val="1C7D1E5D"/>
    <w:rsid w:val="1C942FE4"/>
    <w:rsid w:val="1CCE0572"/>
    <w:rsid w:val="1CCF0200"/>
    <w:rsid w:val="1CED3CD7"/>
    <w:rsid w:val="1D26307F"/>
    <w:rsid w:val="1D484E0E"/>
    <w:rsid w:val="1D53011E"/>
    <w:rsid w:val="1DF23CE8"/>
    <w:rsid w:val="1E5D3770"/>
    <w:rsid w:val="1E6372EA"/>
    <w:rsid w:val="1E97053A"/>
    <w:rsid w:val="1E9D7220"/>
    <w:rsid w:val="1E9F2AE2"/>
    <w:rsid w:val="1EA640FE"/>
    <w:rsid w:val="1EAD0F60"/>
    <w:rsid w:val="1EC14CB6"/>
    <w:rsid w:val="1EC93E8F"/>
    <w:rsid w:val="1F1521C0"/>
    <w:rsid w:val="1F4C2CD4"/>
    <w:rsid w:val="1F72056F"/>
    <w:rsid w:val="1F8062C8"/>
    <w:rsid w:val="1F8557D8"/>
    <w:rsid w:val="1FA857EF"/>
    <w:rsid w:val="1FBD5829"/>
    <w:rsid w:val="1FF42B1B"/>
    <w:rsid w:val="1FFA3209"/>
    <w:rsid w:val="200D419B"/>
    <w:rsid w:val="20112D52"/>
    <w:rsid w:val="2024579C"/>
    <w:rsid w:val="202E5501"/>
    <w:rsid w:val="204024B6"/>
    <w:rsid w:val="204536E0"/>
    <w:rsid w:val="206F3C9D"/>
    <w:rsid w:val="20837303"/>
    <w:rsid w:val="20895BF4"/>
    <w:rsid w:val="20BD5E73"/>
    <w:rsid w:val="20C20221"/>
    <w:rsid w:val="20F91A71"/>
    <w:rsid w:val="211E2320"/>
    <w:rsid w:val="21285CD9"/>
    <w:rsid w:val="212B52C3"/>
    <w:rsid w:val="213A2B94"/>
    <w:rsid w:val="21563759"/>
    <w:rsid w:val="216A3D47"/>
    <w:rsid w:val="21B55382"/>
    <w:rsid w:val="21B85FCA"/>
    <w:rsid w:val="21EC23FA"/>
    <w:rsid w:val="21FE68E7"/>
    <w:rsid w:val="22001B99"/>
    <w:rsid w:val="220455D2"/>
    <w:rsid w:val="221D616D"/>
    <w:rsid w:val="228201CD"/>
    <w:rsid w:val="22887584"/>
    <w:rsid w:val="228F0B29"/>
    <w:rsid w:val="22B060E7"/>
    <w:rsid w:val="22DB0693"/>
    <w:rsid w:val="230E55DD"/>
    <w:rsid w:val="23144B9D"/>
    <w:rsid w:val="23290A69"/>
    <w:rsid w:val="233E067B"/>
    <w:rsid w:val="23526643"/>
    <w:rsid w:val="238400B4"/>
    <w:rsid w:val="238A3CC0"/>
    <w:rsid w:val="23B9512F"/>
    <w:rsid w:val="23C80FA3"/>
    <w:rsid w:val="23C810A3"/>
    <w:rsid w:val="23F90194"/>
    <w:rsid w:val="23FC1DF0"/>
    <w:rsid w:val="24056752"/>
    <w:rsid w:val="2410438F"/>
    <w:rsid w:val="2425577E"/>
    <w:rsid w:val="243B15B0"/>
    <w:rsid w:val="24495087"/>
    <w:rsid w:val="246165EE"/>
    <w:rsid w:val="24643467"/>
    <w:rsid w:val="247C6E9E"/>
    <w:rsid w:val="24866893"/>
    <w:rsid w:val="24974B0A"/>
    <w:rsid w:val="2499259E"/>
    <w:rsid w:val="249976A8"/>
    <w:rsid w:val="24BA290D"/>
    <w:rsid w:val="24BE18EC"/>
    <w:rsid w:val="24C83ACF"/>
    <w:rsid w:val="24D64BE1"/>
    <w:rsid w:val="25675ECD"/>
    <w:rsid w:val="25C15BEF"/>
    <w:rsid w:val="26013AFE"/>
    <w:rsid w:val="26136122"/>
    <w:rsid w:val="2620781B"/>
    <w:rsid w:val="26256CDC"/>
    <w:rsid w:val="263771DC"/>
    <w:rsid w:val="265B0FAC"/>
    <w:rsid w:val="269C67AD"/>
    <w:rsid w:val="26B364EA"/>
    <w:rsid w:val="26DC236F"/>
    <w:rsid w:val="26E86CB1"/>
    <w:rsid w:val="271B70FA"/>
    <w:rsid w:val="272C39BE"/>
    <w:rsid w:val="272F6F40"/>
    <w:rsid w:val="278A3C28"/>
    <w:rsid w:val="27D84834"/>
    <w:rsid w:val="280E1F81"/>
    <w:rsid w:val="284150A5"/>
    <w:rsid w:val="28624360"/>
    <w:rsid w:val="28671DC9"/>
    <w:rsid w:val="287556F2"/>
    <w:rsid w:val="289F071D"/>
    <w:rsid w:val="28B77566"/>
    <w:rsid w:val="29031F13"/>
    <w:rsid w:val="292A6632"/>
    <w:rsid w:val="293328F1"/>
    <w:rsid w:val="29471660"/>
    <w:rsid w:val="29547FF3"/>
    <w:rsid w:val="295B16FC"/>
    <w:rsid w:val="296D1079"/>
    <w:rsid w:val="297F7B8F"/>
    <w:rsid w:val="29C359E9"/>
    <w:rsid w:val="29E7001E"/>
    <w:rsid w:val="29EF756D"/>
    <w:rsid w:val="2A1E16AD"/>
    <w:rsid w:val="2A247B8C"/>
    <w:rsid w:val="2A387BC9"/>
    <w:rsid w:val="2A3B65BE"/>
    <w:rsid w:val="2A492DCB"/>
    <w:rsid w:val="2A536B67"/>
    <w:rsid w:val="2A8C066D"/>
    <w:rsid w:val="2AB27D9C"/>
    <w:rsid w:val="2AC81DE4"/>
    <w:rsid w:val="2ADA3FA7"/>
    <w:rsid w:val="2AF311D8"/>
    <w:rsid w:val="2AF74B67"/>
    <w:rsid w:val="2B195ACB"/>
    <w:rsid w:val="2B1B2653"/>
    <w:rsid w:val="2B2C3343"/>
    <w:rsid w:val="2B6677D8"/>
    <w:rsid w:val="2B747A96"/>
    <w:rsid w:val="2B8A6CE3"/>
    <w:rsid w:val="2BA54F38"/>
    <w:rsid w:val="2BB33634"/>
    <w:rsid w:val="2BBA22FA"/>
    <w:rsid w:val="2BF90637"/>
    <w:rsid w:val="2C145F45"/>
    <w:rsid w:val="2C1D00ED"/>
    <w:rsid w:val="2C2871DC"/>
    <w:rsid w:val="2C436F84"/>
    <w:rsid w:val="2C804EE3"/>
    <w:rsid w:val="2C9D20C8"/>
    <w:rsid w:val="2CAB2B20"/>
    <w:rsid w:val="2CB40912"/>
    <w:rsid w:val="2CBB0297"/>
    <w:rsid w:val="2CD71F0F"/>
    <w:rsid w:val="2CDB5AEB"/>
    <w:rsid w:val="2CE83EB8"/>
    <w:rsid w:val="2D15161E"/>
    <w:rsid w:val="2D223879"/>
    <w:rsid w:val="2D265BF9"/>
    <w:rsid w:val="2D2E50F2"/>
    <w:rsid w:val="2D3C65CE"/>
    <w:rsid w:val="2D531589"/>
    <w:rsid w:val="2D630616"/>
    <w:rsid w:val="2E637F2C"/>
    <w:rsid w:val="2E725B5B"/>
    <w:rsid w:val="2E942B39"/>
    <w:rsid w:val="2E9F72B5"/>
    <w:rsid w:val="2EA82541"/>
    <w:rsid w:val="2EA84D3B"/>
    <w:rsid w:val="2EB53A92"/>
    <w:rsid w:val="2EDA313F"/>
    <w:rsid w:val="2F1D543D"/>
    <w:rsid w:val="2F4D47C3"/>
    <w:rsid w:val="2F5926D7"/>
    <w:rsid w:val="2F66394B"/>
    <w:rsid w:val="2F754677"/>
    <w:rsid w:val="2F823F9A"/>
    <w:rsid w:val="2FA251D3"/>
    <w:rsid w:val="2FE76154"/>
    <w:rsid w:val="2FEC6D1B"/>
    <w:rsid w:val="2FF62F31"/>
    <w:rsid w:val="30047B88"/>
    <w:rsid w:val="30283210"/>
    <w:rsid w:val="30440810"/>
    <w:rsid w:val="30BB491F"/>
    <w:rsid w:val="30CB53DC"/>
    <w:rsid w:val="30EA4B86"/>
    <w:rsid w:val="30F91999"/>
    <w:rsid w:val="30FE46B5"/>
    <w:rsid w:val="310A38F5"/>
    <w:rsid w:val="31175E0A"/>
    <w:rsid w:val="312535ED"/>
    <w:rsid w:val="312B0EBB"/>
    <w:rsid w:val="312E1495"/>
    <w:rsid w:val="31512C92"/>
    <w:rsid w:val="315412FD"/>
    <w:rsid w:val="318538EC"/>
    <w:rsid w:val="318C70FC"/>
    <w:rsid w:val="318D5B48"/>
    <w:rsid w:val="31BF5B22"/>
    <w:rsid w:val="31E56D03"/>
    <w:rsid w:val="31E84676"/>
    <w:rsid w:val="31F76D9C"/>
    <w:rsid w:val="3207267E"/>
    <w:rsid w:val="32103ECE"/>
    <w:rsid w:val="323E3E21"/>
    <w:rsid w:val="32451380"/>
    <w:rsid w:val="32897E7F"/>
    <w:rsid w:val="32B8242F"/>
    <w:rsid w:val="32C17698"/>
    <w:rsid w:val="32C41E43"/>
    <w:rsid w:val="32DB4188"/>
    <w:rsid w:val="32E37475"/>
    <w:rsid w:val="330426F8"/>
    <w:rsid w:val="33093EE2"/>
    <w:rsid w:val="333723A5"/>
    <w:rsid w:val="333E16CD"/>
    <w:rsid w:val="333F24FE"/>
    <w:rsid w:val="334C0867"/>
    <w:rsid w:val="33514E72"/>
    <w:rsid w:val="33651756"/>
    <w:rsid w:val="33685275"/>
    <w:rsid w:val="33917FF4"/>
    <w:rsid w:val="339F6FDA"/>
    <w:rsid w:val="33A548AB"/>
    <w:rsid w:val="33B225D1"/>
    <w:rsid w:val="33B62E3B"/>
    <w:rsid w:val="33E52FD9"/>
    <w:rsid w:val="33E94278"/>
    <w:rsid w:val="34113CDB"/>
    <w:rsid w:val="34735BC7"/>
    <w:rsid w:val="3481287A"/>
    <w:rsid w:val="34907EA0"/>
    <w:rsid w:val="34A52CC7"/>
    <w:rsid w:val="34B1049E"/>
    <w:rsid w:val="34B63961"/>
    <w:rsid w:val="34C455E3"/>
    <w:rsid w:val="34DC6DB3"/>
    <w:rsid w:val="34E05EC9"/>
    <w:rsid w:val="35116353"/>
    <w:rsid w:val="35272467"/>
    <w:rsid w:val="35854C2B"/>
    <w:rsid w:val="35874FB1"/>
    <w:rsid w:val="358B0CC6"/>
    <w:rsid w:val="3591327E"/>
    <w:rsid w:val="35DD3757"/>
    <w:rsid w:val="35DF00C8"/>
    <w:rsid w:val="35EB34FE"/>
    <w:rsid w:val="361744DD"/>
    <w:rsid w:val="36395566"/>
    <w:rsid w:val="363E6730"/>
    <w:rsid w:val="365711AE"/>
    <w:rsid w:val="36773056"/>
    <w:rsid w:val="367D53FF"/>
    <w:rsid w:val="36C85B6D"/>
    <w:rsid w:val="36D272FF"/>
    <w:rsid w:val="37262099"/>
    <w:rsid w:val="372D04E2"/>
    <w:rsid w:val="373021A2"/>
    <w:rsid w:val="373E5891"/>
    <w:rsid w:val="37494894"/>
    <w:rsid w:val="375D227D"/>
    <w:rsid w:val="37931085"/>
    <w:rsid w:val="379A3042"/>
    <w:rsid w:val="37C521E9"/>
    <w:rsid w:val="37CC1AEB"/>
    <w:rsid w:val="37E42903"/>
    <w:rsid w:val="38004551"/>
    <w:rsid w:val="381578DA"/>
    <w:rsid w:val="386A108F"/>
    <w:rsid w:val="389A24DB"/>
    <w:rsid w:val="38A75FB5"/>
    <w:rsid w:val="38A930FF"/>
    <w:rsid w:val="38BF406D"/>
    <w:rsid w:val="38C44094"/>
    <w:rsid w:val="39223119"/>
    <w:rsid w:val="39225E9C"/>
    <w:rsid w:val="39310644"/>
    <w:rsid w:val="393B0C7E"/>
    <w:rsid w:val="39441849"/>
    <w:rsid w:val="395D1593"/>
    <w:rsid w:val="39674040"/>
    <w:rsid w:val="396E10AB"/>
    <w:rsid w:val="39CA4A0D"/>
    <w:rsid w:val="3A493BC1"/>
    <w:rsid w:val="3A5C3925"/>
    <w:rsid w:val="3A9D2167"/>
    <w:rsid w:val="3AAA7A46"/>
    <w:rsid w:val="3ABB6033"/>
    <w:rsid w:val="3AC866E0"/>
    <w:rsid w:val="3AD77F43"/>
    <w:rsid w:val="3B090797"/>
    <w:rsid w:val="3B1F4FDE"/>
    <w:rsid w:val="3B4D05AE"/>
    <w:rsid w:val="3B5C61EB"/>
    <w:rsid w:val="3BAC5F5E"/>
    <w:rsid w:val="3BD26601"/>
    <w:rsid w:val="3C063148"/>
    <w:rsid w:val="3C455E46"/>
    <w:rsid w:val="3C5A4C58"/>
    <w:rsid w:val="3C6370D6"/>
    <w:rsid w:val="3C9D6E24"/>
    <w:rsid w:val="3CC337EE"/>
    <w:rsid w:val="3CD44503"/>
    <w:rsid w:val="3CDB1991"/>
    <w:rsid w:val="3D060A2E"/>
    <w:rsid w:val="3D0768FE"/>
    <w:rsid w:val="3D3A06FE"/>
    <w:rsid w:val="3D516F0F"/>
    <w:rsid w:val="3D633742"/>
    <w:rsid w:val="3DA62DAF"/>
    <w:rsid w:val="3E413EEF"/>
    <w:rsid w:val="3E4A3F4E"/>
    <w:rsid w:val="3E5527E2"/>
    <w:rsid w:val="3E6D1A7C"/>
    <w:rsid w:val="3E7946E7"/>
    <w:rsid w:val="3E905A22"/>
    <w:rsid w:val="3E945200"/>
    <w:rsid w:val="3EA64949"/>
    <w:rsid w:val="3EC82FB3"/>
    <w:rsid w:val="3ED0565B"/>
    <w:rsid w:val="3EE36477"/>
    <w:rsid w:val="3F432611"/>
    <w:rsid w:val="3F52345B"/>
    <w:rsid w:val="3F691EB4"/>
    <w:rsid w:val="3F953302"/>
    <w:rsid w:val="3F994A0F"/>
    <w:rsid w:val="3FA10D62"/>
    <w:rsid w:val="3FD01892"/>
    <w:rsid w:val="40137A39"/>
    <w:rsid w:val="401D012D"/>
    <w:rsid w:val="40244311"/>
    <w:rsid w:val="405C0E07"/>
    <w:rsid w:val="406157F9"/>
    <w:rsid w:val="40617CD1"/>
    <w:rsid w:val="406B5382"/>
    <w:rsid w:val="40801403"/>
    <w:rsid w:val="409969B2"/>
    <w:rsid w:val="40B97134"/>
    <w:rsid w:val="40D4038C"/>
    <w:rsid w:val="41045AFF"/>
    <w:rsid w:val="41056903"/>
    <w:rsid w:val="412505EC"/>
    <w:rsid w:val="412E7A19"/>
    <w:rsid w:val="41494EA5"/>
    <w:rsid w:val="415A6CA9"/>
    <w:rsid w:val="416C3E64"/>
    <w:rsid w:val="41772FFE"/>
    <w:rsid w:val="41B14844"/>
    <w:rsid w:val="41E1277F"/>
    <w:rsid w:val="41EF37D2"/>
    <w:rsid w:val="42005344"/>
    <w:rsid w:val="420D40F3"/>
    <w:rsid w:val="420D57AE"/>
    <w:rsid w:val="4215680E"/>
    <w:rsid w:val="4233581B"/>
    <w:rsid w:val="42663108"/>
    <w:rsid w:val="429D6801"/>
    <w:rsid w:val="429E5E18"/>
    <w:rsid w:val="42A11B51"/>
    <w:rsid w:val="42BC66E6"/>
    <w:rsid w:val="42D27E16"/>
    <w:rsid w:val="43073859"/>
    <w:rsid w:val="432406F3"/>
    <w:rsid w:val="43433615"/>
    <w:rsid w:val="43494221"/>
    <w:rsid w:val="43500DCE"/>
    <w:rsid w:val="437369C9"/>
    <w:rsid w:val="4386591D"/>
    <w:rsid w:val="4387303A"/>
    <w:rsid w:val="43922276"/>
    <w:rsid w:val="43981FE4"/>
    <w:rsid w:val="43F32881"/>
    <w:rsid w:val="440C3ECC"/>
    <w:rsid w:val="442D15BA"/>
    <w:rsid w:val="443222F2"/>
    <w:rsid w:val="44403F37"/>
    <w:rsid w:val="44586639"/>
    <w:rsid w:val="44AD1192"/>
    <w:rsid w:val="44C71390"/>
    <w:rsid w:val="44F96515"/>
    <w:rsid w:val="450A0BD9"/>
    <w:rsid w:val="451B783A"/>
    <w:rsid w:val="452305EE"/>
    <w:rsid w:val="45282304"/>
    <w:rsid w:val="453144A4"/>
    <w:rsid w:val="45AC4C2F"/>
    <w:rsid w:val="45C22215"/>
    <w:rsid w:val="45C65FC9"/>
    <w:rsid w:val="45D87964"/>
    <w:rsid w:val="45DA5D4E"/>
    <w:rsid w:val="45E87254"/>
    <w:rsid w:val="4614644F"/>
    <w:rsid w:val="462B714A"/>
    <w:rsid w:val="4660136D"/>
    <w:rsid w:val="467A558D"/>
    <w:rsid w:val="469A2271"/>
    <w:rsid w:val="46A27C3E"/>
    <w:rsid w:val="46E10F9F"/>
    <w:rsid w:val="46E50239"/>
    <w:rsid w:val="4734158D"/>
    <w:rsid w:val="47522915"/>
    <w:rsid w:val="47751158"/>
    <w:rsid w:val="477B34A9"/>
    <w:rsid w:val="47AE1CE4"/>
    <w:rsid w:val="47B40280"/>
    <w:rsid w:val="47D7007C"/>
    <w:rsid w:val="47DA7240"/>
    <w:rsid w:val="48181C0A"/>
    <w:rsid w:val="482225EF"/>
    <w:rsid w:val="48510CD5"/>
    <w:rsid w:val="48DA499B"/>
    <w:rsid w:val="48E24D30"/>
    <w:rsid w:val="48EF0CED"/>
    <w:rsid w:val="49042AD4"/>
    <w:rsid w:val="492B43F9"/>
    <w:rsid w:val="492F6096"/>
    <w:rsid w:val="4941514A"/>
    <w:rsid w:val="499241C7"/>
    <w:rsid w:val="49EA64D4"/>
    <w:rsid w:val="4A483148"/>
    <w:rsid w:val="4A681776"/>
    <w:rsid w:val="4A734C62"/>
    <w:rsid w:val="4A7414EF"/>
    <w:rsid w:val="4A807736"/>
    <w:rsid w:val="4AA313D7"/>
    <w:rsid w:val="4AA673F1"/>
    <w:rsid w:val="4AAA17BF"/>
    <w:rsid w:val="4ADF7BE9"/>
    <w:rsid w:val="4AE41970"/>
    <w:rsid w:val="4B397C91"/>
    <w:rsid w:val="4B8C4FFD"/>
    <w:rsid w:val="4B920A4B"/>
    <w:rsid w:val="4BAF5E1F"/>
    <w:rsid w:val="4BCD0F4E"/>
    <w:rsid w:val="4C273C99"/>
    <w:rsid w:val="4C360A8F"/>
    <w:rsid w:val="4C3A7247"/>
    <w:rsid w:val="4C6E6A13"/>
    <w:rsid w:val="4C802092"/>
    <w:rsid w:val="4C82151B"/>
    <w:rsid w:val="4CBA4198"/>
    <w:rsid w:val="4CBB6ACD"/>
    <w:rsid w:val="4D316F5A"/>
    <w:rsid w:val="4D6F797A"/>
    <w:rsid w:val="4D726F66"/>
    <w:rsid w:val="4D7848C6"/>
    <w:rsid w:val="4D7D5B36"/>
    <w:rsid w:val="4D8A6B20"/>
    <w:rsid w:val="4DB15778"/>
    <w:rsid w:val="4E1A726E"/>
    <w:rsid w:val="4E1E56B3"/>
    <w:rsid w:val="4E243B95"/>
    <w:rsid w:val="4E4019D8"/>
    <w:rsid w:val="4E740ACD"/>
    <w:rsid w:val="4E806EB3"/>
    <w:rsid w:val="4ED212E5"/>
    <w:rsid w:val="4EEE5B68"/>
    <w:rsid w:val="4EFC32F4"/>
    <w:rsid w:val="4F252907"/>
    <w:rsid w:val="4F2733E9"/>
    <w:rsid w:val="4F2858CD"/>
    <w:rsid w:val="4F40351E"/>
    <w:rsid w:val="4F426CB9"/>
    <w:rsid w:val="4F4D7264"/>
    <w:rsid w:val="4F7432B0"/>
    <w:rsid w:val="4F823A47"/>
    <w:rsid w:val="4FA816FE"/>
    <w:rsid w:val="4FB14A0F"/>
    <w:rsid w:val="4FB85F87"/>
    <w:rsid w:val="4FBC604D"/>
    <w:rsid w:val="4FD73352"/>
    <w:rsid w:val="500C2088"/>
    <w:rsid w:val="50297E9B"/>
    <w:rsid w:val="50AF0E1A"/>
    <w:rsid w:val="50C32621"/>
    <w:rsid w:val="5100421E"/>
    <w:rsid w:val="510C33C4"/>
    <w:rsid w:val="5110214A"/>
    <w:rsid w:val="51333FAC"/>
    <w:rsid w:val="513C7249"/>
    <w:rsid w:val="515E0B41"/>
    <w:rsid w:val="5176642C"/>
    <w:rsid w:val="51873AEF"/>
    <w:rsid w:val="51974CEB"/>
    <w:rsid w:val="51A83644"/>
    <w:rsid w:val="51CC5C45"/>
    <w:rsid w:val="51CD73AF"/>
    <w:rsid w:val="521F0B87"/>
    <w:rsid w:val="52250502"/>
    <w:rsid w:val="522954F0"/>
    <w:rsid w:val="52407FE8"/>
    <w:rsid w:val="526037D7"/>
    <w:rsid w:val="5273662B"/>
    <w:rsid w:val="528477DA"/>
    <w:rsid w:val="529265B0"/>
    <w:rsid w:val="529E60AD"/>
    <w:rsid w:val="52C54B5E"/>
    <w:rsid w:val="52E51FAE"/>
    <w:rsid w:val="5322467B"/>
    <w:rsid w:val="532C5467"/>
    <w:rsid w:val="53324B46"/>
    <w:rsid w:val="53607772"/>
    <w:rsid w:val="53652E47"/>
    <w:rsid w:val="53726AD4"/>
    <w:rsid w:val="538A4AF1"/>
    <w:rsid w:val="539A07D2"/>
    <w:rsid w:val="53A77A51"/>
    <w:rsid w:val="53B63865"/>
    <w:rsid w:val="53CD54D6"/>
    <w:rsid w:val="53D40606"/>
    <w:rsid w:val="53DF5B91"/>
    <w:rsid w:val="54181616"/>
    <w:rsid w:val="54226397"/>
    <w:rsid w:val="543F1374"/>
    <w:rsid w:val="54591D9F"/>
    <w:rsid w:val="546A7BA2"/>
    <w:rsid w:val="54861298"/>
    <w:rsid w:val="54CF4856"/>
    <w:rsid w:val="54FA3AAC"/>
    <w:rsid w:val="54FD2672"/>
    <w:rsid w:val="552D2A7F"/>
    <w:rsid w:val="556F033B"/>
    <w:rsid w:val="55CF2E9E"/>
    <w:rsid w:val="5623025A"/>
    <w:rsid w:val="562F109B"/>
    <w:rsid w:val="567F0EEF"/>
    <w:rsid w:val="569410A5"/>
    <w:rsid w:val="56E146FF"/>
    <w:rsid w:val="57041735"/>
    <w:rsid w:val="574C5BE0"/>
    <w:rsid w:val="57882E88"/>
    <w:rsid w:val="57AC7BFF"/>
    <w:rsid w:val="57EA3B43"/>
    <w:rsid w:val="580F569E"/>
    <w:rsid w:val="58331601"/>
    <w:rsid w:val="58355EB2"/>
    <w:rsid w:val="58516A69"/>
    <w:rsid w:val="58AD0DF8"/>
    <w:rsid w:val="58C15990"/>
    <w:rsid w:val="58DD7EFB"/>
    <w:rsid w:val="58F73A01"/>
    <w:rsid w:val="59277A3B"/>
    <w:rsid w:val="592C0A28"/>
    <w:rsid w:val="594A1D13"/>
    <w:rsid w:val="595F14F2"/>
    <w:rsid w:val="59865494"/>
    <w:rsid w:val="598B6A04"/>
    <w:rsid w:val="599E20D8"/>
    <w:rsid w:val="59B9557B"/>
    <w:rsid w:val="59C623A2"/>
    <w:rsid w:val="59CA1E7F"/>
    <w:rsid w:val="59F24B3D"/>
    <w:rsid w:val="59FB4A21"/>
    <w:rsid w:val="5A0F417D"/>
    <w:rsid w:val="5A2F2429"/>
    <w:rsid w:val="5A4A399B"/>
    <w:rsid w:val="5A5579A9"/>
    <w:rsid w:val="5AAD4C15"/>
    <w:rsid w:val="5AB5534F"/>
    <w:rsid w:val="5AEB62E7"/>
    <w:rsid w:val="5B0350EF"/>
    <w:rsid w:val="5B3255E5"/>
    <w:rsid w:val="5B50580F"/>
    <w:rsid w:val="5B630F60"/>
    <w:rsid w:val="5B9525FC"/>
    <w:rsid w:val="5BB13160"/>
    <w:rsid w:val="5BB81595"/>
    <w:rsid w:val="5BDD2E96"/>
    <w:rsid w:val="5C104732"/>
    <w:rsid w:val="5C674956"/>
    <w:rsid w:val="5C8C6605"/>
    <w:rsid w:val="5C9170FB"/>
    <w:rsid w:val="5C9213DC"/>
    <w:rsid w:val="5CC5509E"/>
    <w:rsid w:val="5CEC0365"/>
    <w:rsid w:val="5CF808CF"/>
    <w:rsid w:val="5D0273CA"/>
    <w:rsid w:val="5D1464F0"/>
    <w:rsid w:val="5D2573D4"/>
    <w:rsid w:val="5D825884"/>
    <w:rsid w:val="5DBB6874"/>
    <w:rsid w:val="5DE54817"/>
    <w:rsid w:val="5DF61D26"/>
    <w:rsid w:val="5E151258"/>
    <w:rsid w:val="5E5861AA"/>
    <w:rsid w:val="5E8D06B2"/>
    <w:rsid w:val="5E954681"/>
    <w:rsid w:val="5EC75FED"/>
    <w:rsid w:val="5ED80CD6"/>
    <w:rsid w:val="5EE271FD"/>
    <w:rsid w:val="5F2F273F"/>
    <w:rsid w:val="5F687B37"/>
    <w:rsid w:val="5FA16C5B"/>
    <w:rsid w:val="60036E4B"/>
    <w:rsid w:val="60526FEC"/>
    <w:rsid w:val="6076577B"/>
    <w:rsid w:val="60A11061"/>
    <w:rsid w:val="60BE2AF7"/>
    <w:rsid w:val="60C0525D"/>
    <w:rsid w:val="60F93243"/>
    <w:rsid w:val="611F2B0A"/>
    <w:rsid w:val="61301FD4"/>
    <w:rsid w:val="61432FA6"/>
    <w:rsid w:val="61AE04AE"/>
    <w:rsid w:val="61CE556C"/>
    <w:rsid w:val="61D86616"/>
    <w:rsid w:val="61DF3116"/>
    <w:rsid w:val="61FF60A8"/>
    <w:rsid w:val="62416BEF"/>
    <w:rsid w:val="62430595"/>
    <w:rsid w:val="625468D6"/>
    <w:rsid w:val="62702EA4"/>
    <w:rsid w:val="627E0A01"/>
    <w:rsid w:val="62817FE9"/>
    <w:rsid w:val="62A70B65"/>
    <w:rsid w:val="630857E2"/>
    <w:rsid w:val="63110760"/>
    <w:rsid w:val="635F53E5"/>
    <w:rsid w:val="638B7F63"/>
    <w:rsid w:val="638C799E"/>
    <w:rsid w:val="63907CC5"/>
    <w:rsid w:val="6399524F"/>
    <w:rsid w:val="639F580A"/>
    <w:rsid w:val="63AC24A4"/>
    <w:rsid w:val="63AD256F"/>
    <w:rsid w:val="63B05F7D"/>
    <w:rsid w:val="63C11BFC"/>
    <w:rsid w:val="63D350F5"/>
    <w:rsid w:val="63E75D65"/>
    <w:rsid w:val="63EB5654"/>
    <w:rsid w:val="6422149A"/>
    <w:rsid w:val="642E0D05"/>
    <w:rsid w:val="647A2A85"/>
    <w:rsid w:val="648835BB"/>
    <w:rsid w:val="64CD57F2"/>
    <w:rsid w:val="64CF6147"/>
    <w:rsid w:val="64EE24C7"/>
    <w:rsid w:val="64FA7720"/>
    <w:rsid w:val="64FD41D3"/>
    <w:rsid w:val="65240423"/>
    <w:rsid w:val="653E7D7D"/>
    <w:rsid w:val="65700C83"/>
    <w:rsid w:val="65714973"/>
    <w:rsid w:val="659010C5"/>
    <w:rsid w:val="65944034"/>
    <w:rsid w:val="65DE440C"/>
    <w:rsid w:val="65EC119A"/>
    <w:rsid w:val="65EF2FCD"/>
    <w:rsid w:val="65FC2CF2"/>
    <w:rsid w:val="6628182A"/>
    <w:rsid w:val="6639330E"/>
    <w:rsid w:val="663C43E4"/>
    <w:rsid w:val="664C665A"/>
    <w:rsid w:val="66952C30"/>
    <w:rsid w:val="66C44825"/>
    <w:rsid w:val="66E65723"/>
    <w:rsid w:val="66EC3412"/>
    <w:rsid w:val="67165829"/>
    <w:rsid w:val="67270DA6"/>
    <w:rsid w:val="675675A4"/>
    <w:rsid w:val="67774F54"/>
    <w:rsid w:val="67800631"/>
    <w:rsid w:val="67C52DE3"/>
    <w:rsid w:val="680248C0"/>
    <w:rsid w:val="68076DA0"/>
    <w:rsid w:val="681923A9"/>
    <w:rsid w:val="681E108F"/>
    <w:rsid w:val="684D777D"/>
    <w:rsid w:val="685C0518"/>
    <w:rsid w:val="68631F2B"/>
    <w:rsid w:val="68914CDB"/>
    <w:rsid w:val="68953657"/>
    <w:rsid w:val="68A040AB"/>
    <w:rsid w:val="68B32B12"/>
    <w:rsid w:val="68C11892"/>
    <w:rsid w:val="68E03A22"/>
    <w:rsid w:val="68E12AD7"/>
    <w:rsid w:val="68E63A0A"/>
    <w:rsid w:val="68F14DF4"/>
    <w:rsid w:val="68FF061E"/>
    <w:rsid w:val="690C74DE"/>
    <w:rsid w:val="691A5C56"/>
    <w:rsid w:val="6922550D"/>
    <w:rsid w:val="694766FF"/>
    <w:rsid w:val="694864A9"/>
    <w:rsid w:val="69572F34"/>
    <w:rsid w:val="69690DB6"/>
    <w:rsid w:val="69747DB4"/>
    <w:rsid w:val="69BE0ED0"/>
    <w:rsid w:val="69FD5625"/>
    <w:rsid w:val="6A5E0D03"/>
    <w:rsid w:val="6A6F4D7B"/>
    <w:rsid w:val="6A716F6C"/>
    <w:rsid w:val="6A953774"/>
    <w:rsid w:val="6A980219"/>
    <w:rsid w:val="6AE24D8D"/>
    <w:rsid w:val="6AEA0A28"/>
    <w:rsid w:val="6AEB51B1"/>
    <w:rsid w:val="6B0E5817"/>
    <w:rsid w:val="6B2A452A"/>
    <w:rsid w:val="6B2C38B0"/>
    <w:rsid w:val="6B4C1CE1"/>
    <w:rsid w:val="6B563B16"/>
    <w:rsid w:val="6B572268"/>
    <w:rsid w:val="6B9F6780"/>
    <w:rsid w:val="6BC46C82"/>
    <w:rsid w:val="6BC65771"/>
    <w:rsid w:val="6BF346EA"/>
    <w:rsid w:val="6C2B01A5"/>
    <w:rsid w:val="6C6F276A"/>
    <w:rsid w:val="6C9C1458"/>
    <w:rsid w:val="6CC90345"/>
    <w:rsid w:val="6D057474"/>
    <w:rsid w:val="6D190CC7"/>
    <w:rsid w:val="6D2B1043"/>
    <w:rsid w:val="6D3C65F3"/>
    <w:rsid w:val="6D6E1D87"/>
    <w:rsid w:val="6D775BFB"/>
    <w:rsid w:val="6D85787B"/>
    <w:rsid w:val="6DA87764"/>
    <w:rsid w:val="6DAB3360"/>
    <w:rsid w:val="6DEE1649"/>
    <w:rsid w:val="6E237750"/>
    <w:rsid w:val="6E287FD1"/>
    <w:rsid w:val="6E437727"/>
    <w:rsid w:val="6EAD3B77"/>
    <w:rsid w:val="6EB01E04"/>
    <w:rsid w:val="6EB56801"/>
    <w:rsid w:val="6EC922AC"/>
    <w:rsid w:val="6ED62612"/>
    <w:rsid w:val="6F0C0C5E"/>
    <w:rsid w:val="6F4F4AAB"/>
    <w:rsid w:val="6F5165AE"/>
    <w:rsid w:val="6F6262A4"/>
    <w:rsid w:val="6F970310"/>
    <w:rsid w:val="6F973E34"/>
    <w:rsid w:val="6F9A04B5"/>
    <w:rsid w:val="6FAF3458"/>
    <w:rsid w:val="6FC80671"/>
    <w:rsid w:val="700A6962"/>
    <w:rsid w:val="70194434"/>
    <w:rsid w:val="70300002"/>
    <w:rsid w:val="703B17C4"/>
    <w:rsid w:val="70741559"/>
    <w:rsid w:val="708A49DC"/>
    <w:rsid w:val="70A31014"/>
    <w:rsid w:val="70C224CC"/>
    <w:rsid w:val="70D9277D"/>
    <w:rsid w:val="70EF4D7F"/>
    <w:rsid w:val="71126C55"/>
    <w:rsid w:val="71340D9A"/>
    <w:rsid w:val="713770BD"/>
    <w:rsid w:val="714579CD"/>
    <w:rsid w:val="715A61B1"/>
    <w:rsid w:val="716D73B4"/>
    <w:rsid w:val="71AC71F2"/>
    <w:rsid w:val="71EE75CE"/>
    <w:rsid w:val="71F442B5"/>
    <w:rsid w:val="71FA4B09"/>
    <w:rsid w:val="71FF0837"/>
    <w:rsid w:val="72061A28"/>
    <w:rsid w:val="721E4CD2"/>
    <w:rsid w:val="726F1340"/>
    <w:rsid w:val="72734A09"/>
    <w:rsid w:val="727E33A4"/>
    <w:rsid w:val="728B6323"/>
    <w:rsid w:val="72D435CD"/>
    <w:rsid w:val="72D755A0"/>
    <w:rsid w:val="72FE6A17"/>
    <w:rsid w:val="73025D8D"/>
    <w:rsid w:val="73457F9A"/>
    <w:rsid w:val="73583C26"/>
    <w:rsid w:val="73595565"/>
    <w:rsid w:val="73691BC5"/>
    <w:rsid w:val="73701470"/>
    <w:rsid w:val="73B10F0A"/>
    <w:rsid w:val="73C00E13"/>
    <w:rsid w:val="73D4638F"/>
    <w:rsid w:val="73FA1062"/>
    <w:rsid w:val="742E5A2C"/>
    <w:rsid w:val="74430764"/>
    <w:rsid w:val="745646B6"/>
    <w:rsid w:val="74694383"/>
    <w:rsid w:val="74945D02"/>
    <w:rsid w:val="74CE11A0"/>
    <w:rsid w:val="74CF5A45"/>
    <w:rsid w:val="74E83BBF"/>
    <w:rsid w:val="74F5349F"/>
    <w:rsid w:val="74FA4E4C"/>
    <w:rsid w:val="755846FC"/>
    <w:rsid w:val="7574369E"/>
    <w:rsid w:val="75A11890"/>
    <w:rsid w:val="75B505A8"/>
    <w:rsid w:val="75D37AFC"/>
    <w:rsid w:val="76370787"/>
    <w:rsid w:val="767A17DC"/>
    <w:rsid w:val="76AA27BC"/>
    <w:rsid w:val="76AF40C0"/>
    <w:rsid w:val="76C5794D"/>
    <w:rsid w:val="76DC3A22"/>
    <w:rsid w:val="773B64EF"/>
    <w:rsid w:val="77434A33"/>
    <w:rsid w:val="7745408A"/>
    <w:rsid w:val="7749748C"/>
    <w:rsid w:val="77566A37"/>
    <w:rsid w:val="77A0307A"/>
    <w:rsid w:val="77C43DC7"/>
    <w:rsid w:val="77C76C79"/>
    <w:rsid w:val="77D50ADE"/>
    <w:rsid w:val="77D82B16"/>
    <w:rsid w:val="77FB3CD8"/>
    <w:rsid w:val="782B3DBB"/>
    <w:rsid w:val="784235A3"/>
    <w:rsid w:val="785950AC"/>
    <w:rsid w:val="788A5A38"/>
    <w:rsid w:val="78B23AD2"/>
    <w:rsid w:val="78D5161F"/>
    <w:rsid w:val="791E0068"/>
    <w:rsid w:val="791F20DA"/>
    <w:rsid w:val="792D45B0"/>
    <w:rsid w:val="796200C7"/>
    <w:rsid w:val="79634BF9"/>
    <w:rsid w:val="79C4608A"/>
    <w:rsid w:val="79D91E70"/>
    <w:rsid w:val="79E94B35"/>
    <w:rsid w:val="79FA67EE"/>
    <w:rsid w:val="7A036FDD"/>
    <w:rsid w:val="7A137F9D"/>
    <w:rsid w:val="7A2B6566"/>
    <w:rsid w:val="7A5D00AC"/>
    <w:rsid w:val="7A6C1131"/>
    <w:rsid w:val="7A723841"/>
    <w:rsid w:val="7A723D80"/>
    <w:rsid w:val="7A7848C7"/>
    <w:rsid w:val="7AE752FD"/>
    <w:rsid w:val="7B0B3646"/>
    <w:rsid w:val="7B130D4E"/>
    <w:rsid w:val="7B7C1ABA"/>
    <w:rsid w:val="7BA15173"/>
    <w:rsid w:val="7BAF4D02"/>
    <w:rsid w:val="7BB22AF4"/>
    <w:rsid w:val="7BB5326D"/>
    <w:rsid w:val="7BB866E4"/>
    <w:rsid w:val="7BD32DEA"/>
    <w:rsid w:val="7BDC717B"/>
    <w:rsid w:val="7BE07083"/>
    <w:rsid w:val="7BE816D4"/>
    <w:rsid w:val="7BF06136"/>
    <w:rsid w:val="7C341734"/>
    <w:rsid w:val="7C3702CE"/>
    <w:rsid w:val="7C4231CD"/>
    <w:rsid w:val="7C574A54"/>
    <w:rsid w:val="7C7E4C60"/>
    <w:rsid w:val="7CBA6676"/>
    <w:rsid w:val="7CCC69D0"/>
    <w:rsid w:val="7CE15F77"/>
    <w:rsid w:val="7CE670AC"/>
    <w:rsid w:val="7CE93FCE"/>
    <w:rsid w:val="7D2B1BD8"/>
    <w:rsid w:val="7D52346D"/>
    <w:rsid w:val="7D7D10AB"/>
    <w:rsid w:val="7D821AD4"/>
    <w:rsid w:val="7D9A7210"/>
    <w:rsid w:val="7DA509E8"/>
    <w:rsid w:val="7DA96722"/>
    <w:rsid w:val="7DB33B66"/>
    <w:rsid w:val="7E1A3F8B"/>
    <w:rsid w:val="7E1F3A31"/>
    <w:rsid w:val="7E2016AE"/>
    <w:rsid w:val="7E646740"/>
    <w:rsid w:val="7EDE43EC"/>
    <w:rsid w:val="7F1B14AB"/>
    <w:rsid w:val="7F4671ED"/>
    <w:rsid w:val="7F697151"/>
    <w:rsid w:val="7F7E0BC7"/>
    <w:rsid w:val="7F8365D4"/>
    <w:rsid w:val="7FB40F79"/>
    <w:rsid w:val="7FBA7478"/>
    <w:rsid w:val="7FD837E3"/>
    <w:rsid w:val="7FDE5986"/>
    <w:rsid w:val="7FEC733D"/>
    <w:rsid w:val="7FED0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outlineLvl w:val="0"/>
    </w:pPr>
    <w:rPr>
      <w:b/>
      <w:kern w:val="44"/>
      <w:sz w:val="32"/>
    </w:rPr>
  </w:style>
  <w:style w:type="paragraph" w:styleId="4">
    <w:name w:val="heading 2"/>
    <w:basedOn w:val="1"/>
    <w:next w:val="1"/>
    <w:link w:val="27"/>
    <w:qFormat/>
    <w:uiPriority w:val="0"/>
    <w:pPr>
      <w:keepNext/>
      <w:keepLines/>
      <w:outlineLvl w:val="1"/>
    </w:pPr>
    <w:rPr>
      <w:b/>
      <w:kern w:val="0"/>
      <w:sz w:val="30"/>
      <w:szCs w:val="20"/>
    </w:rPr>
  </w:style>
  <w:style w:type="paragraph" w:styleId="5">
    <w:name w:val="heading 3"/>
    <w:basedOn w:val="1"/>
    <w:next w:val="1"/>
    <w:qFormat/>
    <w:uiPriority w:val="0"/>
    <w:pPr>
      <w:keepNext/>
      <w:keepLines/>
      <w:outlineLvl w:val="2"/>
    </w:pPr>
    <w:rPr>
      <w:b/>
    </w:rPr>
  </w:style>
  <w:style w:type="paragraph" w:styleId="6">
    <w:name w:val="heading 4"/>
    <w:basedOn w:val="1"/>
    <w:next w:val="1"/>
    <w:qFormat/>
    <w:uiPriority w:val="0"/>
    <w:pPr>
      <w:keepNext/>
      <w:keepLines/>
      <w:outlineLvl w:val="3"/>
    </w:pPr>
    <w:rPr>
      <w:b/>
    </w:rPr>
  </w:style>
  <w:style w:type="paragraph" w:styleId="7">
    <w:name w:val="heading 5"/>
    <w:basedOn w:val="1"/>
    <w:next w:val="1"/>
    <w:qFormat/>
    <w:uiPriority w:val="0"/>
    <w:pPr>
      <w:keepNext/>
      <w:keepLines/>
      <w:spacing w:before="280" w:after="290" w:line="372" w:lineRule="auto"/>
      <w:outlineLvl w:val="4"/>
    </w:pPr>
    <w:rPr>
      <w:b/>
      <w:sz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Default2"/>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styleId="8">
    <w:name w:val="Normal Indent"/>
    <w:basedOn w:val="1"/>
    <w:qFormat/>
    <w:uiPriority w:val="0"/>
    <w:pPr>
      <w:ind w:firstLine="420"/>
    </w:pPr>
    <w:rPr>
      <w:szCs w:val="20"/>
    </w:rPr>
  </w:style>
  <w:style w:type="paragraph" w:styleId="9">
    <w:name w:val="annotation text"/>
    <w:basedOn w:val="1"/>
    <w:qFormat/>
    <w:uiPriority w:val="99"/>
    <w:pPr>
      <w:widowControl/>
      <w:spacing w:line="240" w:lineRule="auto"/>
      <w:jc w:val="left"/>
    </w:pPr>
    <w:rPr>
      <w:rFonts w:ascii="楷体" w:hAnsi="楷体"/>
      <w:b/>
    </w:rPr>
  </w:style>
  <w:style w:type="paragraph" w:styleId="10">
    <w:name w:val="Body Text"/>
    <w:basedOn w:val="1"/>
    <w:qFormat/>
    <w:uiPriority w:val="99"/>
    <w:pPr>
      <w:ind w:firstLine="880"/>
      <w:jc w:val="left"/>
    </w:pPr>
  </w:style>
  <w:style w:type="paragraph" w:styleId="11">
    <w:name w:val="toc 3"/>
    <w:basedOn w:val="1"/>
    <w:next w:val="1"/>
    <w:qFormat/>
    <w:uiPriority w:val="0"/>
    <w:pPr>
      <w:ind w:left="840" w:leftChars="400"/>
    </w:pPr>
  </w:style>
  <w:style w:type="paragraph" w:styleId="12">
    <w:name w:val="Plain Text"/>
    <w:basedOn w:val="1"/>
    <w:qFormat/>
    <w:uiPriority w:val="99"/>
    <w:rPr>
      <w:rFonts w:ascii="宋体" w:hAnsi="Courier New" w:cs="Courier New"/>
      <w:sz w:val="21"/>
      <w:szCs w:val="21"/>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0"/>
    <w:pPr>
      <w:spacing w:before="100" w:beforeAutospacing="1" w:after="100" w:afterAutospacing="1"/>
      <w:jc w:val="left"/>
    </w:pPr>
    <w:rPr>
      <w:kern w:val="0"/>
    </w:rPr>
  </w:style>
  <w:style w:type="paragraph" w:styleId="18">
    <w:name w:val="Title"/>
    <w:basedOn w:val="1"/>
    <w:next w:val="1"/>
    <w:qFormat/>
    <w:uiPriority w:val="99"/>
    <w:pPr>
      <w:spacing w:before="240" w:after="240"/>
      <w:ind w:firstLine="200"/>
      <w:jc w:val="center"/>
      <w:outlineLvl w:val="0"/>
    </w:pPr>
    <w:rPr>
      <w:rFonts w:ascii="Cambria" w:hAnsi="Cambria"/>
      <w:b/>
      <w:bCs/>
      <w:sz w:val="32"/>
      <w:szCs w:val="32"/>
    </w:rPr>
  </w:style>
  <w:style w:type="paragraph" w:styleId="19">
    <w:name w:val="Body Text First Indent"/>
    <w:basedOn w:val="1"/>
    <w:qFormat/>
    <w:uiPriority w:val="99"/>
    <w:pPr>
      <w:ind w:firstLine="42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99"/>
    <w:rPr>
      <w:rFonts w:cs="Times New Roman"/>
    </w:rPr>
  </w:style>
  <w:style w:type="character" w:styleId="24">
    <w:name w:val="FollowedHyperlink"/>
    <w:basedOn w:val="22"/>
    <w:qFormat/>
    <w:uiPriority w:val="0"/>
    <w:rPr>
      <w:color w:val="333333"/>
      <w:u w:val="none"/>
    </w:rPr>
  </w:style>
  <w:style w:type="character" w:styleId="25">
    <w:name w:val="Hyperlink"/>
    <w:basedOn w:val="22"/>
    <w:qFormat/>
    <w:uiPriority w:val="0"/>
    <w:rPr>
      <w:color w:val="000000"/>
      <w:u w:val="none"/>
    </w:rPr>
  </w:style>
  <w:style w:type="character" w:styleId="26">
    <w:name w:val="annotation reference"/>
    <w:basedOn w:val="22"/>
    <w:qFormat/>
    <w:uiPriority w:val="0"/>
    <w:rPr>
      <w:sz w:val="21"/>
      <w:szCs w:val="21"/>
    </w:rPr>
  </w:style>
  <w:style w:type="character" w:customStyle="1" w:styleId="27">
    <w:name w:val="标题 2 Char"/>
    <w:link w:val="4"/>
    <w:qFormat/>
    <w:uiPriority w:val="0"/>
    <w:rPr>
      <w:b/>
      <w:sz w:val="30"/>
    </w:rPr>
  </w:style>
  <w:style w:type="character" w:customStyle="1" w:styleId="28">
    <w:name w:val="jiaoluo"/>
    <w:basedOn w:val="22"/>
    <w:qFormat/>
    <w:uiPriority w:val="0"/>
  </w:style>
  <w:style w:type="character" w:customStyle="1" w:styleId="29">
    <w:name w:val="last4"/>
    <w:basedOn w:val="22"/>
    <w:qFormat/>
    <w:uiPriority w:val="0"/>
  </w:style>
  <w:style w:type="character" w:customStyle="1" w:styleId="30">
    <w:name w:val="zuo"/>
    <w:basedOn w:val="22"/>
    <w:qFormat/>
    <w:uiPriority w:val="0"/>
  </w:style>
  <w:style w:type="character" w:customStyle="1" w:styleId="31">
    <w:name w:val="gai3"/>
    <w:basedOn w:val="22"/>
    <w:qFormat/>
    <w:uiPriority w:val="0"/>
  </w:style>
  <w:style w:type="character" w:customStyle="1" w:styleId="32">
    <w:name w:val="gai2"/>
    <w:basedOn w:val="22"/>
    <w:qFormat/>
    <w:uiPriority w:val="0"/>
  </w:style>
  <w:style w:type="character" w:customStyle="1" w:styleId="33">
    <w:name w:val="标题 3 宇腾"/>
    <w:basedOn w:val="22"/>
    <w:qFormat/>
    <w:uiPriority w:val="99"/>
    <w:rPr>
      <w:rFonts w:ascii="Times New Roman" w:hAnsi="Times New Roman" w:eastAsia="宋体" w:cs="Times New Roman"/>
      <w:b/>
      <w:bCs/>
      <w:kern w:val="2"/>
      <w:sz w:val="32"/>
      <w:szCs w:val="32"/>
      <w:lang w:val="en-US" w:eastAsia="zh-CN" w:bidi="ar-SA"/>
    </w:rPr>
  </w:style>
  <w:style w:type="character" w:customStyle="1" w:styleId="34">
    <w:name w:val="gai"/>
    <w:basedOn w:val="22"/>
    <w:qFormat/>
    <w:uiPriority w:val="0"/>
  </w:style>
  <w:style w:type="character" w:customStyle="1" w:styleId="35">
    <w:name w:val="sjzs"/>
    <w:basedOn w:val="22"/>
    <w:qFormat/>
    <w:uiPriority w:val="0"/>
    <w:rPr>
      <w:sz w:val="21"/>
      <w:szCs w:val="21"/>
    </w:rPr>
  </w:style>
  <w:style w:type="character" w:customStyle="1" w:styleId="36">
    <w:name w:val="quanp2"/>
    <w:basedOn w:val="22"/>
    <w:qFormat/>
    <w:uiPriority w:val="0"/>
    <w:rPr>
      <w:color w:val="FFFFFF"/>
      <w:sz w:val="16"/>
      <w:szCs w:val="0"/>
      <w:shd w:val="clear" w:color="auto" w:fill="7CB8FE"/>
    </w:rPr>
  </w:style>
  <w:style w:type="character" w:customStyle="1" w:styleId="37">
    <w:name w:val="last2"/>
    <w:basedOn w:val="22"/>
    <w:qFormat/>
    <w:uiPriority w:val="0"/>
  </w:style>
  <w:style w:type="character" w:customStyle="1" w:styleId="38">
    <w:name w:val="tit"/>
    <w:basedOn w:val="22"/>
    <w:qFormat/>
    <w:uiPriority w:val="0"/>
    <w:rPr>
      <w:color w:val="1D0000"/>
      <w:sz w:val="26"/>
      <w:szCs w:val="26"/>
    </w:rPr>
  </w:style>
  <w:style w:type="character" w:customStyle="1" w:styleId="39">
    <w:name w:val="last"/>
    <w:basedOn w:val="22"/>
    <w:qFormat/>
    <w:uiPriority w:val="0"/>
  </w:style>
  <w:style w:type="character" w:customStyle="1" w:styleId="40">
    <w:name w:val="quanp"/>
    <w:basedOn w:val="22"/>
    <w:qFormat/>
    <w:uiPriority w:val="0"/>
    <w:rPr>
      <w:color w:val="FFFFFF"/>
      <w:shd w:val="clear" w:color="auto" w:fill="7CB8FE"/>
    </w:rPr>
  </w:style>
  <w:style w:type="character" w:customStyle="1" w:styleId="41">
    <w:name w:val="gai1"/>
    <w:basedOn w:val="22"/>
    <w:qFormat/>
    <w:uiPriority w:val="0"/>
  </w:style>
  <w:style w:type="character" w:customStyle="1" w:styleId="42">
    <w:name w:val="last6"/>
    <w:basedOn w:val="22"/>
    <w:qFormat/>
    <w:uiPriority w:val="0"/>
  </w:style>
  <w:style w:type="character" w:customStyle="1" w:styleId="43">
    <w:name w:val="fanhui"/>
    <w:basedOn w:val="22"/>
    <w:qFormat/>
    <w:uiPriority w:val="0"/>
    <w:rPr>
      <w:color w:val="FFFFFF"/>
      <w:sz w:val="19"/>
      <w:szCs w:val="19"/>
    </w:rPr>
  </w:style>
  <w:style w:type="character" w:customStyle="1" w:styleId="44">
    <w:name w:val="lname"/>
    <w:basedOn w:val="22"/>
    <w:qFormat/>
    <w:uiPriority w:val="0"/>
    <w:rPr>
      <w:color w:val="000000"/>
      <w:sz w:val="24"/>
      <w:szCs w:val="24"/>
    </w:rPr>
  </w:style>
  <w:style w:type="character" w:customStyle="1" w:styleId="45">
    <w:name w:val="you"/>
    <w:basedOn w:val="22"/>
    <w:qFormat/>
    <w:uiPriority w:val="0"/>
  </w:style>
  <w:style w:type="character" w:customStyle="1" w:styleId="46">
    <w:name w:val="jiaoluo2"/>
    <w:basedOn w:val="22"/>
    <w:qFormat/>
    <w:uiPriority w:val="0"/>
  </w:style>
  <w:style w:type="character" w:customStyle="1" w:styleId="47">
    <w:name w:val="tianqi"/>
    <w:basedOn w:val="22"/>
    <w:qFormat/>
    <w:uiPriority w:val="0"/>
  </w:style>
  <w:style w:type="character" w:customStyle="1" w:styleId="48">
    <w:name w:val="info-valid"/>
    <w:basedOn w:val="22"/>
    <w:qFormat/>
    <w:uiPriority w:val="0"/>
    <w:rPr>
      <w:color w:val="444444"/>
    </w:rPr>
  </w:style>
  <w:style w:type="character" w:customStyle="1" w:styleId="49">
    <w:name w:val="标题 3 Char Char"/>
    <w:basedOn w:val="22"/>
    <w:qFormat/>
    <w:uiPriority w:val="99"/>
    <w:rPr>
      <w:rFonts w:eastAsia="宋体" w:cs="Times New Roman"/>
      <w:b/>
      <w:bCs/>
      <w:kern w:val="2"/>
      <w:sz w:val="32"/>
      <w:szCs w:val="32"/>
      <w:lang w:val="en-US" w:eastAsia="zh-CN" w:bidi="ar-SA"/>
    </w:rPr>
  </w:style>
  <w:style w:type="character" w:customStyle="1" w:styleId="50">
    <w:name w:val="last5"/>
    <w:basedOn w:val="22"/>
    <w:qFormat/>
    <w:uiPriority w:val="0"/>
  </w:style>
  <w:style w:type="character" w:customStyle="1" w:styleId="51">
    <w:name w:val="last1"/>
    <w:basedOn w:val="22"/>
    <w:qFormat/>
    <w:uiPriority w:val="0"/>
  </w:style>
  <w:style w:type="character" w:customStyle="1" w:styleId="52">
    <w:name w:val="ldjs"/>
    <w:basedOn w:val="22"/>
    <w:qFormat/>
    <w:uiPriority w:val="0"/>
    <w:rPr>
      <w:color w:val="666666"/>
      <w:sz w:val="19"/>
      <w:szCs w:val="19"/>
    </w:rPr>
  </w:style>
  <w:style w:type="character" w:customStyle="1" w:styleId="53">
    <w:name w:val="gai4"/>
    <w:basedOn w:val="22"/>
    <w:qFormat/>
    <w:uiPriority w:val="0"/>
  </w:style>
  <w:style w:type="character" w:customStyle="1" w:styleId="54">
    <w:name w:val="标题 1 宇腾"/>
    <w:basedOn w:val="22"/>
    <w:qFormat/>
    <w:uiPriority w:val="99"/>
    <w:rPr>
      <w:rFonts w:ascii="Times New Roman" w:hAnsi="Times New Roman" w:eastAsia="宋体" w:cs="Times New Roman"/>
      <w:b/>
      <w:bCs/>
      <w:sz w:val="44"/>
    </w:rPr>
  </w:style>
  <w:style w:type="paragraph" w:customStyle="1" w:styleId="55">
    <w:name w:val="样式 小四 行距: 1.5 倍行距 首行缩进:  2 字符"/>
    <w:basedOn w:val="1"/>
    <w:qFormat/>
    <w:uiPriority w:val="0"/>
    <w:pPr>
      <w:widowControl/>
      <w:spacing w:line="460" w:lineRule="exact"/>
      <w:ind w:firstLine="200"/>
      <w:jc w:val="left"/>
    </w:pPr>
    <w:rPr>
      <w:rFonts w:cs="宋体"/>
    </w:rPr>
  </w:style>
  <w:style w:type="paragraph" w:customStyle="1" w:styleId="56">
    <w:name w:val="表头格式"/>
    <w:basedOn w:val="1"/>
    <w:qFormat/>
    <w:uiPriority w:val="99"/>
    <w:pPr>
      <w:jc w:val="center"/>
    </w:pPr>
    <w:rPr>
      <w:b/>
      <w:kern w:val="0"/>
      <w:sz w:val="21"/>
      <w:szCs w:val="20"/>
    </w:rPr>
  </w:style>
  <w:style w:type="paragraph" w:customStyle="1" w:styleId="57">
    <w:name w:val="表格"/>
    <w:basedOn w:val="1"/>
    <w:qFormat/>
    <w:uiPriority w:val="0"/>
    <w:pPr>
      <w:spacing w:line="400" w:lineRule="exact"/>
      <w:jc w:val="center"/>
    </w:pPr>
    <w:rPr>
      <w:sz w:val="21"/>
    </w:rPr>
  </w:style>
  <w:style w:type="paragraph" w:customStyle="1" w:styleId="58">
    <w:name w:val="headline4"/>
    <w:basedOn w:val="1"/>
    <w:next w:val="1"/>
    <w:qFormat/>
    <w:uiPriority w:val="0"/>
    <w:pPr>
      <w:spacing w:line="240" w:lineRule="auto"/>
      <w:jc w:val="left"/>
      <w:outlineLvl w:val="3"/>
    </w:pPr>
    <w:rPr>
      <w:b/>
    </w:rPr>
  </w:style>
  <w:style w:type="paragraph" w:customStyle="1" w:styleId="59">
    <w:name w:val="标题3"/>
    <w:next w:val="6"/>
    <w:qFormat/>
    <w:uiPriority w:val="0"/>
    <w:pPr>
      <w:spacing w:line="360" w:lineRule="auto"/>
    </w:pPr>
    <w:rPr>
      <w:rFonts w:ascii="Times New Roman" w:hAnsi="Times New Roman" w:eastAsia="宋体" w:cs="Times New Roman"/>
      <w:b/>
      <w:bCs/>
      <w:kern w:val="2"/>
      <w:sz w:val="24"/>
      <w:szCs w:val="32"/>
      <w:lang w:val="en-US" w:eastAsia="zh-CN" w:bidi="ar-SA"/>
    </w:rPr>
  </w:style>
  <w:style w:type="paragraph" w:customStyle="1" w:styleId="60">
    <w:name w:val="Table"/>
    <w:basedOn w:val="61"/>
    <w:qFormat/>
    <w:uiPriority w:val="0"/>
    <w:pPr>
      <w:ind w:firstLine="200" w:firstLineChars="200"/>
      <w:jc w:val="left"/>
    </w:pPr>
  </w:style>
  <w:style w:type="paragraph" w:customStyle="1" w:styleId="61">
    <w:name w:val="sheet"/>
    <w:basedOn w:val="1"/>
    <w:qFormat/>
    <w:uiPriority w:val="0"/>
    <w:pPr>
      <w:spacing w:line="240" w:lineRule="auto"/>
      <w:jc w:val="center"/>
    </w:pPr>
    <w:rPr>
      <w:sz w:val="21"/>
    </w:rPr>
  </w:style>
  <w:style w:type="paragraph" w:customStyle="1" w:styleId="62">
    <w:name w:val="报告正文"/>
    <w:basedOn w:val="1"/>
    <w:qFormat/>
    <w:uiPriority w:val="99"/>
    <w:pPr>
      <w:ind w:firstLine="200"/>
    </w:pPr>
    <w:rPr>
      <w:rFonts w:ascii="宋体" w:hAnsi="宋体"/>
      <w:sz w:val="28"/>
      <w:szCs w:val="20"/>
    </w:rPr>
  </w:style>
  <w:style w:type="paragraph" w:customStyle="1" w:styleId="63">
    <w:name w:val="1标题"/>
    <w:basedOn w:val="1"/>
    <w:qFormat/>
    <w:uiPriority w:val="0"/>
    <w:pPr>
      <w:spacing w:beforeLines="50" w:afterLines="50" w:line="560" w:lineRule="exact"/>
      <w:outlineLvl w:val="0"/>
    </w:pPr>
    <w:rPr>
      <w:rFonts w:eastAsia="黑体"/>
      <w:b/>
      <w:kern w:val="0"/>
      <w:sz w:val="32"/>
      <w:szCs w:val="20"/>
    </w:rPr>
  </w:style>
  <w:style w:type="paragraph" w:customStyle="1" w:styleId="64">
    <w:name w:val="WPSOffice手动目录 2"/>
    <w:qFormat/>
    <w:uiPriority w:val="0"/>
    <w:pPr>
      <w:ind w:leftChars="200"/>
    </w:pPr>
    <w:rPr>
      <w:rFonts w:ascii="Times New Roman" w:hAnsi="Times New Roman" w:eastAsia="宋体" w:cs="Times New Roman"/>
      <w:lang w:val="en-US" w:eastAsia="zh-CN" w:bidi="ar-SA"/>
    </w:rPr>
  </w:style>
  <w:style w:type="paragraph" w:customStyle="1" w:styleId="65">
    <w:name w:val="样式 样式 样式1 + 行距: 1.5 倍行距 +"/>
    <w:basedOn w:val="1"/>
    <w:qFormat/>
    <w:uiPriority w:val="99"/>
    <w:pPr>
      <w:widowControl/>
      <w:adjustRightInd w:val="0"/>
      <w:snapToGrid w:val="0"/>
      <w:ind w:firstLine="200"/>
    </w:pPr>
    <w:rPr>
      <w:rFonts w:cs="宋体"/>
      <w:kern w:val="0"/>
      <w:szCs w:val="20"/>
    </w:rPr>
  </w:style>
  <w:style w:type="paragraph" w:customStyle="1" w:styleId="66">
    <w:name w:val="标题4（chen）"/>
    <w:basedOn w:val="1"/>
    <w:qFormat/>
    <w:uiPriority w:val="0"/>
    <w:pPr>
      <w:ind w:firstLine="200" w:firstLineChars="200"/>
      <w:jc w:val="left"/>
      <w:outlineLvl w:val="3"/>
    </w:pPr>
    <w:rPr>
      <w:rFonts w:eastAsia="仿宋"/>
      <w:b/>
    </w:rPr>
  </w:style>
  <w:style w:type="paragraph" w:styleId="67">
    <w:name w:val="No Spacing"/>
    <w:qFormat/>
    <w:uiPriority w:val="1"/>
    <w:pPr>
      <w:adjustRightInd w:val="0"/>
      <w:snapToGrid w:val="0"/>
      <w:spacing w:line="480" w:lineRule="auto"/>
      <w:ind w:firstLine="200" w:firstLineChars="200"/>
    </w:pPr>
    <w:rPr>
      <w:rFonts w:ascii="Tahoma" w:hAnsi="Tahoma" w:eastAsia="宋体" w:cs="Times New Roman"/>
      <w:sz w:val="24"/>
      <w:szCs w:val="22"/>
      <w:lang w:val="en-US" w:eastAsia="zh-CN" w:bidi="ar-SA"/>
    </w:rPr>
  </w:style>
  <w:style w:type="paragraph" w:customStyle="1" w:styleId="68">
    <w:name w:val="表格文字"/>
    <w:basedOn w:val="1"/>
    <w:next w:val="1"/>
    <w:qFormat/>
    <w:uiPriority w:val="0"/>
    <w:pPr>
      <w:jc w:val="center"/>
    </w:pPr>
    <w:rPr>
      <w:color w:val="FF0000"/>
      <w:szCs w:val="21"/>
    </w:rPr>
  </w:style>
  <w:style w:type="paragraph" w:customStyle="1" w:styleId="69">
    <w:name w:val="表文字"/>
    <w:basedOn w:val="1"/>
    <w:qFormat/>
    <w:uiPriority w:val="0"/>
    <w:pPr>
      <w:overflowPunct w:val="0"/>
      <w:autoSpaceDE w:val="0"/>
      <w:autoSpaceDN w:val="0"/>
      <w:spacing w:line="240" w:lineRule="atLeast"/>
      <w:jc w:val="center"/>
      <w:textAlignment w:val="baseline"/>
    </w:pPr>
    <w:rPr>
      <w:kern w:val="0"/>
      <w:sz w:val="21"/>
      <w:szCs w:val="20"/>
    </w:rPr>
  </w:style>
  <w:style w:type="paragraph" w:customStyle="1" w:styleId="70">
    <w:name w:val="table caption"/>
    <w:qFormat/>
    <w:uiPriority w:val="0"/>
    <w:pPr>
      <w:spacing w:before="120" w:after="120"/>
      <w:jc w:val="center"/>
    </w:pPr>
    <w:rPr>
      <w:rFonts w:ascii="Times New Roman" w:hAnsi="Times New Roman" w:eastAsia="黑体" w:cs="Times New Roman"/>
      <w:b/>
      <w:kern w:val="2"/>
      <w:sz w:val="24"/>
      <w:szCs w:val="24"/>
      <w:lang w:val="en-US" w:eastAsia="zh-CN" w:bidi="ar-SA"/>
    </w:rPr>
  </w:style>
  <w:style w:type="paragraph" w:customStyle="1" w:styleId="71">
    <w:name w:val="Table Paragraph"/>
    <w:basedOn w:val="1"/>
    <w:qFormat/>
    <w:uiPriority w:val="1"/>
  </w:style>
  <w:style w:type="paragraph" w:styleId="72">
    <w:name w:val="List Paragraph"/>
    <w:basedOn w:val="1"/>
    <w:qFormat/>
    <w:uiPriority w:val="99"/>
    <w:pPr>
      <w:ind w:firstLine="420"/>
    </w:pPr>
  </w:style>
  <w:style w:type="paragraph" w:customStyle="1" w:styleId="73">
    <w:name w:val="_Style 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4">
    <w:name w:val="1正文"/>
    <w:qFormat/>
    <w:uiPriority w:val="99"/>
    <w:pPr>
      <w:snapToGrid w:val="0"/>
      <w:spacing w:beforeLines="50" w:line="360" w:lineRule="auto"/>
      <w:ind w:left="-200" w:leftChars="-200" w:firstLine="200" w:firstLineChars="200"/>
      <w:jc w:val="both"/>
    </w:pPr>
    <w:rPr>
      <w:rFonts w:ascii="Times New Roman" w:hAnsi="Times New Roman" w:eastAsia="宋体" w:cs="Times New Roman"/>
      <w:kern w:val="2"/>
      <w:sz w:val="22"/>
      <w:szCs w:val="22"/>
      <w:lang w:val="en-US" w:eastAsia="zh-CN" w:bidi="ar-SA"/>
    </w:rPr>
  </w:style>
  <w:style w:type="paragraph" w:customStyle="1" w:styleId="75">
    <w:name w:val="正"/>
    <w:basedOn w:val="1"/>
    <w:qFormat/>
    <w:uiPriority w:val="0"/>
    <w:pPr>
      <w:autoSpaceDE w:val="0"/>
      <w:autoSpaceDN w:val="0"/>
    </w:pPr>
    <w:rPr>
      <w:bCs/>
      <w:color w:val="000000"/>
      <w:szCs w:val="28"/>
    </w:rPr>
  </w:style>
  <w:style w:type="paragraph" w:customStyle="1" w:styleId="76">
    <w:name w:val="WPSOffice手动目录 1"/>
    <w:qFormat/>
    <w:uiPriority w:val="0"/>
    <w:rPr>
      <w:rFonts w:ascii="Times New Roman" w:hAnsi="Times New Roman" w:eastAsia="宋体" w:cs="Times New Roman"/>
      <w:lang w:val="en-US" w:eastAsia="zh-CN" w:bidi="ar-SA"/>
    </w:rPr>
  </w:style>
  <w:style w:type="paragraph" w:customStyle="1" w:styleId="77">
    <w:name w:val="正文01"/>
    <w:basedOn w:val="8"/>
    <w:qFormat/>
    <w:uiPriority w:val="99"/>
    <w:pPr>
      <w:ind w:firstLine="480"/>
    </w:pPr>
  </w:style>
  <w:style w:type="paragraph" w:customStyle="1" w:styleId="78">
    <w:name w:val="1表格内容"/>
    <w:basedOn w:val="74"/>
    <w:qFormat/>
    <w:uiPriority w:val="0"/>
    <w:pPr>
      <w:spacing w:line="240" w:lineRule="auto"/>
      <w:ind w:firstLine="0" w:firstLineChars="0"/>
      <w:jc w:val="center"/>
    </w:pPr>
    <w:rPr>
      <w:szCs w:val="28"/>
      <w:lang w:val="zh-CN"/>
    </w:rPr>
  </w:style>
  <w:style w:type="paragraph" w:customStyle="1" w:styleId="79">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80">
    <w:name w:val="表头"/>
    <w:basedOn w:val="1"/>
    <w:qFormat/>
    <w:uiPriority w:val="99"/>
    <w:pPr>
      <w:spacing w:beforeLines="20"/>
      <w:jc w:val="center"/>
    </w:pPr>
    <w:rPr>
      <w:b/>
      <w:kern w:val="0"/>
      <w:sz w:val="21"/>
      <w:szCs w:val="20"/>
    </w:rPr>
  </w:style>
  <w:style w:type="paragraph" w:customStyle="1" w:styleId="81">
    <w:name w:val="正文110"/>
    <w:basedOn w:val="1"/>
    <w:qFormat/>
    <w:uiPriority w:val="0"/>
    <w:pPr>
      <w:widowControl w:val="0"/>
      <w:spacing w:line="480" w:lineRule="exact"/>
      <w:ind w:firstLine="480" w:firstLineChars="200"/>
      <w:jc w:val="both"/>
    </w:pPr>
    <w:rPr>
      <w:rFonts w:ascii="Times New Roman" w:hAnsi="Times New Roman" w:cs="Times New Roman"/>
      <w:kern w:val="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7.jpeg"/><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png"/><Relationship Id="rId33" Type="http://schemas.openxmlformats.org/officeDocument/2006/relationships/image" Target="media/image15.emf"/><Relationship Id="rId32" Type="http://schemas.openxmlformats.org/officeDocument/2006/relationships/oleObject" Target="embeddings/oleObject4.bin"/><Relationship Id="rId31" Type="http://schemas.openxmlformats.org/officeDocument/2006/relationships/image" Target="media/image14.emf"/><Relationship Id="rId30" Type="http://schemas.openxmlformats.org/officeDocument/2006/relationships/oleObject" Target="embeddings/oleObject3.bin"/><Relationship Id="rId3" Type="http://schemas.openxmlformats.org/officeDocument/2006/relationships/footnotes" Target="footnotes.xml"/><Relationship Id="rId29" Type="http://schemas.openxmlformats.org/officeDocument/2006/relationships/image" Target="media/image13.emf"/><Relationship Id="rId28" Type="http://schemas.openxmlformats.org/officeDocument/2006/relationships/oleObject" Target="embeddings/oleObject2.bin"/><Relationship Id="rId27" Type="http://schemas.openxmlformats.org/officeDocument/2006/relationships/image" Target="media/image12.png"/><Relationship Id="rId26" Type="http://schemas.openxmlformats.org/officeDocument/2006/relationships/image" Target="media/image11.wmf"/><Relationship Id="rId25" Type="http://schemas.openxmlformats.org/officeDocument/2006/relationships/image" Target="media/image10.wmf"/><Relationship Id="rId24" Type="http://schemas.openxmlformats.org/officeDocument/2006/relationships/image" Target="media/image9.wmf"/><Relationship Id="rId23" Type="http://schemas.openxmlformats.org/officeDocument/2006/relationships/image" Target="media/image8.wmf"/><Relationship Id="rId22" Type="http://schemas.openxmlformats.org/officeDocument/2006/relationships/image" Target="media/image7.wmf"/><Relationship Id="rId21" Type="http://schemas.openxmlformats.org/officeDocument/2006/relationships/image" Target="media/image6.wmf"/><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image" Target="media/image3.wmf"/><Relationship Id="rId17" Type="http://schemas.openxmlformats.org/officeDocument/2006/relationships/image" Target="media/image2.png"/><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3073"/>
    <customShpInfo spid="_x0000_s3082"/>
    <customShpInfo spid="_x0000_s2082"/>
    <customShpInfo spid="_x0000_s2081"/>
    <customShpInfo spid="_x0000_s208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65833</Words>
  <Characters>71161</Characters>
  <Lines>532</Lines>
  <Paragraphs>150</Paragraphs>
  <TotalTime>2</TotalTime>
  <ScaleCrop>false</ScaleCrop>
  <LinksUpToDate>false</LinksUpToDate>
  <CharactersWithSpaces>71936</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2023-12-19T11:04:00Z</dcterms:created>
  <dc:creator>Administrator</dc:creator>
  <cp:lastModifiedBy>随风而起</cp:lastModifiedBy>
  <cp:lastPrinted>2023-04-08T17:09:00Z</cp:lastPrinted>
  <dcterms:modified xsi:type="dcterms:W3CDTF">2024-09-11T03:46:02Z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A9BCD0E99E884114BA6CDB42EC6A7C46</vt:lpwstr>
  </property>
</Properties>
</file>