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widowControl/>
        <w:spacing w:after="2" w:afterAutospacing="0"/>
        <w:jc w:val="center"/>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202</w:t>
      </w:r>
      <w:r>
        <w:rPr>
          <w:rFonts w:hint="eastAsia" w:ascii="黑体" w:hAnsi="黑体" w:eastAsia="黑体" w:cs="黑体"/>
          <w:color w:val="000000"/>
          <w:sz w:val="44"/>
          <w:szCs w:val="44"/>
          <w:lang w:val="en-US" w:eastAsia="zh-CN"/>
        </w:rPr>
        <w:t>3</w:t>
      </w:r>
      <w:r>
        <w:rPr>
          <w:rFonts w:hint="eastAsia" w:ascii="黑体" w:hAnsi="黑体" w:eastAsia="黑体" w:cs="黑体"/>
          <w:color w:val="000000"/>
          <w:sz w:val="44"/>
          <w:szCs w:val="44"/>
          <w:lang w:eastAsia="zh-CN"/>
        </w:rPr>
        <w:t>年邵阳市大祥区应急管理局整体支出</w:t>
      </w:r>
    </w:p>
    <w:p>
      <w:pPr>
        <w:pStyle w:val="30"/>
        <w:widowControl/>
        <w:spacing w:after="2" w:afterAutospacing="0"/>
        <w:jc w:val="center"/>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绩效评价报告</w:t>
      </w:r>
    </w:p>
    <w:p>
      <w:pPr>
        <w:pStyle w:val="30"/>
        <w:widowControl/>
        <w:spacing w:after="2" w:afterAutospacing="0"/>
        <w:jc w:val="center"/>
        <w:rPr>
          <w:rFonts w:hint="eastAsia" w:ascii="黑体" w:hAnsi="黑体" w:eastAsia="黑体" w:cs="黑体"/>
          <w:color w:val="000000"/>
          <w:sz w:val="44"/>
          <w:szCs w:val="44"/>
          <w:lang w:eastAsia="zh-CN"/>
        </w:rPr>
      </w:pPr>
    </w:p>
    <w:p>
      <w:pPr>
        <w:pStyle w:val="13"/>
        <w:keepNext w:val="0"/>
        <w:keepLines w:val="0"/>
        <w:widowControl/>
        <w:suppressLineNumbers w:val="0"/>
        <w:spacing w:before="0" w:beforeAutospacing="0" w:after="2" w:afterAutospacing="0"/>
        <w:ind w:left="0" w:right="0" w:firstLine="641"/>
        <w:rPr>
          <w:rFonts w:ascii="helvetica" w:hAnsi="helvetica" w:eastAsia="helvetica" w:cs="helvetic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一、部门职责</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（一）负责应急管理工作，指导全区各乡镇街道、各部门应对安全生产类、自然灾害类等突发事件和综合防灾减灾救灾工作。负责安全生产综合监督管理和工矿商贸行业安全生产监督管理工作。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（二）贯彻实施相关法律法规、部门规章、规程和标准，组织编制全区应急体系建设、安全生产和综合防灾减灾规划。</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（三）指导应急预案体系建设，组织编制邵阳市大祥区总体应急预案和安全生产类、自然灾害类专项预案，综合协调应急预案衔接工作，组织开展预案演练。</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（四）牵头推进全区统一的应急管理信息系统建设，建立监测预警和灾情报告制度，健全自然灾害信息资源获取和共享机制，依法统一发布灾情。</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五）组织指导协调安全生产类、自然灾害类等突发事件应急救援，承担区应对一般灾害指挥的相关工作，综合研判突发事件发展态势并提出应对建议，协助区委、区人民政府指定的负责同志组织一般灾害应急处置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（六）统一协调指挥各类应急专业队伍，建立应急协调联动机制，推进指挥平台对接，负责做好解放军和武警部队参与应急救援相关衔接工作。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（七）统筹全区应急救援力量建设，负责消防、森林火灾扑救、抗洪抢险、地震和地质灾害救援、生产安全事故救援等专业应急救援力量建设，指导地方及社会应急救援力量建设。</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（八）负责全区消防管理有关工作，指导地方消防监督、火灾预防、火灾扑救等工作。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（九）指导协调全区森林火灾、水旱灾害、地震和地质灾害等防治工作，负责自然灾害综合监测预警工作，指导开展自然灾害综合风险评估工作。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（十）组织协调灾害救助工作，组织指导灾情核查、损失评估、救灾捐赠工作，按权限管理，分配中央、省、市下达和区级救灾款物并监督使用。</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（十一）承担区安全生产委员会日常工作，依法行使安全生产综合监督管理职权，指导协调、监督检查区属有关部门和各乡镇、街道安全生产工作，组织开展安全生产巡查、考核工作。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二）按照分级、属地原则，依法监督检查工矿商贸生产经营单位贯彻执行安全生产法律法规及其安全生产条件和有关设备（特种设备除外）、材料、劳动防护用品的安全生产管理工作。依法组织和指导监督实施安全生产准入制度。负责危险化学品安全监督管理综合工作和烟花爆竹经营单位安全生产监督管理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（十三）负责全区权限内矿山安全生产监督管理和矿山安全基础管理监督指导工作。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（十四）根据区人民政府授权，依法承担组织权限内一般生产安全事故的调查处理和办理结案工作，监督事故查处和责任追究落实情况。组织开展自然灾害类突发事件的调查评估工作。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（十五）开展应急管理对外交流与合作，组织参与安全生产类、自然灾害类等突发事件的对外救援工作。</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（十六）制定全区应急物资储备和应急救援装备规划并组织实施，会同区发展和改革局等部门建立健全应急物资调拨制度，在救灾时统一调度。</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七）负责应急管理、安全生产宣传教育和培训工作，组织指导应急管理、安全生产的信息化建设工作；组织协调区内外应急管理、安全生产专家库管理；监督检查全区应急管理、安全生产检测、检验、评价、认证等服务工作，依法监督管理安全生产各类服务机构。</w:t>
      </w:r>
    </w:p>
    <w:p>
      <w:pPr>
        <w:pStyle w:val="13"/>
        <w:keepNext w:val="0"/>
        <w:keepLines w:val="0"/>
        <w:widowControl/>
        <w:suppressLineNumbers w:val="0"/>
        <w:spacing w:before="0" w:beforeAutospacing="0" w:after="2" w:afterAutospacing="0"/>
        <w:ind w:left="0" w:right="0" w:firstLine="641"/>
        <w:rPr>
          <w:rFonts w:hint="default"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（十八）承担区防汛抗旱指挥部日常工作，协调区防汛抗旱指挥部成员单位的相关工作，组织执行市防汛抗旱指挥部和区防汛抗旱指挥部的指示、命令。</w:t>
      </w:r>
    </w:p>
    <w:p>
      <w:pPr>
        <w:pStyle w:val="13"/>
        <w:keepNext w:val="0"/>
        <w:keepLines w:val="0"/>
        <w:widowControl/>
        <w:suppressLineNumbers w:val="0"/>
        <w:spacing w:before="0" w:beforeAutospacing="0" w:after="2" w:afterAutospacing="0"/>
        <w:ind w:left="0" w:right="0" w:firstLine="641"/>
        <w:rPr>
          <w:rFonts w:hint="default" w:ascii="helvetica" w:hAnsi="helvetica" w:eastAsia="helvetica" w:cs="helvetica"/>
          <w:i w:val="0"/>
          <w:iCs w:val="0"/>
          <w:caps w:val="0"/>
          <w:color w:val="000000"/>
          <w:spacing w:val="0"/>
          <w:sz w:val="27"/>
          <w:szCs w:val="27"/>
        </w:rPr>
      </w:pPr>
      <w:r>
        <w:rPr>
          <w:rFonts w:hint="eastAsia" w:ascii="华文仿宋" w:hAnsi="华文仿宋" w:eastAsia="华文仿宋" w:cs="华文仿宋"/>
          <w:color w:val="000000"/>
          <w:kern w:val="2"/>
          <w:sz w:val="32"/>
          <w:szCs w:val="32"/>
          <w:shd w:val="clear" w:color="auto" w:fill="FFFFFF"/>
          <w:lang w:val="en-US" w:eastAsia="zh-CN" w:bidi="ar-SA"/>
        </w:rPr>
        <w:t>（十九）完成区委和区人民政府交办的其他任务。</w:t>
      </w:r>
    </w:p>
    <w:p>
      <w:pPr>
        <w:pStyle w:val="13"/>
        <w:keepNext w:val="0"/>
        <w:keepLines w:val="0"/>
        <w:widowControl/>
        <w:suppressLineNumbers w:val="0"/>
        <w:spacing w:before="0" w:beforeAutospacing="0" w:after="2" w:afterAutospacing="0"/>
        <w:ind w:right="0" w:firstLine="642" w:firstLineChars="200"/>
        <w:rPr>
          <w:rFonts w:hint="default" w:ascii="黑体" w:hAnsi="黑体" w:eastAsia="黑体" w:cs="黑体"/>
          <w:b/>
          <w:bCs w:val="0"/>
          <w:kern w:val="0"/>
          <w:sz w:val="32"/>
          <w:szCs w:val="32"/>
          <w:lang w:val="en-US" w:eastAsia="zh-CN" w:bidi="ar"/>
        </w:rPr>
      </w:pPr>
      <w:r>
        <w:rPr>
          <w:rFonts w:hint="eastAsia" w:ascii="黑体" w:hAnsi="黑体" w:eastAsia="黑体" w:cs="黑体"/>
          <w:b/>
          <w:bCs w:val="0"/>
          <w:kern w:val="0"/>
          <w:sz w:val="32"/>
          <w:szCs w:val="32"/>
          <w:lang w:val="en-US" w:eastAsia="zh-CN" w:bidi="ar"/>
        </w:rPr>
        <w:t>二、机构设置及决算单位构成</w:t>
      </w:r>
    </w:p>
    <w:p>
      <w:pPr>
        <w:pStyle w:val="13"/>
        <w:keepNext w:val="0"/>
        <w:keepLines w:val="0"/>
        <w:widowControl/>
        <w:suppressLineNumbers w:val="0"/>
        <w:spacing w:before="0" w:beforeAutospacing="0" w:after="2" w:afterAutospacing="0"/>
        <w:ind w:left="0" w:right="0" w:firstLine="641"/>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32"/>
          <w:szCs w:val="32"/>
        </w:rPr>
        <w:t>（一）内设机构设置</w:t>
      </w:r>
    </w:p>
    <w:p>
      <w:pPr>
        <w:pStyle w:val="13"/>
        <w:keepNext w:val="0"/>
        <w:keepLines w:val="0"/>
        <w:widowControl/>
        <w:suppressLineNumbers w:val="0"/>
        <w:spacing w:before="0" w:beforeAutospacing="0" w:after="2" w:afterAutospacing="0"/>
        <w:ind w:left="0" w:right="0" w:firstLine="641"/>
        <w:rPr>
          <w:rFonts w:hint="default"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大祥区应急管理局内设机构包括：本部分共有编制人数18人，实有人数17人。内设股室6个，分别是办公室（加挂政工室牌子）、应急指挥中心（挂救援协调和预案管理股牌子）、安全监管股（加挂危化品和烟花爆竹安全监督管理股、工矿商贸行业安全监督管理股、行政审批服务股三块牌子）、防汛抗旱股、火灾防治管理股（加挂地震和地质灾害救援股牌子）、救灾和物资保障股。所属事业单位2个（未单独核算），分别是大祥区安全生产执法大队（副科级公益一类全额拨款事业单位）和大祥区应急救援服务中心（公益一类全额拨款正股级事业单位）。</w:t>
      </w:r>
    </w:p>
    <w:p>
      <w:pPr>
        <w:pStyle w:val="13"/>
        <w:keepNext w:val="0"/>
        <w:keepLines w:val="0"/>
        <w:widowControl/>
        <w:suppressLineNumbers w:val="0"/>
        <w:spacing w:before="0" w:beforeAutospacing="0" w:after="2" w:afterAutospacing="0"/>
        <w:ind w:right="0" w:firstLine="642" w:firstLineChars="200"/>
        <w:rPr>
          <w:rFonts w:ascii="Tahoma" w:hAnsi="Tahoma" w:eastAsia="Tahoma" w:cs="Tahoma"/>
          <w:i w:val="0"/>
          <w:iCs w:val="0"/>
          <w:caps w:val="0"/>
          <w:color w:val="000000"/>
          <w:spacing w:val="0"/>
          <w:sz w:val="27"/>
          <w:szCs w:val="27"/>
        </w:rPr>
      </w:pPr>
      <w:r>
        <w:rPr>
          <w:rFonts w:hint="eastAsia" w:ascii="黑体" w:hAnsi="黑体" w:eastAsia="黑体" w:cs="黑体"/>
          <w:b/>
          <w:bCs w:val="0"/>
          <w:kern w:val="0"/>
          <w:sz w:val="32"/>
          <w:szCs w:val="32"/>
          <w:lang w:val="en-US" w:eastAsia="zh-CN" w:bidi="ar"/>
        </w:rPr>
        <w:t>三、</w:t>
      </w:r>
      <w:r>
        <w:rPr>
          <w:rFonts w:hint="eastAsia" w:ascii="宋体" w:hAnsi="宋体" w:eastAsia="宋体" w:cs="宋体"/>
          <w:b/>
          <w:bCs/>
          <w:i w:val="0"/>
          <w:iCs w:val="0"/>
          <w:caps w:val="0"/>
          <w:color w:val="000000"/>
          <w:spacing w:val="0"/>
          <w:sz w:val="32"/>
          <w:szCs w:val="32"/>
        </w:rPr>
        <w:t>财政拨款支出决算结构情况</w:t>
      </w:r>
    </w:p>
    <w:p>
      <w:pPr>
        <w:pStyle w:val="13"/>
        <w:keepNext w:val="0"/>
        <w:keepLines w:val="0"/>
        <w:widowControl/>
        <w:suppressLineNumbers w:val="0"/>
        <w:spacing w:before="0" w:beforeAutospacing="0" w:after="2" w:afterAutospacing="0"/>
        <w:ind w:left="0" w:right="0" w:firstLine="641"/>
        <w:rPr>
          <w:rFonts w:hint="eastAsia" w:ascii="华文仿宋" w:hAnsi="华文仿宋" w:eastAsia="华文仿宋" w:cs="华文仿宋"/>
          <w:color w:val="000000"/>
          <w:kern w:val="2"/>
          <w:sz w:val="32"/>
          <w:szCs w:val="32"/>
          <w:shd w:val="clear" w:color="auto" w:fill="FFFFFF"/>
          <w:lang w:val="en-US" w:eastAsia="zh-CN" w:bidi="ar-SA"/>
        </w:rPr>
      </w:pPr>
      <w:r>
        <w:rPr>
          <w:rFonts w:hint="eastAsia" w:ascii="华文仿宋" w:hAnsi="华文仿宋" w:eastAsia="华文仿宋" w:cs="华文仿宋"/>
          <w:color w:val="000000"/>
          <w:kern w:val="2"/>
          <w:sz w:val="32"/>
          <w:szCs w:val="32"/>
          <w:shd w:val="clear" w:color="auto" w:fill="FFFFFF"/>
          <w:lang w:val="en-US" w:eastAsia="zh-CN" w:bidi="ar-SA"/>
        </w:rPr>
        <w:t>2023年度财政拨款支出465.92万元，主要用于以下方面：一般公共服务支出52.61万元，占11.29%；社会保障和就业支出28.64万元，占6.15%；卫生健康支出12.16万元，占2.61%；农林水支出0.91万元，占0.2%；住房保障支出17.78万元，占3.82%；灾害防治及应急管理支出353.82万元，占75.93%。</w:t>
      </w:r>
    </w:p>
    <w:p>
      <w:pPr>
        <w:keepNext w:val="0"/>
        <w:keepLines w:val="0"/>
        <w:pageBreakBefore w:val="0"/>
        <w:widowControl/>
        <w:numPr>
          <w:numId w:val="0"/>
        </w:numPr>
        <w:suppressLineNumbers w:val="0"/>
        <w:kinsoku/>
        <w:wordWrap/>
        <w:overflowPunct/>
        <w:topLinePunct w:val="0"/>
        <w:autoSpaceDE/>
        <w:autoSpaceDN/>
        <w:bidi w:val="0"/>
        <w:adjustRightInd/>
        <w:snapToGrid/>
        <w:spacing w:afterAutospacing="0" w:line="580" w:lineRule="exact"/>
        <w:ind w:right="0" w:rightChars="0" w:firstLine="642" w:firstLineChars="200"/>
        <w:jc w:val="left"/>
        <w:textAlignment w:val="auto"/>
        <w:outlineLvl w:val="9"/>
        <w:rPr>
          <w:rFonts w:hint="eastAsia" w:ascii="宋体" w:hAnsi="宋体" w:eastAsia="宋体" w:cs="宋体"/>
          <w:i w:val="0"/>
          <w:iCs w:val="0"/>
          <w:caps w:val="0"/>
          <w:color w:val="000000"/>
          <w:spacing w:val="0"/>
          <w:kern w:val="0"/>
          <w:sz w:val="32"/>
          <w:szCs w:val="32"/>
          <w:lang w:val="en-US" w:eastAsia="zh-CN" w:bidi="ar"/>
        </w:rPr>
      </w:pPr>
      <w:r>
        <w:rPr>
          <w:rFonts w:hint="eastAsia" w:ascii="黑体" w:hAnsi="黑体" w:eastAsia="黑体" w:cs="黑体"/>
          <w:b/>
          <w:bCs w:val="0"/>
          <w:kern w:val="0"/>
          <w:sz w:val="32"/>
          <w:szCs w:val="32"/>
          <w:lang w:val="en-US" w:eastAsia="zh-CN" w:bidi="ar"/>
        </w:rPr>
        <w:t>四、工作开展情况</w:t>
      </w:r>
    </w:p>
    <w:p>
      <w:pPr>
        <w:spacing w:line="580" w:lineRule="exact"/>
        <w:ind w:firstLine="642" w:firstLineChars="200"/>
        <w:rPr>
          <w:rFonts w:hint="eastAsia" w:ascii="仿宋" w:hAnsi="仿宋" w:eastAsia="仿宋" w:cs="仿宋"/>
          <w:sz w:val="32"/>
          <w:szCs w:val="32"/>
        </w:rPr>
      </w:pPr>
      <w:r>
        <w:rPr>
          <w:rFonts w:hint="eastAsia" w:ascii="仿宋" w:hAnsi="仿宋" w:eastAsia="仿宋" w:cs="仿宋"/>
          <w:b/>
          <w:bCs/>
          <w:color w:val="000000"/>
          <w:sz w:val="32"/>
          <w:szCs w:val="32"/>
        </w:rPr>
        <w:t>（一）</w:t>
      </w:r>
      <w:r>
        <w:rPr>
          <w:rFonts w:hint="eastAsia" w:ascii="华文楷体" w:hAnsi="华文楷体" w:eastAsia="华文楷体" w:cs="华文楷体"/>
          <w:b/>
          <w:bCs/>
          <w:color w:val="000000"/>
          <w:sz w:val="32"/>
          <w:szCs w:val="32"/>
          <w:shd w:val="clear" w:color="auto" w:fill="FFFFFF"/>
        </w:rPr>
        <w:t>强化理论武装，增强政治定力不动摇。</w:t>
      </w:r>
      <w:r>
        <w:rPr>
          <w:rFonts w:hint="eastAsia" w:ascii="华文仿宋" w:hAnsi="华文仿宋" w:eastAsia="华文仿宋" w:cs="华文仿宋"/>
          <w:color w:val="000000"/>
          <w:sz w:val="32"/>
          <w:szCs w:val="32"/>
          <w:shd w:val="clear" w:color="auto" w:fill="FFFFFF"/>
        </w:rPr>
        <w:t>局党委始终把理论武装、政治建设摆在首位，贯穿于安全生产和应急管理全过程；始终忠诚政治信仰，把稳政治方向，坚定政治立场。</w:t>
      </w:r>
      <w:r>
        <w:rPr>
          <w:rFonts w:hint="eastAsia" w:ascii="华文仿宋" w:hAnsi="华文仿宋" w:eastAsia="华文仿宋" w:cs="华文仿宋"/>
          <w:b/>
          <w:bCs/>
          <w:color w:val="000000"/>
          <w:sz w:val="32"/>
          <w:szCs w:val="32"/>
        </w:rPr>
        <w:t>一是强化政治素养。</w:t>
      </w:r>
      <w:r>
        <w:rPr>
          <w:rFonts w:hint="eastAsia" w:ascii="华文仿宋" w:hAnsi="华文仿宋" w:eastAsia="华文仿宋" w:cs="华文仿宋"/>
          <w:color w:val="000000"/>
          <w:sz w:val="32"/>
          <w:szCs w:val="32"/>
          <w:shd w:val="clear" w:color="auto" w:fill="FFFFFF"/>
        </w:rPr>
        <w:t>深刻领悟“两个确立”的决定性意义，增强</w:t>
      </w:r>
      <w:bookmarkStart w:id="0" w:name="_GoBack"/>
      <w:bookmarkEnd w:id="0"/>
      <w:r>
        <w:rPr>
          <w:rFonts w:hint="eastAsia" w:ascii="华文仿宋" w:hAnsi="华文仿宋" w:eastAsia="华文仿宋" w:cs="华文仿宋"/>
          <w:color w:val="000000"/>
          <w:sz w:val="32"/>
          <w:szCs w:val="32"/>
          <w:shd w:val="clear" w:color="auto" w:fill="FFFFFF"/>
        </w:rPr>
        <w:t>“四个意识”、坚定“四个自信”、做到“两个维护”，始终同以习近平同志为核心的党中央保持高度一致。严格落实“第一议题”制度，认真开展学习贯彻习近平新时代中国特色社会主义思想主题教育，通过党委会、理论学习中心组、“学习强国”、干部例会等形式跟进学习党章、习近平新时代中国特色社会主义思想、党的二十大报告和习平近关于安全生产、应急管理、防灾减灾、应急救援等重要指示精神。</w:t>
      </w:r>
      <w:r>
        <w:rPr>
          <w:rFonts w:hint="eastAsia" w:ascii="华文仿宋" w:hAnsi="华文仿宋" w:eastAsia="华文仿宋" w:cs="华文仿宋"/>
          <w:b/>
          <w:bCs/>
          <w:color w:val="000000"/>
          <w:sz w:val="32"/>
          <w:szCs w:val="32"/>
        </w:rPr>
        <w:t>二是严格落实</w:t>
      </w:r>
      <w:r>
        <w:fldChar w:fldCharType="begin"/>
      </w:r>
      <w:r>
        <w:instrText xml:space="preserve"> HYPERLINK "http://www.wm114.cn/0o/58/index.html" </w:instrText>
      </w:r>
      <w:r>
        <w:fldChar w:fldCharType="separate"/>
      </w:r>
      <w:r>
        <w:rPr>
          <w:rFonts w:hint="eastAsia" w:ascii="华文仿宋" w:hAnsi="华文仿宋" w:eastAsia="华文仿宋" w:cs="华文仿宋"/>
          <w:b/>
          <w:bCs/>
          <w:color w:val="000000"/>
          <w:sz w:val="32"/>
          <w:szCs w:val="32"/>
        </w:rPr>
        <w:t>意识形态</w:t>
      </w:r>
      <w:r>
        <w:rPr>
          <w:rFonts w:hint="eastAsia" w:ascii="华文仿宋" w:hAnsi="华文仿宋" w:eastAsia="华文仿宋" w:cs="华文仿宋"/>
          <w:b/>
          <w:bCs/>
          <w:color w:val="000000"/>
          <w:sz w:val="32"/>
          <w:szCs w:val="32"/>
        </w:rPr>
        <w:fldChar w:fldCharType="end"/>
      </w:r>
      <w:r>
        <w:rPr>
          <w:rFonts w:hint="eastAsia" w:ascii="华文仿宋" w:hAnsi="华文仿宋" w:eastAsia="华文仿宋" w:cs="华文仿宋"/>
          <w:b/>
          <w:bCs/>
          <w:color w:val="000000"/>
          <w:sz w:val="32"/>
          <w:szCs w:val="32"/>
        </w:rPr>
        <w:t>工作责任制，</w:t>
      </w:r>
      <w:r>
        <w:rPr>
          <w:rFonts w:hint="eastAsia" w:ascii="华文仿宋" w:hAnsi="华文仿宋" w:eastAsia="华文仿宋" w:cs="华文仿宋"/>
          <w:color w:val="000000"/>
          <w:sz w:val="32"/>
          <w:szCs w:val="32"/>
          <w:shd w:val="clear" w:color="auto" w:fill="FFFFFF"/>
        </w:rPr>
        <w:t>认真学习中央宣传工作会议精神，加强政治理论学习，牢牢守住意识形态主阵地，强化意识形态领域风险研判处置，掌握网上意识形态话语权。</w:t>
      </w:r>
      <w:r>
        <w:rPr>
          <w:rFonts w:hint="eastAsia" w:ascii="华文仿宋" w:hAnsi="华文仿宋" w:eastAsia="华文仿宋" w:cs="华文仿宋"/>
          <w:b/>
          <w:bCs/>
          <w:color w:val="000000"/>
          <w:sz w:val="32"/>
          <w:szCs w:val="32"/>
          <w:shd w:val="clear" w:color="auto" w:fill="FFFFFF"/>
        </w:rPr>
        <w:t>三是持续推进</w:t>
      </w:r>
      <w:r>
        <w:fldChar w:fldCharType="begin"/>
      </w:r>
      <w:r>
        <w:instrText xml:space="preserve"> HYPERLINK "https://www.wm114.cn/0o/59/index.html" </w:instrText>
      </w:r>
      <w:r>
        <w:fldChar w:fldCharType="separate"/>
      </w:r>
      <w:r>
        <w:rPr>
          <w:rFonts w:hint="eastAsia" w:ascii="华文仿宋" w:hAnsi="华文仿宋" w:eastAsia="华文仿宋" w:cs="华文仿宋"/>
          <w:b/>
          <w:bCs/>
          <w:color w:val="000000"/>
          <w:sz w:val="32"/>
          <w:szCs w:val="32"/>
          <w:shd w:val="clear" w:color="auto" w:fill="FFFFFF"/>
        </w:rPr>
        <w:t>党风廉政建设</w:t>
      </w:r>
      <w:r>
        <w:rPr>
          <w:rFonts w:hint="eastAsia" w:ascii="华文仿宋" w:hAnsi="华文仿宋" w:eastAsia="华文仿宋" w:cs="华文仿宋"/>
          <w:b/>
          <w:bCs/>
          <w:color w:val="000000"/>
          <w:sz w:val="32"/>
          <w:szCs w:val="32"/>
          <w:shd w:val="clear" w:color="auto" w:fill="FFFFFF"/>
        </w:rPr>
        <w:fldChar w:fldCharType="end"/>
      </w:r>
      <w:r>
        <w:rPr>
          <w:rFonts w:hint="eastAsia" w:ascii="华文仿宋" w:hAnsi="华文仿宋" w:eastAsia="华文仿宋" w:cs="华文仿宋"/>
          <w:b/>
          <w:bCs/>
          <w:color w:val="000000"/>
          <w:sz w:val="32"/>
          <w:szCs w:val="32"/>
          <w:shd w:val="clear" w:color="auto" w:fill="FFFFFF"/>
        </w:rPr>
        <w:t>。</w:t>
      </w:r>
      <w:r>
        <w:rPr>
          <w:rFonts w:hint="eastAsia" w:ascii="华文仿宋" w:hAnsi="华文仿宋" w:eastAsia="华文仿宋" w:cs="华文仿宋"/>
          <w:color w:val="000000"/>
          <w:sz w:val="32"/>
          <w:szCs w:val="32"/>
          <w:shd w:val="clear" w:color="auto" w:fill="FFFFFF"/>
        </w:rPr>
        <w:t>严格落实党风廉政建设一岗双责，紧紧围绕“五个从严”要求狠抓管党治党主体责任落实，不断加强干部职工的廉洁从政意识。定期召开党委会议，听取党风廉政建设情况汇报、研究部署廉政建设任务。带头落实中央八项规定及其实施细则精神，严格执行民主集中制，凡涉及“三重一大”事项，均经过驻纪检组及局党委会研究讨论集体决定。扎实开展“两带头五整治”纠风防腐专项行动和</w:t>
      </w:r>
      <w:r>
        <w:rPr>
          <w:rFonts w:hint="eastAsia" w:ascii="仿宋_GB2312" w:hAnsi="仿宋_GB2312" w:eastAsia="仿宋_GB2312" w:cs="仿宋_GB2312"/>
          <w:sz w:val="32"/>
          <w:szCs w:val="32"/>
        </w:rPr>
        <w:t>“明方向、立规矩、正风气、强免疫”干部队伍作风建设专项活动，坚定不移落实党中央关于全面从严治党的决策部署和省委、市委、区委工作要求，持续加固贯彻落实中央八项规定精神堤坝，改进党员干部作风。加强清廉建设，大力弘扬湖湘文化中的优良家教家风，加强党员干部家风建设，开展“家庭助廉”活动，观看廉政警示教育片，推动廉政家风建设常态化，认真落实巡察整改，以整改促发展强素质。</w:t>
      </w:r>
      <w:r>
        <w:rPr>
          <w:rFonts w:hint="eastAsia" w:ascii="华文仿宋" w:hAnsi="华文仿宋" w:eastAsia="华文仿宋" w:cs="华文仿宋"/>
          <w:b/>
          <w:bCs/>
          <w:color w:val="000000"/>
          <w:sz w:val="32"/>
          <w:szCs w:val="32"/>
        </w:rPr>
        <w:t>四是强化党建引领。</w:t>
      </w:r>
      <w:r>
        <w:rPr>
          <w:rFonts w:hint="eastAsia" w:ascii="仿宋" w:hAnsi="仿宋" w:eastAsia="仿宋" w:cs="仿宋"/>
          <w:sz w:val="32"/>
          <w:szCs w:val="32"/>
        </w:rPr>
        <w:t>始终把党建工作列入重要议事日程，专门召开党委会议，定期研究部署党建工作。全面推进党支部“五化”建设，党支部严格落实“三会一课”，深化“一月一课一片一实践</w:t>
      </w:r>
      <w:r>
        <w:rPr>
          <w:rFonts w:ascii="仿宋" w:hAnsi="仿宋" w:eastAsia="仿宋" w:cs="仿宋"/>
          <w:sz w:val="32"/>
          <w:szCs w:val="32"/>
        </w:rPr>
        <w:t>”</w:t>
      </w:r>
      <w:r>
        <w:rPr>
          <w:rFonts w:hint="eastAsia" w:ascii="仿宋" w:hAnsi="仿宋" w:eastAsia="仿宋" w:cs="仿宋"/>
          <w:sz w:val="32"/>
          <w:szCs w:val="32"/>
        </w:rPr>
        <w:t>活动，常态化落实民主监督、党员管理、党员学习、组织生活会、民主生活会、主题党日等党建工作制度，坚定理想信念，铸牢对党忠诚，不断提升政治能力、思维能力、实践能力。今年以来，召开党委会议30次、党支部委员会12次、党员大会15次、专题学习12次、党课12次、主题党日活动12次。紧紧围绕“五城三园三中心”建设，按要求落实区委党建工程任务，持续推进学习教育常态化制度化。</w:t>
      </w:r>
      <w:r>
        <w:rPr>
          <w:rFonts w:hint="eastAsia" w:ascii="华文仿宋" w:hAnsi="华文仿宋" w:eastAsia="华文仿宋" w:cs="华文仿宋"/>
          <w:b/>
          <w:bCs/>
          <w:color w:val="000000"/>
          <w:sz w:val="32"/>
          <w:szCs w:val="32"/>
        </w:rPr>
        <w:t>五是强化政治担当。</w:t>
      </w:r>
      <w:r>
        <w:rPr>
          <w:rFonts w:hint="eastAsia" w:ascii="华文仿宋" w:hAnsi="华文仿宋" w:eastAsia="华文仿宋" w:cs="华文仿宋"/>
          <w:color w:val="000000"/>
          <w:sz w:val="32"/>
          <w:szCs w:val="32"/>
          <w:shd w:val="clear" w:color="auto" w:fill="FFFFFF"/>
        </w:rPr>
        <w:t>紧扣区委、区政府“五城三园三中心”战略定位，找准坐标方位，展现应急作为，贡献应急力量。助力</w:t>
      </w:r>
      <w:r>
        <w:fldChar w:fldCharType="begin"/>
      </w:r>
      <w:r>
        <w:instrText xml:space="preserve"> HYPERLINK "https://www.wm114.cn/0o/76/index.html" </w:instrText>
      </w:r>
      <w:r>
        <w:fldChar w:fldCharType="separate"/>
      </w:r>
      <w:r>
        <w:rPr>
          <w:rStyle w:val="17"/>
          <w:rFonts w:hint="eastAsia" w:ascii="华文仿宋" w:hAnsi="华文仿宋" w:eastAsia="华文仿宋" w:cs="华文仿宋"/>
          <w:color w:val="333333"/>
          <w:sz w:val="32"/>
          <w:szCs w:val="32"/>
          <w:u w:val="none"/>
        </w:rPr>
        <w:t>乡村振兴</w:t>
      </w:r>
      <w:r>
        <w:rPr>
          <w:rStyle w:val="17"/>
          <w:rFonts w:hint="eastAsia" w:ascii="华文仿宋" w:hAnsi="华文仿宋" w:eastAsia="华文仿宋" w:cs="华文仿宋"/>
          <w:color w:val="333333"/>
          <w:sz w:val="32"/>
          <w:szCs w:val="32"/>
          <w:u w:val="none"/>
        </w:rPr>
        <w:fldChar w:fldCharType="end"/>
      </w:r>
      <w:r>
        <w:rPr>
          <w:rFonts w:hint="eastAsia" w:ascii="华文仿宋" w:hAnsi="华文仿宋" w:eastAsia="华文仿宋" w:cs="华文仿宋"/>
          <w:color w:val="000000"/>
          <w:sz w:val="32"/>
          <w:szCs w:val="32"/>
          <w:shd w:val="clear" w:color="auto" w:fill="FFFFFF"/>
        </w:rPr>
        <w:t>，及时为5家脱贫监测户解决上学、医疗等相关问题</w:t>
      </w:r>
      <w:r>
        <w:rPr>
          <w:rFonts w:hint="eastAsia" w:eastAsia="仿宋_GB2312"/>
          <w:sz w:val="32"/>
          <w:szCs w:val="32"/>
        </w:rPr>
        <w:t>。深入寒婆村开展乡村振兴工作，</w:t>
      </w:r>
      <w:r>
        <w:rPr>
          <w:rFonts w:hint="eastAsia" w:ascii="仿宋_GB2312" w:hAnsi="仿宋_GB2312" w:eastAsia="仿宋_GB2312" w:cs="仿宋_GB2312"/>
          <w:sz w:val="32"/>
          <w:szCs w:val="32"/>
        </w:rPr>
        <w:t>开展经常性走访慰问，全年共计走访500人次，</w:t>
      </w:r>
      <w:r>
        <w:rPr>
          <w:rFonts w:hint="eastAsia" w:eastAsia="仿宋_GB2312"/>
          <w:sz w:val="32"/>
          <w:szCs w:val="32"/>
        </w:rPr>
        <w:t>遥临巷社区开展联创工作，组织召开民情恳谈会，了解群众生产生活困难并尽力帮助他们解决困难，宣传文明单位创建知识。</w:t>
      </w:r>
      <w:r>
        <w:rPr>
          <w:rFonts w:hint="eastAsia" w:ascii="仿宋_GB2312" w:hAnsi="仿宋_GB2312" w:eastAsia="仿宋_GB2312" w:cs="仿宋_GB2312"/>
          <w:sz w:val="32"/>
          <w:szCs w:val="32"/>
        </w:rPr>
        <w:t>5.12”防震减灾日、“6.16”安全生产月在所联点“寒婆村”、“</w:t>
      </w:r>
      <w:r>
        <w:rPr>
          <w:rFonts w:hint="eastAsia" w:eastAsia="仿宋_GB2312"/>
          <w:sz w:val="32"/>
          <w:szCs w:val="32"/>
        </w:rPr>
        <w:t>遥临巷社区</w:t>
      </w:r>
      <w:r>
        <w:rPr>
          <w:rFonts w:hint="eastAsia" w:ascii="仿宋_GB2312" w:hAnsi="仿宋_GB2312" w:eastAsia="仿宋_GB2312" w:cs="仿宋_GB2312"/>
          <w:sz w:val="32"/>
          <w:szCs w:val="32"/>
        </w:rPr>
        <w:t>”开展宣传活动，为村民发放宣传册6000余份，提高了村民防震减灾意识、防火、防电、应急逃生常识，并结合宣传活动开展入户走访，为村民送去宣传品600余份。</w:t>
      </w:r>
      <w:r>
        <w:rPr>
          <w:rFonts w:hint="eastAsia" w:ascii="华文仿宋" w:hAnsi="华文仿宋" w:eastAsia="华文仿宋" w:cs="华文仿宋"/>
          <w:color w:val="000000"/>
          <w:sz w:val="32"/>
          <w:szCs w:val="32"/>
          <w:shd w:val="clear" w:color="auto" w:fill="FFFFFF"/>
        </w:rPr>
        <w:t>优化营商环境，致力于提升企业本质安全水平，实施正向激励，服务企业开展安全生产标准化达标创建。今年</w:t>
      </w:r>
      <w:r>
        <w:rPr>
          <w:rFonts w:hint="eastAsia" w:ascii="仿宋" w:hAnsi="仿宋" w:eastAsia="仿宋" w:cs="仿宋"/>
          <w:sz w:val="32"/>
          <w:szCs w:val="32"/>
        </w:rPr>
        <w:t>以来，全区危化行业共创建安全生产三级标准化企业7家，二级标准化企业15家，烟花行业共创建三级标准化企业2家，工贸行业共创建安全生产三级标准化企业3家，二级标准化企业1家。</w:t>
      </w:r>
    </w:p>
    <w:p>
      <w:pPr>
        <w:spacing w:line="580" w:lineRule="exact"/>
        <w:ind w:firstLine="642" w:firstLineChars="200"/>
        <w:rPr>
          <w:rFonts w:ascii="仿宋" w:hAnsi="仿宋" w:eastAsia="仿宋" w:cs="仿宋"/>
          <w:sz w:val="32"/>
          <w:szCs w:val="32"/>
        </w:rPr>
      </w:pPr>
      <w:r>
        <w:rPr>
          <w:rFonts w:hint="eastAsia" w:ascii="楷体" w:hAnsi="楷体" w:eastAsia="楷体" w:cs="楷体"/>
          <w:b/>
          <w:bCs/>
          <w:sz w:val="32"/>
          <w:szCs w:val="32"/>
        </w:rPr>
        <w:t>（二）树牢安全理念，落实安全生产责任不放松。</w:t>
      </w:r>
      <w:r>
        <w:rPr>
          <w:rFonts w:hint="eastAsia" w:ascii="仿宋" w:hAnsi="仿宋" w:eastAsia="仿宋" w:cs="仿宋"/>
          <w:sz w:val="32"/>
          <w:szCs w:val="32"/>
        </w:rPr>
        <w:t>局党委始终坚持人民至上、生命至上、安全第一理念，扎实开展安全监管防范工作。</w:t>
      </w:r>
      <w:r>
        <w:rPr>
          <w:rFonts w:hint="eastAsia" w:ascii="华文仿宋" w:hAnsi="华文仿宋" w:eastAsia="华文仿宋" w:cs="华文仿宋"/>
          <w:b/>
          <w:bCs/>
          <w:color w:val="000000"/>
          <w:sz w:val="32"/>
          <w:szCs w:val="32"/>
        </w:rPr>
        <w:t>一是夯实安全红线。</w:t>
      </w:r>
      <w:r>
        <w:rPr>
          <w:rFonts w:hint="eastAsia" w:ascii="仿宋" w:hAnsi="仿宋" w:eastAsia="仿宋" w:cs="仿宋"/>
          <w:sz w:val="32"/>
          <w:szCs w:val="32"/>
        </w:rPr>
        <w:t>始终坚持把抓好安全生产、维护社会稳定作为最大的政治任务，切实加强领导，认真谋划部署，严格责任落实，按照《区委区政府领导班子成员安全生产工作责任清单》、《安全生产和消防工作考核办法》、《安全生产领域有奖举报实施办法》、《关于进一步明确有关行业领域安全生产监管职责的通知》、《关于调整大祥区安全生产委员会成员单位及组成人员的通知》、《落实落细安全生产十五条硬措施责任和任务清单》等一系列重要制度、重要措施，相继部署开展了“幸福敲门、安全到家”“强执法、防事故”和重大事故隐患专项排查整治2023行动等专项行动，高频调度各类安全生产整治行动深入开展。</w:t>
      </w:r>
      <w:r>
        <w:rPr>
          <w:rFonts w:hint="eastAsia" w:ascii="仿宋" w:hAnsi="仿宋" w:eastAsia="仿宋" w:cs="仿宋"/>
          <w:sz w:val="32"/>
          <w:szCs w:val="32"/>
          <w:lang w:val="en-US" w:eastAsia="zh-CN"/>
        </w:rPr>
        <w:t>继续</w:t>
      </w:r>
      <w:r>
        <w:rPr>
          <w:rFonts w:hint="eastAsia" w:ascii="仿宋" w:hAnsi="仿宋" w:eastAsia="仿宋" w:cs="仿宋"/>
          <w:sz w:val="32"/>
          <w:szCs w:val="32"/>
        </w:rPr>
        <w:t>将安全生产攻坚行动纳入了社会治理“七项重点”工作，建立了“一月一排查、一月一汇总、一月一调度、一月一通报、一月一交办、一月一督办”工作机制，出台了工作奖惩暂行办法，区级领导牵头召开会商会议，合理确定工作目标，逐个细化工作措施，确保既贯彻执行上级要求，又贴近大祥工作实际。举办了“5.12”防灾减灾日、“安全生产宣传月”宣传“五进”活动；组织学习《习近平总书记关于安全生产重要论述》，观看《湖南省安全生产警示教育片》《生命重于泰山——学习习近平总书记关</w:t>
      </w:r>
      <w:r>
        <w:rPr>
          <w:rFonts w:hint="eastAsia" w:ascii="仿宋_GB2312" w:hAnsi="仿宋_GB2312" w:eastAsia="仿宋_GB2312" w:cs="仿宋_GB2312"/>
          <w:color w:val="333333"/>
          <w:sz w:val="32"/>
          <w:szCs w:val="32"/>
        </w:rPr>
        <w:t>于安全生产重要论述》《不可逾越的红线》等电视专题片。开展6.16“安全生产月”集中宣传咨询日活动，推进</w:t>
      </w:r>
      <w:r>
        <w:rPr>
          <w:rFonts w:hint="eastAsia" w:ascii="仿宋" w:hAnsi="仿宋" w:eastAsia="仿宋" w:cs="仿宋"/>
          <w:sz w:val="32"/>
          <w:szCs w:val="32"/>
        </w:rPr>
        <w:t>工贸、燃气、消防、校外培训机构、学生防溺水等重点行业领域的宣教活动,</w:t>
      </w:r>
      <w:r>
        <w:rPr>
          <w:rFonts w:hint="eastAsia" w:ascii="仿宋_GB2312" w:hAnsi="仿宋_GB2312" w:eastAsia="仿宋_GB2312" w:cs="仿宋_GB2312"/>
          <w:color w:val="333333"/>
          <w:sz w:val="32"/>
          <w:szCs w:val="32"/>
        </w:rPr>
        <w:t>紧紧围绕“人人讲安全、个个会应急”集中推动安全宣传“五进”活动扎实开展</w:t>
      </w:r>
      <w:r>
        <w:rPr>
          <w:rFonts w:hint="eastAsia" w:ascii="仿宋_GB2312" w:hAnsi="仿宋_GB2312" w:eastAsia="仿宋_GB2312" w:cs="仿宋_GB2312"/>
          <w:b/>
          <w:bCs/>
          <w:color w:val="333333"/>
          <w:sz w:val="32"/>
          <w:szCs w:val="32"/>
        </w:rPr>
        <w:t>。</w:t>
      </w:r>
      <w:r>
        <w:rPr>
          <w:rFonts w:hint="eastAsia" w:ascii="仿宋" w:hAnsi="仿宋" w:eastAsia="仿宋"/>
          <w:sz w:val="32"/>
          <w:szCs w:val="32"/>
        </w:rPr>
        <w:t>6月20日上午，非煤矿山应急演练在邵阳市云峰新能源科技有限公司举行。演练模拟邵阳市云峰公司大岭行采石场+330东平台爆破后，邵阳云峰公司、威远爆破公司开展自救互救和邵阳市矿山救护支队应急救援等科目演练。本次演练约80人参加。</w:t>
      </w:r>
      <w:r>
        <w:rPr>
          <w:rFonts w:hint="eastAsia" w:ascii="仿宋" w:hAnsi="仿宋" w:eastAsia="仿宋" w:cs="仿宋"/>
          <w:sz w:val="32"/>
          <w:szCs w:val="32"/>
        </w:rPr>
        <w:t>截至11月底，全区共发动</w:t>
      </w:r>
      <w:r>
        <w:rPr>
          <w:rFonts w:hint="eastAsia" w:ascii="仿宋_GB2312" w:hAnsi="仿宋_GB2312" w:eastAsia="仿宋_GB2312" w:cs="仿宋_GB2312"/>
          <w:color w:val="333333"/>
          <w:sz w:val="32"/>
          <w:szCs w:val="32"/>
        </w:rPr>
        <w:t>组织开展宣讲活动198 场，参与8233人次；组织开展“安全生产大家谈”“班前会”“以案说法”等活动275场，参与9131人次，参与“人人讲安全、个个会应急”网络知识竞赛1848 人，答题6614人次；参加线上“逃生演练训练营”活动发布视频42个。组织全区企业参加企业主要负责人“安全承诺践诺”活动69场，参与1110人次；报道企业主要负责人“五带头”16 次；开展“动火作业风险我知道”宣传活动24 场，参与 479 人次；对电焊工等危险作业人员开展安全培训7场，参与77人次；开展“外包外租大排查”活动25场，参与385人次；开展外包外租典型违法案例专题警示教育7 场，参与233人次；对外包外租项目开展大排查 51次。曝光重大事故和突出问题4 个。二</w:t>
      </w:r>
      <w:r>
        <w:rPr>
          <w:rFonts w:hint="eastAsia" w:ascii="华文仿宋" w:hAnsi="华文仿宋" w:eastAsia="华文仿宋" w:cs="华文仿宋"/>
          <w:b/>
          <w:bCs/>
          <w:color w:val="000000"/>
          <w:sz w:val="32"/>
          <w:szCs w:val="32"/>
        </w:rPr>
        <w:t>是严抓隐患整治。</w:t>
      </w:r>
      <w:r>
        <w:rPr>
          <w:rFonts w:hint="eastAsia" w:ascii="仿宋" w:hAnsi="仿宋" w:eastAsia="仿宋" w:cs="仿宋"/>
          <w:sz w:val="32"/>
          <w:szCs w:val="32"/>
        </w:rPr>
        <w:t>着力打好安全生产“翻身仗”，全力推进重大事故隐患专项排查整治2023行动，持续开展隐患排查整治，引导督促企业落实风险分级管控和隐患排查治理双重预防工作机制，从源头上防范遏制事故发生；大力推动重大隐患治理，集中开展重大事故隐患“一单四制”专项治理，全覆盖验收重大隐患整改落实情况，确保全面排查和全部销号到位；继续深化“强执法防事故”行动，深入开展安全生产打非治违，坚决防范遏制各类安全事故发生。加强非煤矿山、危化、烟花爆竹等重点行业领域监管执法。截至11月30日，全区共排查发现并录入国务院安委办重大事故隐患专项排查整治系统和省安委办重大事故隐患“一单四制”管理系统的重大事故53处，其中，由区政府实施挂牌督办的有9处；现已整改完成44处，其余9处在限期整改期限内。</w:t>
      </w:r>
      <w:r>
        <w:rPr>
          <w:rFonts w:hint="eastAsia" w:ascii="仿宋" w:hAnsi="仿宋" w:eastAsia="仿宋" w:cs="仿宋"/>
          <w:b/>
          <w:bCs/>
          <w:sz w:val="32"/>
          <w:szCs w:val="32"/>
        </w:rPr>
        <w:t>三是从严监管执法。</w:t>
      </w:r>
      <w:r>
        <w:rPr>
          <w:rFonts w:hint="eastAsia" w:ascii="仿宋" w:hAnsi="仿宋" w:eastAsia="仿宋" w:cs="仿宋"/>
          <w:sz w:val="32"/>
          <w:szCs w:val="32"/>
        </w:rPr>
        <w:t>全区各级各部门深入开展各类安全整治行动，全面开展执法检查，针对高危行业和重点领域，切实加强非煤矿山、危化、烟花爆竹、建筑施工、特种设备、城镇燃气安全、学生防溺水、校外培训机构安全、消防安全、交通顽瘴痼疾治理等突出问题，在全区开展了全覆盖、地毯式、网格化的大排查大整治行动。全年，全区各级各部门共成立督查检查组613个，开展督查检查1991次，检查生产经营单位3812家次，组织开展联合执法行动285次，督导解决安全突出问题17处，排查发现重大隐患6处，现已按期整改到位5处，</w:t>
      </w:r>
      <w:r>
        <w:rPr>
          <w:rFonts w:hint="eastAsia" w:ascii="仿宋_GB2312" w:hAnsi="仿宋_GB2312" w:eastAsia="仿宋_GB2312" w:cs="仿宋_GB2312"/>
          <w:color w:val="000000" w:themeColor="text1"/>
          <w:sz w:val="32"/>
          <w:szCs w:val="32"/>
          <w14:textFill>
            <w14:solidFill>
              <w14:schemeClr w14:val="tx1"/>
            </w14:solidFill>
          </w14:textFill>
        </w:rPr>
        <w:t>全区今年“打法治违”组织开展联合执法406次，排查发现突出问题3188处，立案调查2583起，责令停产整顿7起，取缔关闭14处，经济处罚122.7047万元，接到群众举报非法违法行为83起，核查属实38起，兑现举报奖励1.054万元，行刑衔接移送司法4人。</w:t>
      </w:r>
      <w:r>
        <w:rPr>
          <w:rFonts w:hint="eastAsia" w:ascii="仿宋_GB2312" w:hAnsi="仿宋_GB2312" w:eastAsia="仿宋_GB2312" w:cs="仿宋_GB2312"/>
          <w:color w:val="333333"/>
          <w:sz w:val="32"/>
          <w:szCs w:val="32"/>
        </w:rPr>
        <w:t>全区应急系统深入推进监管执法检查，截至11月30日，全区共排查发现并录入国务院安委办重大事故隐患专项排查整治系统163处、录入省安委办重大事故隐患“一单四制”管理系统的重大事故隐患178处，除6处在限期整改期内，其余隐患全部完成整改，其中，由区政府实施挂牌督办12处、已完成整改11处。</w:t>
      </w:r>
      <w:r>
        <w:rPr>
          <w:rFonts w:hint="eastAsia" w:ascii="华文仿宋" w:hAnsi="华文仿宋" w:eastAsia="华文仿宋" w:cs="华文仿宋"/>
          <w:b/>
          <w:bCs/>
          <w:sz w:val="32"/>
          <w:szCs w:val="32"/>
        </w:rPr>
        <w:t>四是抓实森林防灭火工作。</w:t>
      </w:r>
      <w:r>
        <w:rPr>
          <w:rFonts w:hint="eastAsia" w:ascii="仿宋" w:hAnsi="仿宋" w:eastAsia="仿宋" w:cs="仿宋"/>
          <w:sz w:val="32"/>
          <w:szCs w:val="32"/>
        </w:rPr>
        <w:t>严格落实“区级领导分包乡镇街道、乡镇街道干部分包村、村（社区）干部分包路段、包山头”机制，全面推行“林长制”，发动“一长四员”（林长，护林员、网格员、瞭望员、扑火员）开展全覆盖森林防火巡护，构建“横向到边、纵向到底”的责任体系。强化重点时段、重点区域、重点人员的管控，采取巡山守卡等方式，加强对入山人员的提醒警示，将火源堵在山下林外。全区发放张贴《禁火令》5000余份、防火宣传资料3万余张，在主要入山路口设置森林防火临时检查点120多个，组建专业的巡防队伍38个，每个乡镇和村社区防灭火应急队伍在岗在位，做好备勤准备。7月至8月在全区的涉火乡镇街道全面开展森林防灭火应急演练，力求在火情发生初期做到及时发现，打早打小打了，避免小火酿成大灾。</w:t>
      </w:r>
      <w:r>
        <w:rPr>
          <w:rFonts w:hint="eastAsia" w:ascii="仿宋_GB2312" w:hAnsi="仿宋_GB2312" w:eastAsia="仿宋_GB2312" w:cs="仿宋_GB2312"/>
          <w:sz w:val="32"/>
          <w:szCs w:val="32"/>
        </w:rPr>
        <w:t>今年，区安委办、区应急管理局组织、参与开展了森林防灭火应急演练1次，地震逃生演练1次，非煤矿山爆破坍塌事故应急演练1次，消防逃生疏散应急演练1次，各乡镇街道和区安委会主要成员单位分别组织、参与辖区内、行业内企事业单位开展了综合或专项应急演练，辖区内国家规定的行业、领域生产经营单位按照《生产安全事故应急条例》规定至少每半年组织1次生产安全事故应急救援预案演练。演练提升了各类应急处突能力，增强了全民安全防护意识。区安全生产执法大队联合乡镇街道应急办不定期到辖区内生产经营单位开展应急预案和演练工作执法检查，对不按要求开展演练的单位依法进行处理。</w:t>
      </w:r>
      <w:r>
        <w:rPr>
          <w:rFonts w:hint="eastAsia" w:ascii="华文仿宋" w:hAnsi="华文仿宋" w:eastAsia="华文仿宋" w:cs="华文仿宋"/>
          <w:b/>
          <w:bCs/>
          <w:sz w:val="32"/>
          <w:szCs w:val="32"/>
        </w:rPr>
        <w:t>五是全力落实防汛抗旱工作。</w:t>
      </w:r>
      <w:r>
        <w:rPr>
          <w:rFonts w:hint="eastAsia" w:ascii="仿宋" w:hAnsi="仿宋" w:eastAsia="仿宋" w:cs="仿宋"/>
          <w:sz w:val="32"/>
          <w:szCs w:val="32"/>
        </w:rPr>
        <w:t>按照“三个三”“三个第一时间”“八个一律”的工作要求,突出“预报、预警、预演”和“检查、排查、督查”，充分发挥应急指挥“五级联动”平台优势，优化整合区、乡协同一体的救援指挥网络，发现问题及时汇报及时处置。</w:t>
      </w:r>
    </w:p>
    <w:p>
      <w:pPr>
        <w:spacing w:line="600" w:lineRule="exact"/>
        <w:ind w:firstLine="642" w:firstLineChars="200"/>
      </w:pPr>
      <w:r>
        <w:rPr>
          <w:rFonts w:hint="eastAsia" w:ascii="楷体" w:hAnsi="楷体" w:eastAsia="楷体" w:cs="楷体"/>
          <w:b/>
          <w:bCs/>
          <w:sz w:val="32"/>
          <w:szCs w:val="32"/>
        </w:rPr>
        <w:t>（三）强化自身建设，展现良好形象不松懈。</w:t>
      </w:r>
      <w:r>
        <w:rPr>
          <w:rFonts w:hint="eastAsia" w:ascii="华文仿宋" w:hAnsi="华文仿宋" w:eastAsia="华文仿宋" w:cs="华文仿宋"/>
          <w:b/>
          <w:bCs/>
          <w:color w:val="000000"/>
          <w:sz w:val="32"/>
          <w:szCs w:val="32"/>
        </w:rPr>
        <w:t>一是全面提升依法行政水平。</w:t>
      </w:r>
      <w:r>
        <w:rPr>
          <w:rFonts w:hint="eastAsia" w:ascii="华文仿宋" w:hAnsi="华文仿宋" w:eastAsia="华文仿宋" w:cs="华文仿宋"/>
          <w:color w:val="000000"/>
          <w:sz w:val="32"/>
          <w:szCs w:val="32"/>
          <w:shd w:val="clear" w:color="auto" w:fill="FFFFFF"/>
        </w:rPr>
        <w:t>深刻领会习近平法治思想，全力推进应急管理系统依法行政和法治建设。坚持周一例会和“周一学习”活动，学政策学业务，学法律，急用先学、专业深学、领导领学、专家讲学，尊法学法守法用法在应急系统蔚然成风。</w:t>
      </w:r>
      <w:r>
        <w:rPr>
          <w:rFonts w:hint="eastAsia" w:ascii="华文仿宋" w:hAnsi="华文仿宋" w:eastAsia="华文仿宋" w:cs="华文仿宋"/>
          <w:b/>
          <w:bCs/>
          <w:color w:val="000000"/>
          <w:sz w:val="32"/>
          <w:szCs w:val="32"/>
        </w:rPr>
        <w:t>二是坚持正确选人用人导向。</w:t>
      </w:r>
      <w:r>
        <w:rPr>
          <w:rFonts w:hint="eastAsia" w:ascii="华文仿宋" w:hAnsi="华文仿宋" w:eastAsia="华文仿宋" w:cs="华文仿宋"/>
          <w:color w:val="000000"/>
          <w:sz w:val="32"/>
          <w:szCs w:val="32"/>
          <w:shd w:val="clear" w:color="auto" w:fill="FFFFFF"/>
        </w:rPr>
        <w:t>坚持“凭实绩用干部、凭公论定位子”，让想干事、能干事、干成事、不出事的干部有位置、有机会、有舞台，不让老实人吃亏、不让投机钻营者得利。坚定不移将年轻干部放到重要岗位进行锻炼，尽快熟悉业务，提升能力。</w:t>
      </w:r>
      <w:r>
        <w:rPr>
          <w:rFonts w:hint="eastAsia" w:ascii="华文仿宋" w:hAnsi="华文仿宋" w:eastAsia="华文仿宋" w:cs="华文仿宋"/>
          <w:b/>
          <w:bCs/>
          <w:color w:val="000000"/>
          <w:sz w:val="32"/>
          <w:szCs w:val="32"/>
        </w:rPr>
        <w:t>三是持续保持干事创业劲头。</w:t>
      </w:r>
      <w:r>
        <w:rPr>
          <w:rFonts w:hint="eastAsia" w:ascii="华文仿宋" w:hAnsi="华文仿宋" w:eastAsia="华文仿宋" w:cs="华文仿宋"/>
          <w:color w:val="000000"/>
          <w:sz w:val="32"/>
          <w:szCs w:val="32"/>
          <w:shd w:val="clear" w:color="auto" w:fill="FFFFFF"/>
        </w:rPr>
        <w:t>班子成员心往一处想，劲往一处使，秉承分工不分家的理念，齐心协力干事业。全局干部职工在防汛防火、事故处置、极端天气应对中，风雨无阻、不分昼夜、坚守一线；常年24小时值班值守，重要节日、重大会事期间停止休假，当好党和人民的“守夜人”“吹哨人”，展现了新时代应急干部的良好形象。</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、存在的问题和困难</w:t>
      </w:r>
    </w:p>
    <w:p>
      <w:pPr>
        <w:adjustRightInd w:val="0"/>
        <w:snapToGrid w:val="0"/>
        <w:spacing w:line="600" w:lineRule="exact"/>
        <w:ind w:firstLine="642" w:firstLineChars="200"/>
        <w:rPr>
          <w:rFonts w:ascii="仿宋" w:hAnsi="仿宋" w:eastAsia="仿宋" w:cs="仿宋"/>
          <w:sz w:val="32"/>
          <w:szCs w:val="32"/>
        </w:rPr>
      </w:pPr>
      <w:r>
        <w:rPr>
          <w:rFonts w:hint="eastAsia" w:ascii="楷体" w:hAnsi="楷体" w:eastAsia="楷体" w:cs="楷体"/>
          <w:b/>
          <w:bCs/>
          <w:sz w:val="32"/>
          <w:szCs w:val="32"/>
        </w:rPr>
        <w:t>1.应急保障力度须进一步增强。</w:t>
      </w:r>
      <w:r>
        <w:rPr>
          <w:rFonts w:hint="eastAsia" w:ascii="仿宋" w:hAnsi="仿宋" w:eastAsia="仿宋" w:cs="仿宋"/>
          <w:color w:val="000000"/>
          <w:kern w:val="0"/>
          <w:sz w:val="32"/>
          <w:szCs w:val="32"/>
        </w:rPr>
        <w:t>当前，区、乡两级基层</w:t>
      </w:r>
      <w:r>
        <w:rPr>
          <w:rFonts w:hint="eastAsia" w:ascii="仿宋" w:hAnsi="仿宋" w:eastAsia="仿宋" w:cs="仿宋"/>
          <w:color w:val="000000"/>
          <w:sz w:val="32"/>
          <w:szCs w:val="32"/>
        </w:rPr>
        <w:t>应急管理和安全监管机构在岗位编制、工作经费、执法条件等方面没有得到有效改善与保障，应急救援、执法检查、信息化监管等方面的保障能力还比较薄弱</w:t>
      </w:r>
      <w:r>
        <w:rPr>
          <w:rFonts w:hint="eastAsia" w:ascii="仿宋" w:hAnsi="仿宋" w:eastAsia="仿宋" w:cs="仿宋"/>
          <w:sz w:val="32"/>
          <w:szCs w:val="32"/>
        </w:rPr>
        <w:t>。机构改革职能划转后，区应急管理局转事未转编，职能大幅增加，</w:t>
      </w:r>
      <w:r>
        <w:rPr>
          <w:rFonts w:hint="eastAsia" w:ascii="仿宋" w:hAnsi="仿宋" w:eastAsia="仿宋" w:cs="仿宋"/>
          <w:color w:val="000000"/>
          <w:sz w:val="32"/>
          <w:szCs w:val="32"/>
          <w:shd w:val="clear" w:color="auto" w:fill="FFFFFF"/>
        </w:rPr>
        <w:t>承担安全生产委员会、防汛抗旱指挥部、森林防灭火指挥部、应急管理委员会、减灾委员会、抗震救灾指挥部等“三委三部”常设议事机构日常工作，每天需24小时应急值班值守，随时可能面对极端情况和危险考验</w:t>
      </w:r>
      <w:r>
        <w:rPr>
          <w:rFonts w:hint="eastAsia" w:ascii="仿宋" w:hAnsi="仿宋" w:eastAsia="仿宋" w:cs="仿宋"/>
          <w:sz w:val="32"/>
          <w:szCs w:val="32"/>
        </w:rPr>
        <w:t>。目前，区级应急部门在职干部职工18名，在我市甚至在全省县市区当中，为人数最少的单位，行政执法人员仅2名，安全监管人员仅4名，负责四大行业几百家企业的安全监管，同时还负责其他的中心工作，大多数时间均在处理各类事务性工作，监管执法工作很难正常开展；负责行业尤其是工贸行业涉及领域广，危险化学品、粉尘涉爆、有限空间等监管工作需要具备较强的专业知识和能力，现有监管执法人员均未有过专业培训，业务监管能力有所欠缺；局里仅1台公务用车，负担日常公务用车、行政执法、安全监管、防汛抗旱、森林防火等工作，一定程度上影响安全生产工作的开展。</w:t>
      </w:r>
      <w:r>
        <w:rPr>
          <w:rFonts w:hint="eastAsia" w:ascii="仿宋" w:hAnsi="仿宋" w:eastAsia="仿宋" w:cs="仿宋"/>
          <w:color w:val="000000"/>
          <w:sz w:val="32"/>
          <w:szCs w:val="32"/>
        </w:rPr>
        <w:t>乡镇街道应急部门，安监人员大部分属于部队退伍安置，文化程度不高、专业技能不足，普遍存在“低技能人员从事高危行业监管”的问题，</w:t>
      </w:r>
      <w:r>
        <w:rPr>
          <w:rFonts w:hint="eastAsia" w:ascii="仿宋" w:hAnsi="仿宋" w:eastAsia="仿宋" w:cs="仿宋"/>
          <w:sz w:val="32"/>
          <w:szCs w:val="32"/>
        </w:rPr>
        <w:t>办案质量不高，</w:t>
      </w:r>
      <w:r>
        <w:rPr>
          <w:rFonts w:hint="eastAsia" w:ascii="仿宋" w:hAnsi="仿宋" w:eastAsia="仿宋" w:cs="仿宋"/>
          <w:color w:val="000000"/>
          <w:sz w:val="32"/>
          <w:szCs w:val="32"/>
        </w:rPr>
        <w:t>加之</w:t>
      </w:r>
      <w:r>
        <w:rPr>
          <w:rFonts w:hint="eastAsia" w:ascii="仿宋" w:hAnsi="仿宋" w:eastAsia="仿宋" w:cs="仿宋"/>
          <w:sz w:val="32"/>
          <w:szCs w:val="32"/>
        </w:rPr>
        <w:t>人员难以配足，普遍兼任多岗多职，</w:t>
      </w:r>
      <w:r>
        <w:rPr>
          <w:rFonts w:hint="eastAsia" w:ascii="仿宋" w:hAnsi="仿宋" w:eastAsia="仿宋" w:cs="仿宋"/>
          <w:color w:val="000000"/>
          <w:sz w:val="32"/>
          <w:szCs w:val="32"/>
        </w:rPr>
        <w:t>行政执法能力与繁重的监管任务不相适应。此外，区、乡两级</w:t>
      </w:r>
      <w:r>
        <w:rPr>
          <w:rFonts w:hint="eastAsia" w:ascii="仿宋" w:hAnsi="仿宋" w:eastAsia="仿宋" w:cs="仿宋"/>
          <w:sz w:val="32"/>
          <w:szCs w:val="32"/>
        </w:rPr>
        <w:t>监管装备落后，特别是乡镇街道欠账较多，目前执法制式服装、执法记录仪、执法车辆等执法装备急需配备。</w:t>
      </w:r>
    </w:p>
    <w:p>
      <w:pPr>
        <w:adjustRightInd w:val="0"/>
        <w:snapToGrid w:val="0"/>
        <w:spacing w:line="600" w:lineRule="exact"/>
        <w:ind w:firstLine="642" w:firstLineChars="200"/>
        <w:rPr>
          <w:rFonts w:ascii="华文仿宋" w:hAnsi="华文仿宋" w:eastAsia="华文仿宋" w:cs="华文仿宋"/>
          <w:sz w:val="32"/>
          <w:szCs w:val="32"/>
        </w:rPr>
      </w:pPr>
      <w:r>
        <w:rPr>
          <w:rFonts w:hint="eastAsia" w:ascii="楷体" w:hAnsi="楷体" w:eastAsia="楷体" w:cs="楷体"/>
          <w:b/>
          <w:bCs/>
          <w:sz w:val="32"/>
          <w:szCs w:val="32"/>
        </w:rPr>
        <w:t>2.财政资金投入须进一步加大。</w:t>
      </w:r>
      <w:r>
        <w:rPr>
          <w:rFonts w:hint="eastAsia" w:ascii="仿宋" w:hAnsi="仿宋" w:eastAsia="仿宋" w:cs="仿宋"/>
          <w:sz w:val="32"/>
          <w:szCs w:val="32"/>
        </w:rPr>
        <w:t>防洪工程隐患多，抗旱设施老化失修，水库、山塘等小型水利工程和地质灾害隐患点面广量大，除险加固所需资金与实际投入相差较大，机构改革后应急抢险、防汛抗旱资金的权属不清，特别是防汛抗旱资金投入不足，现有防汛抗旱工程设施年久失修、老化坏损严重，防汛抗旱功能衰减；个别乡镇街道村村响年久失修，切专职工作人员变动频繁，安全宣传工作存在形式化、走过场现象；区乡两级财政投入不足，备灾能力建设尚不能完全满足救灾工作需要，资金缺乏、物资不足现象较为普遍，救灾款物使用不规范、发放不及时、整改措施不到位的情况仍然存在。</w:t>
      </w:r>
    </w:p>
    <w:p>
      <w:pPr>
        <w:adjustRightInd w:val="0"/>
        <w:snapToGrid w:val="0"/>
        <w:spacing w:line="600" w:lineRule="exact"/>
        <w:ind w:firstLine="642" w:firstLineChars="200"/>
        <w:rPr>
          <w:rFonts w:ascii="仿宋" w:hAnsi="仿宋" w:eastAsia="仿宋" w:cs="仿宋"/>
          <w:sz w:val="32"/>
          <w:szCs w:val="32"/>
        </w:rPr>
      </w:pPr>
      <w:r>
        <w:rPr>
          <w:rFonts w:hint="eastAsia" w:ascii="楷体" w:hAnsi="楷体" w:eastAsia="楷体" w:cs="楷体"/>
          <w:b/>
          <w:bCs/>
          <w:sz w:val="32"/>
          <w:szCs w:val="32"/>
        </w:rPr>
        <w:t>3.安全监管合力须进一步提升。</w:t>
      </w:r>
      <w:r>
        <w:rPr>
          <w:rFonts w:hint="eastAsia" w:ascii="仿宋" w:hAnsi="仿宋" w:eastAsia="仿宋" w:cs="仿宋"/>
          <w:sz w:val="32"/>
          <w:szCs w:val="32"/>
        </w:rPr>
        <w:t>一是</w:t>
      </w:r>
      <w:r>
        <w:rPr>
          <w:rFonts w:hint="eastAsia" w:ascii="仿宋" w:hAnsi="仿宋" w:eastAsia="仿宋" w:cs="仿宋"/>
          <w:color w:val="000000"/>
          <w:sz w:val="32"/>
          <w:szCs w:val="32"/>
        </w:rPr>
        <w:t>少数行业领域主管部门对安全生产工作重视不够、站位不高，存在着工作开展不力、</w:t>
      </w:r>
      <w:r>
        <w:rPr>
          <w:rFonts w:hint="eastAsia" w:ascii="仿宋" w:hAnsi="仿宋" w:eastAsia="仿宋" w:cs="仿宋"/>
          <w:sz w:val="32"/>
          <w:szCs w:val="32"/>
        </w:rPr>
        <w:t>行政执法宽松软、</w:t>
      </w:r>
      <w:r>
        <w:rPr>
          <w:rFonts w:hint="eastAsia" w:ascii="仿宋" w:hAnsi="仿宋" w:eastAsia="仿宋" w:cs="仿宋"/>
          <w:color w:val="000000"/>
          <w:sz w:val="32"/>
          <w:szCs w:val="32"/>
        </w:rPr>
        <w:t>隐患排查整治力度欠缺、</w:t>
      </w:r>
      <w:r>
        <w:rPr>
          <w:rFonts w:hint="eastAsia" w:ascii="仿宋" w:hAnsi="仿宋" w:eastAsia="仿宋" w:cs="仿宋"/>
          <w:sz w:val="32"/>
          <w:szCs w:val="32"/>
        </w:rPr>
        <w:t>在市级部门工作排名垫底</w:t>
      </w:r>
      <w:r>
        <w:rPr>
          <w:rFonts w:hint="eastAsia" w:ascii="仿宋" w:hAnsi="仿宋" w:eastAsia="仿宋" w:cs="仿宋"/>
          <w:color w:val="000000"/>
          <w:sz w:val="32"/>
          <w:szCs w:val="32"/>
        </w:rPr>
        <w:t>等突出问题，严重影响全区安全生产整体成绩和综合排名。二是少部分</w:t>
      </w:r>
      <w:r>
        <w:rPr>
          <w:rFonts w:hint="eastAsia" w:ascii="仿宋" w:hAnsi="仿宋" w:eastAsia="仿宋" w:cs="仿宋"/>
          <w:sz w:val="32"/>
          <w:szCs w:val="32"/>
        </w:rPr>
        <w:t>单位和部门的各类工作信息报表和新闻报道数据少、质量差，存在“吃大锅饭”的心态，“蜻蜓点水”应付式、避重就轻随意性填报或报无等现象较为普遍，导致全区工作数据偏低，整体安全生产工作没有得到很好体现。</w:t>
      </w:r>
    </w:p>
    <w:p>
      <w:pPr>
        <w:pStyle w:val="13"/>
        <w:keepNext w:val="0"/>
        <w:keepLines w:val="0"/>
        <w:widowControl/>
        <w:suppressLineNumbers w:val="0"/>
        <w:spacing w:before="0" w:beforeAutospacing="0" w:after="2" w:afterAutospacing="0"/>
        <w:ind w:right="0" w:firstLine="642" w:firstLineChars="200"/>
        <w:rPr>
          <w:rStyle w:val="16"/>
          <w:rFonts w:hint="eastAsia" w:ascii="宋体" w:hAnsi="宋体" w:eastAsia="宋体" w:cs="宋体"/>
          <w:b/>
          <w:bCs/>
          <w:i w:val="0"/>
          <w:iCs w:val="0"/>
          <w:caps w:val="0"/>
          <w:color w:val="000000"/>
          <w:spacing w:val="0"/>
          <w:sz w:val="32"/>
          <w:szCs w:val="32"/>
          <w:lang w:eastAsia="zh-CN"/>
        </w:rPr>
      </w:pPr>
      <w:r>
        <w:rPr>
          <w:rStyle w:val="16"/>
          <w:rFonts w:hint="eastAsia" w:ascii="宋体" w:hAnsi="宋体" w:eastAsia="宋体" w:cs="宋体"/>
          <w:b/>
          <w:bCs/>
          <w:i w:val="0"/>
          <w:iCs w:val="0"/>
          <w:caps w:val="0"/>
          <w:color w:val="000000"/>
          <w:spacing w:val="0"/>
          <w:sz w:val="32"/>
          <w:szCs w:val="32"/>
          <w:lang w:eastAsia="zh-CN"/>
        </w:rPr>
        <w:t>六、综合评价情况及评价结论</w:t>
      </w:r>
    </w:p>
    <w:p>
      <w:pPr>
        <w:pStyle w:val="13"/>
        <w:widowControl/>
        <w:shd w:val="clear" w:color="auto" w:fill="FFFFFF"/>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2023年我单位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90分，自评结果为“良好”。</w:t>
      </w:r>
    </w:p>
    <w:p>
      <w:pPr>
        <w:pStyle w:val="30"/>
        <w:widowControl/>
        <w:spacing w:after="2" w:afterAutospacing="0"/>
        <w:ind w:left="0" w:firstLine="641"/>
        <w:rPr>
          <w:rFonts w:hint="eastAsia" w:ascii="宋体" w:hAnsi="宋体" w:eastAsia="宋体" w:cs="宋体"/>
          <w:color w:val="000000"/>
          <w:sz w:val="32"/>
          <w:szCs w:val="32"/>
          <w:lang w:eastAsia="zh-CN"/>
        </w:rPr>
      </w:pPr>
    </w:p>
    <w:sectPr>
      <w:pgSz w:w="11906" w:h="16838" w:orient="landscape"/>
      <w:pgMar w:top="1440" w:right="1080" w:bottom="1440" w:left="1080" w:header="851" w:footer="992" w:gutter="0"/>
      <w:cols w:space="425"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helvetica">
    <w:altName w:val="C059"/>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2JiMDkyNjg0YzZkODI4YmY0MDI3NjIwYWRhYTAifQ=="/>
  </w:docVars>
  <w:rsids>
    <w:rsidRoot w:val="24827AF3"/>
    <w:rsid w:val="06141036"/>
    <w:rsid w:val="24827AF3"/>
    <w:rsid w:val="2F0D7070"/>
    <w:rsid w:val="3FF9E48E"/>
    <w:rsid w:val="670B2D18"/>
    <w:rsid w:val="6FB70C52"/>
    <w:rsid w:val="77CFF5D2"/>
    <w:rsid w:val="BFDD7F05"/>
    <w:rsid w:val="DF5F77A0"/>
    <w:rsid w:val="FDBFC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2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link w:val="2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5"/>
    <w:basedOn w:val="1"/>
    <w:next w:val="1"/>
    <w:link w:val="26"/>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10">
    <w:name w:val="heading 6"/>
    <w:basedOn w:val="1"/>
    <w:next w:val="1"/>
    <w:link w:val="27"/>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Calibri" w:hAnsi="Calibri"/>
      <w:szCs w:val="24"/>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11">
    <w:name w:val="footer"/>
    <w:basedOn w:val="1"/>
    <w:unhideWhenUsed/>
    <w:qFormat/>
    <w:uiPriority w:val="0"/>
    <w:pPr>
      <w:tabs>
        <w:tab w:val="center" w:pos="4153"/>
        <w:tab w:val="right" w:pos="8306"/>
      </w:tabs>
      <w:snapToGrid w:val="0"/>
      <w:jc w:val="left"/>
    </w:pPr>
    <w:rPr>
      <w:sz w:val="18"/>
    </w:rPr>
  </w:style>
  <w:style w:type="paragraph" w:styleId="12">
    <w:name w:val="HTML Preformatted"/>
    <w:basedOn w:val="1"/>
    <w:link w:val="19"/>
    <w:qFormat/>
    <w:uiPriority w:val="0"/>
    <w:rPr>
      <w:rFonts w:ascii="Courier New" w:hAnsi="Courier New"/>
      <w:sz w:val="20"/>
    </w:rPr>
  </w:style>
  <w:style w:type="paragraph" w:styleId="13">
    <w:name w:val="Normal (Web)"/>
    <w:basedOn w:val="1"/>
    <w:qFormat/>
    <w:uiPriority w:val="0"/>
    <w:rPr>
      <w:sz w:val="24"/>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customStyle="1" w:styleId="18">
    <w:name w:val="17"/>
    <w:basedOn w:val="15"/>
    <w:qFormat/>
    <w:uiPriority w:val="0"/>
    <w:rPr>
      <w:rFonts w:hint="default" w:ascii="Times New Roman" w:hAnsi="Times New Roman" w:cs="Times New Roman"/>
    </w:rPr>
  </w:style>
  <w:style w:type="character" w:customStyle="1" w:styleId="19">
    <w:name w:val="HTML 预设格式 字符"/>
    <w:basedOn w:val="15"/>
    <w:link w:val="12"/>
    <w:qFormat/>
    <w:uiPriority w:val="0"/>
    <w:rPr>
      <w:rFonts w:hint="eastAsia" w:ascii="宋体" w:hAnsi="宋体" w:eastAsia="宋体" w:cs="宋体"/>
      <w:sz w:val="24"/>
      <w:szCs w:val="24"/>
    </w:rPr>
  </w:style>
  <w:style w:type="character" w:customStyle="1" w:styleId="20">
    <w:name w:val="16"/>
    <w:basedOn w:val="15"/>
    <w:qFormat/>
    <w:uiPriority w:val="0"/>
    <w:rPr>
      <w:rFonts w:hint="default" w:ascii="Times New Roman" w:hAnsi="Times New Roman" w:cs="Times New Roman"/>
      <w:b/>
    </w:rPr>
  </w:style>
  <w:style w:type="character" w:customStyle="1" w:styleId="21">
    <w:name w:val="标题 3 字符"/>
    <w:basedOn w:val="15"/>
    <w:link w:val="7"/>
    <w:qFormat/>
    <w:uiPriority w:val="0"/>
    <w:rPr>
      <w:rFonts w:hint="eastAsia" w:ascii="宋体" w:hAnsi="宋体" w:eastAsia="宋体" w:cs="宋体"/>
      <w:b/>
      <w:bCs/>
      <w:sz w:val="27"/>
      <w:szCs w:val="27"/>
    </w:rPr>
  </w:style>
  <w:style w:type="character" w:customStyle="1" w:styleId="22">
    <w:name w:val="标题 1 字符"/>
    <w:basedOn w:val="15"/>
    <w:link w:val="5"/>
    <w:qFormat/>
    <w:uiPriority w:val="0"/>
    <w:rPr>
      <w:rFonts w:hint="eastAsia" w:ascii="宋体" w:hAnsi="宋体" w:eastAsia="宋体" w:cs="宋体"/>
      <w:b/>
      <w:bCs/>
      <w:kern w:val="44"/>
      <w:sz w:val="48"/>
      <w:szCs w:val="48"/>
    </w:rPr>
  </w:style>
  <w:style w:type="character" w:customStyle="1" w:styleId="23">
    <w:name w:val="标题 2 字符"/>
    <w:basedOn w:val="15"/>
    <w:link w:val="6"/>
    <w:qFormat/>
    <w:uiPriority w:val="0"/>
    <w:rPr>
      <w:rFonts w:hint="eastAsia" w:ascii="宋体" w:hAnsi="宋体" w:eastAsia="宋体" w:cs="宋体"/>
      <w:b/>
      <w:bCs/>
      <w:sz w:val="36"/>
      <w:szCs w:val="36"/>
    </w:rPr>
  </w:style>
  <w:style w:type="character" w:customStyle="1" w:styleId="24">
    <w:name w:val="标题 4 字符"/>
    <w:basedOn w:val="15"/>
    <w:link w:val="8"/>
    <w:qFormat/>
    <w:uiPriority w:val="0"/>
    <w:rPr>
      <w:rFonts w:hint="eastAsia" w:ascii="宋体" w:hAnsi="宋体" w:eastAsia="宋体" w:cs="宋体"/>
      <w:b/>
      <w:bCs/>
      <w:sz w:val="24"/>
      <w:szCs w:val="24"/>
    </w:rPr>
  </w:style>
  <w:style w:type="character" w:customStyle="1" w:styleId="25">
    <w:name w:val="15"/>
    <w:basedOn w:val="15"/>
    <w:qFormat/>
    <w:uiPriority w:val="0"/>
    <w:rPr>
      <w:rFonts w:hint="default" w:ascii="Times New Roman" w:hAnsi="Times New Roman" w:cs="Times New Roman"/>
    </w:rPr>
  </w:style>
  <w:style w:type="character" w:customStyle="1" w:styleId="26">
    <w:name w:val="标题 5 字符"/>
    <w:basedOn w:val="15"/>
    <w:link w:val="9"/>
    <w:qFormat/>
    <w:uiPriority w:val="0"/>
    <w:rPr>
      <w:rFonts w:hint="eastAsia" w:ascii="宋体" w:hAnsi="宋体" w:eastAsia="宋体" w:cs="宋体"/>
      <w:b/>
      <w:bCs/>
    </w:rPr>
  </w:style>
  <w:style w:type="character" w:customStyle="1" w:styleId="27">
    <w:name w:val="标题 6 字符"/>
    <w:basedOn w:val="15"/>
    <w:link w:val="10"/>
    <w:qFormat/>
    <w:uiPriority w:val="0"/>
    <w:rPr>
      <w:rFonts w:hint="eastAsia" w:ascii="宋体" w:hAnsi="宋体" w:eastAsia="宋体" w:cs="宋体"/>
      <w:b/>
      <w:bCs/>
      <w:sz w:val="15"/>
      <w:szCs w:val="15"/>
    </w:rPr>
  </w:style>
  <w:style w:type="character" w:customStyle="1" w:styleId="28">
    <w:name w:val="10"/>
    <w:basedOn w:val="15"/>
    <w:qFormat/>
    <w:uiPriority w:val="0"/>
    <w:rPr>
      <w:rFonts w:hint="default" w:ascii="Times New Roman" w:hAnsi="Times New Roman" w:cs="Times New Roman"/>
    </w:rPr>
  </w:style>
  <w:style w:type="paragraph" w:customStyle="1" w:styleId="29">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0">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2023-08-27T08:46:00Z</dcterms:created>
  <dc:creator>城西街道</dc:creator>
  <cp:lastModifiedBy>dx007</cp:lastModifiedBy>
  <dcterms:modified xsi:type="dcterms:W3CDTF">2024-10-18T09:38:23Z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C951EE2BAA5343A1B16AB814A953A051_13</vt:lpwstr>
  </property>
</Properties>
</file>