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方正小标宋_GBK" w:cs="Times New Roman"/>
          <w:kern w:val="0"/>
          <w:sz w:val="44"/>
          <w:szCs w:val="44"/>
          <w:lang w:val="en-US" w:eastAsia="zh-CN"/>
        </w:rPr>
      </w:pPr>
      <w:r>
        <w:rPr>
          <w:rFonts w:hint="eastAsia" w:ascii="Times New Roman" w:hAnsi="Times New Roman" w:eastAsia="方正小标宋_GBK" w:cs="Times New Roman"/>
          <w:kern w:val="0"/>
          <w:sz w:val="44"/>
          <w:szCs w:val="44"/>
          <w:lang w:val="en-US" w:eastAsia="zh-CN"/>
        </w:rPr>
        <w:t>湖南省邵阳市大祥区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方正小标宋_GBK" w:cs="Times New Roman"/>
          <w:kern w:val="0"/>
          <w:sz w:val="44"/>
          <w:szCs w:val="44"/>
        </w:rPr>
      </w:pPr>
      <w:r>
        <w:rPr>
          <w:rFonts w:hint="eastAsia" w:ascii="Times New Roman" w:hAnsi="Times New Roman" w:eastAsia="方正小标宋_GBK" w:cs="Times New Roman"/>
          <w:kern w:val="0"/>
          <w:sz w:val="44"/>
          <w:szCs w:val="44"/>
        </w:rPr>
        <w:t>蔡锷故里景区旅游基础设施及配套服务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方正小标宋_GBK" w:cs="Times New Roman"/>
          <w:kern w:val="0"/>
          <w:sz w:val="44"/>
          <w:szCs w:val="44"/>
          <w:lang w:val="en-US" w:eastAsia="zh-CN"/>
        </w:rPr>
      </w:pPr>
      <w:r>
        <w:rPr>
          <w:rFonts w:hint="eastAsia" w:ascii="Times New Roman" w:hAnsi="Times New Roman" w:eastAsia="方正小标宋_GBK" w:cs="Times New Roman"/>
          <w:kern w:val="0"/>
          <w:sz w:val="44"/>
          <w:szCs w:val="44"/>
        </w:rPr>
        <w:t>设施建设项目</w:t>
      </w:r>
      <w:r>
        <w:rPr>
          <w:rFonts w:hint="eastAsia" w:ascii="Times New Roman" w:hAnsi="Times New Roman" w:eastAsia="方正小标宋_GBK" w:cs="Times New Roman"/>
          <w:kern w:val="0"/>
          <w:sz w:val="44"/>
          <w:szCs w:val="44"/>
          <w:lang w:val="en-US" w:eastAsia="zh-CN"/>
        </w:rPr>
        <w:t>绩效自评报告</w:t>
      </w:r>
      <w:bookmarkStart w:id="0" w:name="_Toc3185"/>
    </w:p>
    <w:p>
      <w:pPr>
        <w:spacing w:line="579" w:lineRule="exact"/>
        <w:ind w:firstLine="880" w:firstLineChars="200"/>
        <w:outlineLvl w:val="9"/>
        <w:rPr>
          <w:rFonts w:hint="eastAsia" w:eastAsia="方正小标宋_GBK"/>
          <w:b/>
          <w:bCs/>
          <w:kern w:val="0"/>
          <w:sz w:val="44"/>
          <w:szCs w:val="44"/>
          <w:lang w:val="en-US" w:eastAsia="zh-CN"/>
        </w:rPr>
      </w:pPr>
    </w:p>
    <w:p>
      <w:pPr>
        <w:spacing w:line="579" w:lineRule="exact"/>
        <w:ind w:firstLine="880" w:firstLineChars="200"/>
        <w:outlineLvl w:val="9"/>
        <w:rPr>
          <w:rFonts w:hint="eastAsia" w:eastAsia="方正小标宋_GBK"/>
          <w:b/>
          <w:bCs/>
          <w:kern w:val="0"/>
          <w:sz w:val="44"/>
          <w:szCs w:val="44"/>
          <w:lang w:val="en-US" w:eastAsia="zh-CN"/>
        </w:rPr>
      </w:pPr>
    </w:p>
    <w:p>
      <w:pPr>
        <w:spacing w:line="600" w:lineRule="exact"/>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一、基本情况</w:t>
      </w:r>
      <w:bookmarkEnd w:id="0"/>
    </w:p>
    <w:p>
      <w:pPr>
        <w:spacing w:line="579" w:lineRule="exact"/>
        <w:ind w:firstLine="643" w:firstLineChars="200"/>
        <w:outlineLvl w:val="1"/>
        <w:rPr>
          <w:rFonts w:hint="default" w:eastAsia="楷体"/>
          <w:b/>
          <w:bCs/>
          <w:sz w:val="32"/>
          <w:szCs w:val="32"/>
          <w:lang w:val="en-US" w:eastAsia="zh-CN"/>
        </w:rPr>
      </w:pPr>
      <w:bookmarkStart w:id="1" w:name="_Toc29708"/>
      <w:r>
        <w:rPr>
          <w:rFonts w:eastAsia="楷体"/>
          <w:b/>
          <w:bCs/>
          <w:sz w:val="32"/>
          <w:szCs w:val="32"/>
        </w:rPr>
        <w:t>（一）项目</w:t>
      </w:r>
      <w:bookmarkEnd w:id="1"/>
      <w:r>
        <w:rPr>
          <w:rFonts w:hint="eastAsia" w:eastAsia="楷体"/>
          <w:b/>
          <w:bCs/>
          <w:sz w:val="32"/>
          <w:szCs w:val="32"/>
          <w:lang w:val="en-US" w:eastAsia="zh-CN"/>
        </w:rPr>
        <w:t>单位情况</w:t>
      </w:r>
    </w:p>
    <w:p>
      <w:pPr>
        <w:spacing w:line="579" w:lineRule="exact"/>
        <w:ind w:firstLine="640" w:firstLineChars="200"/>
        <w:rPr>
          <w:rFonts w:eastAsia="仿宋_GB2312"/>
          <w:kern w:val="0"/>
          <w:sz w:val="32"/>
          <w:szCs w:val="32"/>
        </w:rPr>
      </w:pPr>
      <w:r>
        <w:rPr>
          <w:rFonts w:eastAsia="仿宋_GB2312"/>
          <w:kern w:val="0"/>
          <w:sz w:val="32"/>
          <w:szCs w:val="32"/>
        </w:rPr>
        <w:t>2013年5月《关于大祥区蔡锷故居管理所更名并升格的批复》（市编发〔20</w:t>
      </w:r>
      <w:r>
        <w:rPr>
          <w:rFonts w:hint="eastAsia" w:eastAsia="仿宋_GB2312"/>
          <w:kern w:val="0"/>
          <w:sz w:val="32"/>
          <w:szCs w:val="32"/>
          <w:lang w:val="en-US" w:eastAsia="zh-CN"/>
        </w:rPr>
        <w:t>13</w:t>
      </w:r>
      <w:r>
        <w:rPr>
          <w:rFonts w:eastAsia="仿宋_GB2312"/>
          <w:kern w:val="0"/>
          <w:sz w:val="32"/>
          <w:szCs w:val="32"/>
        </w:rPr>
        <w:t>〕57号）与《关于蔡锷故居管理所更名并升格的批复》（大编发〔20</w:t>
      </w:r>
      <w:r>
        <w:rPr>
          <w:rFonts w:hint="eastAsia" w:eastAsia="仿宋_GB2312"/>
          <w:kern w:val="0"/>
          <w:sz w:val="32"/>
          <w:szCs w:val="32"/>
          <w:lang w:val="en-US" w:eastAsia="zh-CN"/>
        </w:rPr>
        <w:t>13</w:t>
      </w:r>
      <w:r>
        <w:rPr>
          <w:rFonts w:eastAsia="仿宋_GB2312"/>
          <w:kern w:val="0"/>
          <w:sz w:val="32"/>
          <w:szCs w:val="32"/>
        </w:rPr>
        <w:t>〕15号），大祥区蔡锷故居管理局所更名为邵阳市大祥区蔡锷故居管理局，由副科级事业机构升格为正科级事业机构，归口区人民政府管理。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9"/>
        <w:rPr>
          <w:rFonts w:hint="default" w:eastAsia="仿宋_GB2312"/>
          <w:kern w:val="0"/>
          <w:sz w:val="32"/>
          <w:szCs w:val="32"/>
          <w:lang w:val="en-US" w:eastAsia="zh-CN"/>
        </w:rPr>
      </w:pPr>
      <w:r>
        <w:rPr>
          <w:rFonts w:hint="eastAsia" w:eastAsia="仿宋_GB2312"/>
          <w:kern w:val="0"/>
          <w:sz w:val="32"/>
          <w:szCs w:val="32"/>
          <w:lang w:val="en-US" w:eastAsia="zh-CN"/>
        </w:rPr>
        <w:t>其主要职能为：</w:t>
      </w:r>
      <w:r>
        <w:rPr>
          <w:rFonts w:hint="default" w:eastAsia="仿宋_GB2312"/>
          <w:kern w:val="0"/>
          <w:sz w:val="32"/>
          <w:szCs w:val="32"/>
          <w:lang w:val="en-US" w:eastAsia="zh-CN"/>
        </w:rPr>
        <w:t>1、根据《中华人民共和国文物保护法》做好蔡锷故居的保护、管理，依法查处违反蔡锷故居保护管理规定的行为</w:t>
      </w:r>
      <w:r>
        <w:rPr>
          <w:rFonts w:hint="eastAsia" w:eastAsia="仿宋_GB2312"/>
          <w:kern w:val="0"/>
          <w:sz w:val="32"/>
          <w:szCs w:val="32"/>
          <w:lang w:val="en-US" w:eastAsia="zh-CN"/>
        </w:rPr>
        <w:t>；</w:t>
      </w:r>
      <w:r>
        <w:rPr>
          <w:rFonts w:hint="default" w:eastAsia="仿宋_GB2312"/>
          <w:kern w:val="0"/>
          <w:sz w:val="32"/>
          <w:szCs w:val="32"/>
          <w:lang w:val="en-US" w:eastAsia="zh-CN"/>
        </w:rPr>
        <w:t>2、蔡锷相关文物的征集、陈列、展览、保护</w:t>
      </w:r>
      <w:r>
        <w:rPr>
          <w:rFonts w:hint="eastAsia" w:eastAsia="仿宋_GB2312"/>
          <w:kern w:val="0"/>
          <w:sz w:val="32"/>
          <w:szCs w:val="32"/>
          <w:lang w:val="en-US" w:eastAsia="zh-CN"/>
        </w:rPr>
        <w:t>；</w:t>
      </w:r>
      <w:r>
        <w:rPr>
          <w:rFonts w:hint="default" w:eastAsia="仿宋_GB2312"/>
          <w:kern w:val="0"/>
          <w:sz w:val="32"/>
          <w:szCs w:val="32"/>
          <w:lang w:val="en-US" w:eastAsia="zh-CN"/>
        </w:rPr>
        <w:t>3、蔡锷故居保护及旅游开发管理相关项目的申报和组织实施</w:t>
      </w:r>
      <w:r>
        <w:rPr>
          <w:rFonts w:hint="eastAsia" w:eastAsia="仿宋_GB2312"/>
          <w:kern w:val="0"/>
          <w:sz w:val="32"/>
          <w:szCs w:val="32"/>
          <w:lang w:val="en-US" w:eastAsia="zh-CN"/>
        </w:rPr>
        <w:t>；</w:t>
      </w:r>
      <w:r>
        <w:rPr>
          <w:rFonts w:hint="default" w:eastAsia="仿宋_GB2312"/>
          <w:kern w:val="0"/>
          <w:sz w:val="32"/>
          <w:szCs w:val="32"/>
          <w:lang w:val="en-US" w:eastAsia="zh-CN"/>
        </w:rPr>
        <w:t>4、蔡锷故居保护管理资金的管理和使用</w:t>
      </w:r>
      <w:r>
        <w:rPr>
          <w:rFonts w:hint="eastAsia" w:eastAsia="仿宋_GB2312"/>
          <w:kern w:val="0"/>
          <w:sz w:val="32"/>
          <w:szCs w:val="32"/>
          <w:lang w:val="en-US" w:eastAsia="zh-CN"/>
        </w:rPr>
        <w:t>；</w:t>
      </w:r>
      <w:r>
        <w:rPr>
          <w:rFonts w:hint="default" w:eastAsia="仿宋_GB2312"/>
          <w:kern w:val="0"/>
          <w:sz w:val="32"/>
          <w:szCs w:val="32"/>
          <w:lang w:val="en-US" w:eastAsia="zh-CN"/>
        </w:rPr>
        <w:t>5、蔡锷故居的安防、消防及文物安全、保卫工作</w:t>
      </w:r>
      <w:r>
        <w:rPr>
          <w:rFonts w:hint="eastAsia" w:eastAsia="仿宋_GB2312"/>
          <w:kern w:val="0"/>
          <w:sz w:val="32"/>
          <w:szCs w:val="32"/>
          <w:lang w:val="en-US" w:eastAsia="zh-CN"/>
        </w:rPr>
        <w:t>；</w:t>
      </w:r>
      <w:r>
        <w:rPr>
          <w:rFonts w:hint="default" w:eastAsia="仿宋_GB2312"/>
          <w:kern w:val="0"/>
          <w:sz w:val="32"/>
          <w:szCs w:val="32"/>
          <w:lang w:val="en-US" w:eastAsia="zh-CN"/>
        </w:rPr>
        <w:t>6、蔡锷故居的清扫保洁工作及公用设施的经营管理</w:t>
      </w:r>
      <w:r>
        <w:rPr>
          <w:rFonts w:hint="eastAsia" w:eastAsia="仿宋_GB2312"/>
          <w:kern w:val="0"/>
          <w:sz w:val="32"/>
          <w:szCs w:val="32"/>
          <w:lang w:val="en-US" w:eastAsia="zh-CN"/>
        </w:rPr>
        <w:t>；</w:t>
      </w:r>
      <w:r>
        <w:rPr>
          <w:rFonts w:hint="default" w:eastAsia="仿宋_GB2312"/>
          <w:kern w:val="0"/>
          <w:sz w:val="32"/>
          <w:szCs w:val="32"/>
          <w:lang w:val="en-US" w:eastAsia="zh-CN"/>
        </w:rPr>
        <w:t>7、落实上级党委、政府关于加强蔡锷故居保护建设管理的各项指示、决定，开展爱国主义教育，做好宣传、接待工作</w:t>
      </w:r>
      <w:r>
        <w:rPr>
          <w:rFonts w:hint="eastAsia" w:eastAsia="仿宋_GB2312"/>
          <w:kern w:val="0"/>
          <w:sz w:val="32"/>
          <w:szCs w:val="32"/>
          <w:lang w:val="en-US" w:eastAsia="zh-CN"/>
        </w:rPr>
        <w:t>；</w:t>
      </w:r>
      <w:r>
        <w:rPr>
          <w:rFonts w:hint="default" w:eastAsia="仿宋_GB2312"/>
          <w:kern w:val="0"/>
          <w:sz w:val="32"/>
          <w:szCs w:val="32"/>
          <w:lang w:val="en-US" w:eastAsia="zh-CN"/>
        </w:rPr>
        <w:t>8、承办区委、区政府及上级部门交办的其他事项。</w:t>
      </w:r>
    </w:p>
    <w:p>
      <w:pPr>
        <w:spacing w:line="579" w:lineRule="exact"/>
        <w:ind w:firstLine="643" w:firstLineChars="200"/>
        <w:outlineLvl w:val="1"/>
        <w:rPr>
          <w:rFonts w:hint="default" w:eastAsia="楷体"/>
          <w:b/>
          <w:bCs/>
          <w:sz w:val="32"/>
          <w:szCs w:val="32"/>
          <w:lang w:val="en-US" w:eastAsia="zh-CN"/>
        </w:rPr>
      </w:pPr>
      <w:r>
        <w:rPr>
          <w:rFonts w:eastAsia="楷体"/>
          <w:b/>
          <w:bCs/>
          <w:sz w:val="32"/>
          <w:szCs w:val="32"/>
        </w:rPr>
        <w:t>（</w:t>
      </w:r>
      <w:r>
        <w:rPr>
          <w:rFonts w:hint="eastAsia" w:eastAsia="楷体"/>
          <w:b/>
          <w:bCs/>
          <w:sz w:val="32"/>
          <w:szCs w:val="32"/>
          <w:lang w:val="en-US" w:eastAsia="zh-CN"/>
        </w:rPr>
        <w:t>二</w:t>
      </w:r>
      <w:r>
        <w:rPr>
          <w:rFonts w:eastAsia="楷体"/>
          <w:b/>
          <w:bCs/>
          <w:sz w:val="32"/>
          <w:szCs w:val="32"/>
        </w:rPr>
        <w:t>）项目</w:t>
      </w:r>
      <w:r>
        <w:rPr>
          <w:rFonts w:hint="eastAsia" w:eastAsia="楷体"/>
          <w:b/>
          <w:bCs/>
          <w:sz w:val="32"/>
          <w:szCs w:val="32"/>
          <w:lang w:val="en-US" w:eastAsia="zh-CN"/>
        </w:rPr>
        <w:t>基本情况</w:t>
      </w:r>
    </w:p>
    <w:p>
      <w:pPr>
        <w:pStyle w:val="2"/>
        <w:rPr>
          <w:rFonts w:hint="eastAsia" w:ascii="Times New Roman" w:hAnsi="Times New Roman" w:cs="Times New Roman"/>
          <w:kern w:val="0"/>
          <w:sz w:val="32"/>
          <w:szCs w:val="32"/>
          <w:lang w:val="en-US" w:eastAsia="zh-CN"/>
        </w:rPr>
      </w:pPr>
      <w:r>
        <w:rPr>
          <w:rFonts w:hint="eastAsia" w:ascii="Times New Roman" w:hAnsi="Times New Roman" w:cs="Times New Roman"/>
          <w:kern w:val="0"/>
          <w:sz w:val="32"/>
          <w:szCs w:val="32"/>
          <w:lang w:val="en-US" w:eastAsia="zh-CN"/>
        </w:rPr>
        <w:t>项目拟在</w:t>
      </w:r>
      <w:r>
        <w:rPr>
          <w:rFonts w:hint="default" w:ascii="Times New Roman" w:hAnsi="Times New Roman" w:cs="Times New Roman"/>
          <w:kern w:val="0"/>
          <w:sz w:val="32"/>
          <w:szCs w:val="32"/>
          <w:lang w:val="en-US" w:eastAsia="zh-CN"/>
        </w:rPr>
        <w:t>湖南省邵阳市大祥区蔡锷乡蔡锷村</w:t>
      </w:r>
      <w:r>
        <w:rPr>
          <w:rFonts w:hint="eastAsia" w:ascii="Times New Roman" w:hAnsi="Times New Roman" w:cs="Times New Roman"/>
          <w:kern w:val="0"/>
          <w:sz w:val="32"/>
          <w:szCs w:val="32"/>
          <w:lang w:val="en-US" w:eastAsia="zh-CN"/>
        </w:rPr>
        <w:t>实施建设任务，其</w:t>
      </w:r>
      <w:r>
        <w:rPr>
          <w:rFonts w:hint="default" w:ascii="Times New Roman" w:hAnsi="Times New Roman" w:cs="Times New Roman"/>
          <w:kern w:val="0"/>
          <w:sz w:val="32"/>
          <w:szCs w:val="32"/>
          <w:lang w:val="en-US" w:eastAsia="zh-CN"/>
        </w:rPr>
        <w:t>项目建设规模及内容为：对蔡锷故里景区旅游公共服务保障设施进行建设，具体建设内容包括配套服务设施和基础设施，主要改造配套服务设施5610.4㎡，铺装文化广场5000㎡、</w:t>
      </w:r>
      <w:r>
        <w:rPr>
          <w:rFonts w:hint="eastAsia" w:ascii="Times New Roman" w:hAnsi="Times New Roman" w:cs="Times New Roman"/>
          <w:kern w:val="0"/>
          <w:sz w:val="32"/>
          <w:szCs w:val="32"/>
          <w:lang w:val="en-US" w:eastAsia="zh-CN"/>
        </w:rPr>
        <w:t>生态停车场4200㎡、小型污水处理站300㎡、敷设污水管网1000 m、绿化600㎡、外墙维修2300㎡、维修蔡锷故居800㎡、环境整治3000㎡、修建车行道5990㎡、游步道10030㎡等基础设施，新建建筑面积为50㎡的公共厕所2处，新建蔡锷生平业绩陈列馆电机房与电缆工程。</w:t>
      </w:r>
    </w:p>
    <w:p>
      <w:pPr>
        <w:spacing w:line="579" w:lineRule="exact"/>
        <w:ind w:firstLine="643" w:firstLineChars="200"/>
        <w:outlineLvl w:val="1"/>
        <w:rPr>
          <w:rFonts w:hint="default" w:eastAsia="楷体"/>
          <w:b/>
          <w:bCs/>
          <w:sz w:val="32"/>
          <w:szCs w:val="32"/>
          <w:lang w:val="en-US" w:eastAsia="zh-CN"/>
        </w:rPr>
      </w:pPr>
      <w:r>
        <w:rPr>
          <w:rFonts w:eastAsia="楷体"/>
          <w:b/>
          <w:bCs/>
          <w:sz w:val="32"/>
          <w:szCs w:val="32"/>
        </w:rPr>
        <w:t>（</w:t>
      </w:r>
      <w:r>
        <w:rPr>
          <w:rFonts w:hint="eastAsia" w:eastAsia="楷体"/>
          <w:b/>
          <w:bCs/>
          <w:sz w:val="32"/>
          <w:szCs w:val="32"/>
          <w:lang w:val="en-US" w:eastAsia="zh-CN"/>
        </w:rPr>
        <w:t>三</w:t>
      </w:r>
      <w:r>
        <w:rPr>
          <w:rFonts w:eastAsia="楷体"/>
          <w:b/>
          <w:bCs/>
          <w:sz w:val="32"/>
          <w:szCs w:val="32"/>
        </w:rPr>
        <w:t>）项目</w:t>
      </w:r>
      <w:r>
        <w:rPr>
          <w:rFonts w:hint="eastAsia" w:eastAsia="楷体"/>
          <w:b/>
          <w:bCs/>
          <w:sz w:val="32"/>
          <w:szCs w:val="32"/>
          <w:lang w:val="en-US" w:eastAsia="zh-CN"/>
        </w:rPr>
        <w:t>资金情况</w:t>
      </w:r>
    </w:p>
    <w:p>
      <w:pPr>
        <w:pStyle w:val="2"/>
        <w:rPr>
          <w:rFonts w:hint="default" w:ascii="Times New Roman" w:hAnsi="Times New Roman" w:cs="Times New Roman"/>
          <w:kern w:val="0"/>
          <w:sz w:val="32"/>
          <w:szCs w:val="32"/>
          <w:lang w:val="en-US" w:eastAsia="zh-CN"/>
        </w:rPr>
      </w:pPr>
      <w:r>
        <w:rPr>
          <w:rFonts w:hint="default" w:ascii="Times New Roman" w:hAnsi="Times New Roman" w:cs="Times New Roman"/>
          <w:kern w:val="0"/>
          <w:sz w:val="32"/>
          <w:szCs w:val="32"/>
          <w:lang w:val="en-US" w:eastAsia="zh-CN"/>
        </w:rPr>
        <w:t>根据《关于审批蔡锷故里景区旅游基础设施及配套服务设施建设项目可行性研究报告报告的批复》（大发改〔2020〕150号），项目取得邵阳市大祥区发展和改革局的建设批复。</w:t>
      </w:r>
    </w:p>
    <w:p>
      <w:pPr>
        <w:pStyle w:val="2"/>
        <w:rPr>
          <w:rFonts w:hint="eastAsia" w:ascii="Times New Roman" w:hAnsi="Times New Roman" w:cs="Times New Roman"/>
          <w:kern w:val="0"/>
          <w:sz w:val="32"/>
          <w:szCs w:val="32"/>
          <w:lang w:val="en-US" w:eastAsia="zh-CN"/>
        </w:rPr>
      </w:pPr>
      <w:r>
        <w:rPr>
          <w:rFonts w:hint="default" w:ascii="Times New Roman" w:hAnsi="Times New Roman" w:cs="Times New Roman"/>
          <w:kern w:val="0"/>
          <w:sz w:val="32"/>
          <w:szCs w:val="32"/>
          <w:lang w:val="en-US" w:eastAsia="zh-CN"/>
        </w:rPr>
        <w:t>蔡锷故里景区旅游基础设施及配套服务设施建设项目</w:t>
      </w:r>
      <w:r>
        <w:rPr>
          <w:rFonts w:hint="eastAsia" w:ascii="Times New Roman" w:hAnsi="Times New Roman" w:cs="Times New Roman"/>
          <w:kern w:val="0"/>
          <w:sz w:val="32"/>
          <w:szCs w:val="32"/>
          <w:lang w:val="en-US" w:eastAsia="zh-CN"/>
        </w:rPr>
        <w:t>，项目资金筹措方式为建设单位自筹和发行专项债券。资金总投资为3544.22万元，其中用于项目支出的资金本为2,694.22万元，拟申请发行政府专项债券资金850.00万元，于2021年10月25日发行15年期政府专项债券850.00万元，付息方式为半年一次，到期本息付清，票面利率3.51%。项目偿还政府专项债券的资金来源主要为门票收入、停车场收入、研学收入三方面。</w:t>
      </w:r>
    </w:p>
    <w:p>
      <w:pPr>
        <w:adjustRightInd w:val="0"/>
        <w:snapToGrid w:val="0"/>
        <w:spacing w:line="600" w:lineRule="exact"/>
        <w:ind w:firstLine="643" w:firstLineChars="200"/>
        <w:outlineLvl w:val="1"/>
        <w:rPr>
          <w:rFonts w:ascii="楷体_GB2312" w:eastAsia="楷体_GB2312"/>
          <w:b/>
          <w:bCs/>
          <w:color w:val="000000" w:themeColor="text1"/>
          <w:sz w:val="32"/>
          <w:szCs w:val="32"/>
          <w14:textFill>
            <w14:solidFill>
              <w14:schemeClr w14:val="tx1"/>
            </w14:solidFill>
          </w14:textFill>
        </w:rPr>
      </w:pPr>
      <w:r>
        <w:rPr>
          <w:rFonts w:ascii="楷体_GB2312" w:eastAsia="楷体_GB2312"/>
          <w:b/>
          <w:bCs/>
          <w:color w:val="000000" w:themeColor="text1"/>
          <w:sz w:val="32"/>
          <w:szCs w:val="32"/>
          <w14:textFill>
            <w14:solidFill>
              <w14:schemeClr w14:val="tx1"/>
            </w14:solidFill>
          </w14:textFill>
        </w:rPr>
        <w:t>（</w:t>
      </w:r>
      <w:r>
        <w:rPr>
          <w:rFonts w:hint="eastAsia" w:ascii="楷体_GB2312" w:eastAsia="楷体_GB2312"/>
          <w:b/>
          <w:bCs/>
          <w:color w:val="000000" w:themeColor="text1"/>
          <w:sz w:val="32"/>
          <w:szCs w:val="32"/>
          <w:lang w:val="en-US" w:eastAsia="zh-CN"/>
          <w14:textFill>
            <w14:solidFill>
              <w14:schemeClr w14:val="tx1"/>
            </w14:solidFill>
          </w14:textFill>
        </w:rPr>
        <w:t>四</w:t>
      </w:r>
      <w:r>
        <w:rPr>
          <w:rFonts w:ascii="楷体_GB2312" w:eastAsia="楷体_GB2312"/>
          <w:b/>
          <w:bCs/>
          <w:color w:val="000000" w:themeColor="text1"/>
          <w:sz w:val="32"/>
          <w:szCs w:val="32"/>
          <w14:textFill>
            <w14:solidFill>
              <w14:schemeClr w14:val="tx1"/>
            </w14:solidFill>
          </w14:textFill>
        </w:rPr>
        <w:t>）项目绩效目标</w:t>
      </w:r>
    </w:p>
    <w:p>
      <w:pPr>
        <w:adjustRightInd w:val="0"/>
        <w:snapToGrid w:val="0"/>
        <w:spacing w:line="600" w:lineRule="exact"/>
        <w:ind w:firstLine="643" w:firstLineChars="200"/>
        <w:rPr>
          <w:rFonts w:eastAsia="仿宋_GB2312"/>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实施期</w:t>
      </w:r>
      <w:r>
        <w:rPr>
          <w:rFonts w:eastAsia="仿宋_GB2312"/>
          <w:b/>
          <w:color w:val="000000" w:themeColor="text1"/>
          <w:sz w:val="32"/>
          <w:szCs w:val="32"/>
          <w14:textFill>
            <w14:solidFill>
              <w14:schemeClr w14:val="tx1"/>
            </w14:solidFill>
          </w14:textFill>
        </w:rPr>
        <w:t>总体目标</w:t>
      </w:r>
      <w:r>
        <w:rPr>
          <w:rFonts w:hint="eastAsia" w:eastAsia="仿宋_GB2312"/>
          <w:b/>
          <w:color w:val="000000" w:themeColor="text1"/>
          <w:sz w:val="32"/>
          <w:szCs w:val="32"/>
          <w14:textFill>
            <w14:solidFill>
              <w14:schemeClr w14:val="tx1"/>
            </w14:solidFill>
          </w14:textFill>
        </w:rPr>
        <w:t>：</w:t>
      </w:r>
      <w:r>
        <w:rPr>
          <w:rFonts w:hint="eastAsia" w:eastAsia="仿宋_GB2312"/>
          <w:b w:val="0"/>
          <w:bCs/>
          <w:color w:val="000000" w:themeColor="text1"/>
          <w:sz w:val="32"/>
          <w:szCs w:val="32"/>
          <w:lang w:val="en-US" w:eastAsia="zh-CN"/>
          <w14:textFill>
            <w14:solidFill>
              <w14:schemeClr w14:val="tx1"/>
            </w14:solidFill>
          </w14:textFill>
        </w:rPr>
        <w:t>基础设施建设是旅游服务的基础，蔡锷故居旅游景区虽然有着区域优势、名人效益。但基础设施空白，无法满足旅客的需求。</w:t>
      </w:r>
      <w:r>
        <w:rPr>
          <w:rFonts w:hint="eastAsia" w:eastAsia="仿宋_GB2312"/>
          <w:color w:val="000000" w:themeColor="text1"/>
          <w:sz w:val="32"/>
          <w:szCs w:val="32"/>
          <w14:textFill>
            <w14:solidFill>
              <w14:schemeClr w14:val="tx1"/>
            </w14:solidFill>
          </w14:textFill>
        </w:rPr>
        <w:t>本项目的</w:t>
      </w:r>
      <w:r>
        <w:rPr>
          <w:rFonts w:hint="eastAsia" w:eastAsia="仿宋_GB2312"/>
          <w:color w:val="000000" w:themeColor="text1"/>
          <w:sz w:val="32"/>
          <w:szCs w:val="32"/>
          <w:lang w:val="en-US" w:eastAsia="zh-CN"/>
          <w14:textFill>
            <w14:solidFill>
              <w14:schemeClr w14:val="tx1"/>
            </w14:solidFill>
          </w14:textFill>
        </w:rPr>
        <w:t>开展为提高蔡锷故里景区旅游服务功能，建设蔡锷生平业绩陈列馆、铜像广场等方面和服务管理的基础设施设备，以发展红色旅游</w:t>
      </w:r>
      <w:r>
        <w:rPr>
          <w:rFonts w:hint="eastAsia" w:eastAsia="仿宋_GB2312"/>
          <w:color w:val="000000" w:themeColor="text1"/>
          <w:sz w:val="32"/>
          <w:szCs w:val="32"/>
          <w14:textFill>
            <w14:solidFill>
              <w14:schemeClr w14:val="tx1"/>
            </w14:solidFill>
          </w14:textFill>
        </w:rPr>
        <w:t>。</w:t>
      </w:r>
    </w:p>
    <w:p>
      <w:pPr>
        <w:adjustRightInd w:val="0"/>
        <w:snapToGrid w:val="0"/>
        <w:spacing w:line="600" w:lineRule="exact"/>
        <w:ind w:firstLine="643" w:firstLineChars="200"/>
        <w:rPr>
          <w:rFonts w:hint="default" w:eastAsia="仿宋_GB2312"/>
          <w:color w:val="000000" w:themeColor="text1"/>
          <w:sz w:val="32"/>
          <w:szCs w:val="32"/>
          <w:lang w:val="en-US" w:eastAsia="zh-CN"/>
          <w14:textFill>
            <w14:solidFill>
              <w14:schemeClr w14:val="tx1"/>
            </w14:solidFill>
          </w14:textFill>
        </w:rPr>
      </w:pPr>
      <w:r>
        <w:rPr>
          <w:rFonts w:eastAsia="仿宋_GB2312"/>
          <w:b/>
          <w:bCs/>
          <w:color w:val="000000" w:themeColor="text1"/>
          <w:sz w:val="32"/>
          <w:szCs w:val="32"/>
          <w14:textFill>
            <w14:solidFill>
              <w14:schemeClr w14:val="tx1"/>
            </w14:solidFill>
          </w14:textFill>
        </w:rPr>
        <w:t>具体</w:t>
      </w:r>
      <w:r>
        <w:rPr>
          <w:rFonts w:hint="eastAsia" w:eastAsia="仿宋_GB2312"/>
          <w:b/>
          <w:bCs/>
          <w:color w:val="000000" w:themeColor="text1"/>
          <w:sz w:val="32"/>
          <w:szCs w:val="32"/>
          <w14:textFill>
            <w14:solidFill>
              <w14:schemeClr w14:val="tx1"/>
            </w14:solidFill>
          </w14:textFill>
        </w:rPr>
        <w:t>年度目标</w:t>
      </w:r>
      <w:r>
        <w:rPr>
          <w:rFonts w:eastAsia="仿宋_GB2312"/>
          <w:b/>
          <w:bCs/>
          <w:color w:val="000000" w:themeColor="text1"/>
          <w:sz w:val="32"/>
          <w:szCs w:val="32"/>
          <w14:textFill>
            <w14:solidFill>
              <w14:schemeClr w14:val="tx1"/>
            </w14:solidFill>
          </w14:textFill>
        </w:rPr>
        <w:t>为：</w:t>
      </w:r>
      <w:r>
        <w:rPr>
          <w:rFonts w:hint="eastAsia" w:eastAsia="仿宋_GB2312"/>
          <w:color w:val="000000" w:themeColor="text1"/>
          <w:sz w:val="32"/>
          <w:szCs w:val="32"/>
          <w:lang w:val="en-US" w:eastAsia="zh-CN"/>
          <w14:textFill>
            <w14:solidFill>
              <w14:schemeClr w14:val="tx1"/>
            </w14:solidFill>
          </w14:textFill>
        </w:rPr>
        <w:t>完成项目建设。</w:t>
      </w:r>
    </w:p>
    <w:p>
      <w:pPr>
        <w:spacing w:line="600" w:lineRule="exact"/>
        <w:ind w:firstLine="640" w:firstLineChars="200"/>
        <w:outlineLvl w:val="0"/>
        <w:rPr>
          <w:rFonts w:eastAsia="黑体"/>
          <w:sz w:val="32"/>
          <w:szCs w:val="32"/>
        </w:rPr>
      </w:pPr>
      <w:r>
        <w:rPr>
          <w:rFonts w:eastAsia="黑体"/>
          <w:sz w:val="32"/>
          <w:szCs w:val="32"/>
        </w:rPr>
        <w:t>二、项目资金使用及管理情况</w:t>
      </w:r>
    </w:p>
    <w:p>
      <w:pPr>
        <w:spacing w:line="600" w:lineRule="exact"/>
        <w:ind w:firstLine="643" w:firstLineChars="200"/>
        <w:outlineLvl w:val="1"/>
        <w:rPr>
          <w:rFonts w:hint="eastAsia" w:ascii="楷体_GB2312" w:eastAsia="楷体_GB2312"/>
          <w:b/>
          <w:bCs/>
          <w:sz w:val="32"/>
          <w:szCs w:val="32"/>
        </w:rPr>
      </w:pPr>
      <w:r>
        <w:rPr>
          <w:rFonts w:ascii="楷体_GB2312" w:eastAsia="楷体_GB2312"/>
          <w:b/>
          <w:bCs/>
          <w:sz w:val="32"/>
          <w:szCs w:val="32"/>
        </w:rPr>
        <w:t>（一）资金应到位及实际到位情况</w:t>
      </w:r>
    </w:p>
    <w:p>
      <w:pPr>
        <w:spacing w:line="600" w:lineRule="exact"/>
        <w:ind w:firstLine="640" w:firstLineChars="200"/>
        <w:rPr>
          <w:rFonts w:eastAsia="仿宋_GB2312"/>
          <w:color w:val="FF0000"/>
          <w:sz w:val="32"/>
          <w:szCs w:val="32"/>
        </w:rPr>
      </w:pPr>
      <w:r>
        <w:rPr>
          <w:rFonts w:eastAsia="仿宋_GB2312"/>
          <w:sz w:val="32"/>
          <w:szCs w:val="32"/>
        </w:rPr>
        <w:t>202</w:t>
      </w:r>
      <w:r>
        <w:rPr>
          <w:rFonts w:hint="eastAsia" w:eastAsia="仿宋_GB2312"/>
          <w:sz w:val="32"/>
          <w:szCs w:val="32"/>
          <w:lang w:val="en-US" w:eastAsia="zh-CN"/>
        </w:rPr>
        <w:t>1</w:t>
      </w:r>
      <w:r>
        <w:rPr>
          <w:rFonts w:eastAsia="仿宋_GB2312"/>
          <w:sz w:val="32"/>
          <w:szCs w:val="32"/>
        </w:rPr>
        <w:t>年</w:t>
      </w:r>
      <w:r>
        <w:rPr>
          <w:rFonts w:hint="eastAsia" w:eastAsia="仿宋_GB2312"/>
          <w:sz w:val="32"/>
          <w:szCs w:val="32"/>
          <w:lang w:val="en-US" w:eastAsia="zh-CN"/>
        </w:rPr>
        <w:t>10</w:t>
      </w:r>
      <w:r>
        <w:rPr>
          <w:rFonts w:eastAsia="仿宋_GB2312"/>
          <w:sz w:val="32"/>
          <w:szCs w:val="32"/>
        </w:rPr>
        <w:t>月2</w:t>
      </w:r>
      <w:r>
        <w:rPr>
          <w:rFonts w:hint="eastAsia" w:eastAsia="仿宋_GB2312"/>
          <w:sz w:val="32"/>
          <w:szCs w:val="32"/>
          <w:lang w:val="en-US" w:eastAsia="zh-CN"/>
        </w:rPr>
        <w:t>5</w:t>
      </w:r>
      <w:r>
        <w:rPr>
          <w:rFonts w:eastAsia="仿宋_GB2312"/>
          <w:sz w:val="32"/>
          <w:szCs w:val="32"/>
        </w:rPr>
        <w:t>日，通过</w:t>
      </w: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年湖南省</w:t>
      </w:r>
      <w:r>
        <w:rPr>
          <w:rFonts w:hint="eastAsia" w:eastAsia="仿宋_GB2312"/>
          <w:sz w:val="32"/>
          <w:szCs w:val="32"/>
          <w:lang w:val="en-US" w:eastAsia="zh-CN"/>
        </w:rPr>
        <w:t>社会事业</w:t>
      </w:r>
      <w:r>
        <w:rPr>
          <w:rFonts w:hint="eastAsia" w:eastAsia="仿宋_GB2312"/>
          <w:sz w:val="32"/>
          <w:szCs w:val="32"/>
        </w:rPr>
        <w:t>专项债</w:t>
      </w:r>
      <w:r>
        <w:rPr>
          <w:rFonts w:hint="eastAsia" w:eastAsia="仿宋_GB2312"/>
          <w:sz w:val="32"/>
          <w:szCs w:val="32"/>
          <w:highlight w:val="none"/>
          <w:lang w:eastAsia="zh-CN"/>
        </w:rPr>
        <w:t>（</w:t>
      </w:r>
      <w:r>
        <w:rPr>
          <w:rFonts w:hint="eastAsia" w:eastAsia="仿宋_GB2312"/>
          <w:sz w:val="32"/>
          <w:szCs w:val="32"/>
          <w:highlight w:val="none"/>
        </w:rPr>
        <w:t>十一期</w:t>
      </w:r>
      <w:r>
        <w:rPr>
          <w:rFonts w:hint="eastAsia" w:eastAsia="仿宋_GB2312"/>
          <w:sz w:val="32"/>
          <w:szCs w:val="32"/>
          <w:highlight w:val="none"/>
          <w:lang w:eastAsia="zh-CN"/>
        </w:rPr>
        <w:t>）</w:t>
      </w: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年湖南省政府专项债券</w:t>
      </w:r>
      <w:r>
        <w:rPr>
          <w:rFonts w:hint="eastAsia" w:eastAsia="仿宋_GB2312"/>
          <w:sz w:val="32"/>
          <w:szCs w:val="32"/>
          <w:highlight w:val="none"/>
          <w:lang w:eastAsia="zh-CN"/>
        </w:rPr>
        <w:t>（</w:t>
      </w:r>
      <w:r>
        <w:rPr>
          <w:rFonts w:hint="eastAsia" w:eastAsia="仿宋_GB2312"/>
          <w:sz w:val="32"/>
          <w:szCs w:val="32"/>
          <w:highlight w:val="none"/>
          <w:lang w:val="en-US" w:eastAsia="zh-CN"/>
        </w:rPr>
        <w:t>六十四</w:t>
      </w:r>
      <w:r>
        <w:rPr>
          <w:rFonts w:hint="eastAsia" w:eastAsia="仿宋_GB2312"/>
          <w:sz w:val="32"/>
          <w:szCs w:val="32"/>
          <w:highlight w:val="none"/>
        </w:rPr>
        <w:t>期</w:t>
      </w:r>
      <w:r>
        <w:rPr>
          <w:rFonts w:hint="eastAsia" w:eastAsia="仿宋_GB2312"/>
          <w:sz w:val="32"/>
          <w:szCs w:val="32"/>
          <w:highlight w:val="none"/>
          <w:lang w:eastAsia="zh-CN"/>
        </w:rPr>
        <w:t>）</w:t>
      </w:r>
      <w:r>
        <w:rPr>
          <w:rFonts w:eastAsia="仿宋_GB2312"/>
          <w:sz w:val="32"/>
          <w:szCs w:val="32"/>
        </w:rPr>
        <w:t>发行专项债券</w:t>
      </w:r>
      <w:r>
        <w:rPr>
          <w:rFonts w:hint="eastAsia" w:eastAsia="仿宋_GB2312"/>
          <w:sz w:val="32"/>
          <w:szCs w:val="32"/>
          <w:lang w:val="en-US" w:eastAsia="zh-CN"/>
        </w:rPr>
        <w:t>850</w:t>
      </w:r>
      <w:r>
        <w:rPr>
          <w:rFonts w:eastAsia="仿宋_GB2312"/>
          <w:sz w:val="32"/>
          <w:szCs w:val="32"/>
        </w:rPr>
        <w:t>.00万元</w:t>
      </w:r>
      <w:r>
        <w:rPr>
          <w:rFonts w:hint="eastAsia" w:eastAsia="仿宋_GB2312"/>
          <w:sz w:val="32"/>
          <w:szCs w:val="32"/>
        </w:rPr>
        <w:t>。截止到2</w:t>
      </w:r>
      <w:r>
        <w:rPr>
          <w:rFonts w:eastAsia="仿宋_GB2312"/>
          <w:sz w:val="32"/>
          <w:szCs w:val="32"/>
        </w:rPr>
        <w:t>02</w:t>
      </w:r>
      <w:r>
        <w:rPr>
          <w:rFonts w:hint="eastAsia" w:eastAsia="仿宋_GB2312"/>
          <w:sz w:val="32"/>
          <w:szCs w:val="32"/>
          <w:lang w:val="en-US" w:eastAsia="zh-CN"/>
        </w:rPr>
        <w:t>1</w:t>
      </w:r>
      <w:r>
        <w:rPr>
          <w:rFonts w:hint="eastAsia" w:eastAsia="仿宋_GB2312"/>
          <w:sz w:val="32"/>
          <w:szCs w:val="32"/>
        </w:rPr>
        <w:t>年1月3</w:t>
      </w:r>
      <w:r>
        <w:rPr>
          <w:rFonts w:eastAsia="仿宋_GB2312"/>
          <w:sz w:val="32"/>
          <w:szCs w:val="32"/>
        </w:rPr>
        <w:t>1</w:t>
      </w:r>
      <w:r>
        <w:rPr>
          <w:rFonts w:hint="eastAsia" w:eastAsia="仿宋_GB2312"/>
          <w:sz w:val="32"/>
          <w:szCs w:val="32"/>
        </w:rPr>
        <w:t>日，资金已全部到位，</w:t>
      </w:r>
      <w:r>
        <w:rPr>
          <w:rFonts w:eastAsia="仿宋_GB2312"/>
          <w:sz w:val="32"/>
          <w:szCs w:val="32"/>
        </w:rPr>
        <w:t>到位率</w:t>
      </w:r>
      <w:r>
        <w:rPr>
          <w:rFonts w:hint="eastAsia" w:eastAsia="仿宋_GB2312"/>
          <w:sz w:val="32"/>
          <w:szCs w:val="32"/>
        </w:rPr>
        <w:t>100%</w:t>
      </w:r>
      <w:r>
        <w:rPr>
          <w:rFonts w:eastAsia="仿宋_GB2312"/>
          <w:sz w:val="32"/>
          <w:szCs w:val="32"/>
        </w:rPr>
        <w:t>。</w:t>
      </w:r>
    </w:p>
    <w:p>
      <w:pPr>
        <w:spacing w:line="600" w:lineRule="exact"/>
        <w:ind w:firstLine="643" w:firstLineChars="200"/>
        <w:outlineLvl w:val="1"/>
        <w:rPr>
          <w:rFonts w:hint="eastAsia" w:ascii="楷体_GB2312" w:eastAsia="楷体_GB2312"/>
          <w:b/>
          <w:bCs/>
          <w:sz w:val="32"/>
          <w:szCs w:val="32"/>
        </w:rPr>
      </w:pPr>
      <w:r>
        <w:rPr>
          <w:rFonts w:ascii="楷体_GB2312" w:eastAsia="楷体_GB2312"/>
          <w:b/>
          <w:bCs/>
          <w:sz w:val="32"/>
          <w:szCs w:val="32"/>
        </w:rPr>
        <w:t>（二）资金实际使用情况</w:t>
      </w:r>
    </w:p>
    <w:p>
      <w:pPr>
        <w:spacing w:line="600" w:lineRule="exact"/>
        <w:ind w:firstLine="640" w:firstLineChars="200"/>
        <w:rPr>
          <w:rFonts w:eastAsia="仿宋_GB2312"/>
          <w:sz w:val="32"/>
          <w:szCs w:val="32"/>
        </w:rPr>
      </w:pPr>
      <w:r>
        <w:rPr>
          <w:rFonts w:hint="eastAsia" w:eastAsia="仿宋_GB2312"/>
          <w:sz w:val="32"/>
          <w:szCs w:val="32"/>
        </w:rPr>
        <w:t>截止到</w:t>
      </w:r>
      <w:r>
        <w:rPr>
          <w:rFonts w:eastAsia="仿宋_GB2312"/>
          <w:sz w:val="32"/>
          <w:szCs w:val="32"/>
        </w:rPr>
        <w:t>202</w:t>
      </w:r>
      <w:r>
        <w:rPr>
          <w:rFonts w:hint="eastAsia" w:eastAsia="仿宋_GB2312"/>
          <w:sz w:val="32"/>
          <w:szCs w:val="32"/>
          <w:lang w:val="en-US" w:eastAsia="zh-CN"/>
        </w:rPr>
        <w:t>2</w:t>
      </w:r>
      <w:r>
        <w:rPr>
          <w:rFonts w:eastAsia="仿宋_GB2312"/>
          <w:sz w:val="32"/>
          <w:szCs w:val="32"/>
        </w:rPr>
        <w:t>年</w:t>
      </w:r>
      <w:r>
        <w:rPr>
          <w:rFonts w:hint="eastAsia" w:eastAsia="仿宋_GB2312"/>
          <w:sz w:val="32"/>
          <w:szCs w:val="32"/>
          <w:lang w:val="en-US" w:eastAsia="zh-CN"/>
        </w:rPr>
        <w:t>8</w:t>
      </w:r>
      <w:r>
        <w:rPr>
          <w:rFonts w:eastAsia="仿宋_GB2312"/>
          <w:sz w:val="32"/>
          <w:szCs w:val="32"/>
        </w:rPr>
        <w:t>月</w:t>
      </w:r>
      <w:r>
        <w:rPr>
          <w:rFonts w:hint="eastAsia" w:eastAsia="仿宋_GB2312"/>
          <w:sz w:val="32"/>
          <w:szCs w:val="32"/>
        </w:rPr>
        <w:t>3</w:t>
      </w:r>
      <w:r>
        <w:rPr>
          <w:rFonts w:hint="eastAsia" w:eastAsia="仿宋_GB2312"/>
          <w:sz w:val="32"/>
          <w:szCs w:val="32"/>
          <w:lang w:val="en-US" w:eastAsia="zh-CN"/>
        </w:rPr>
        <w:t>1</w:t>
      </w:r>
      <w:r>
        <w:rPr>
          <w:rFonts w:hint="eastAsia" w:eastAsia="仿宋_GB2312"/>
          <w:sz w:val="32"/>
          <w:szCs w:val="32"/>
        </w:rPr>
        <w:t>日</w:t>
      </w:r>
      <w:r>
        <w:rPr>
          <w:rFonts w:eastAsia="仿宋_GB2312"/>
          <w:sz w:val="32"/>
          <w:szCs w:val="32"/>
        </w:rPr>
        <w:t>，资金支出总额为</w:t>
      </w:r>
      <w:r>
        <w:rPr>
          <w:rFonts w:hint="eastAsia" w:eastAsia="仿宋_GB2312"/>
          <w:sz w:val="32"/>
          <w:szCs w:val="32"/>
          <w:lang w:val="en-US" w:eastAsia="zh-CN"/>
        </w:rPr>
        <w:t>850.03</w:t>
      </w:r>
      <w:r>
        <w:rPr>
          <w:rFonts w:eastAsia="仿宋_GB2312"/>
          <w:sz w:val="32"/>
          <w:szCs w:val="32"/>
        </w:rPr>
        <w:t>万元，主要支出内容如下表，资金使用率100%。</w:t>
      </w:r>
    </w:p>
    <w:tbl>
      <w:tblPr>
        <w:tblStyle w:val="10"/>
        <w:tblW w:w="7650" w:type="dxa"/>
        <w:tblInd w:w="113" w:type="dxa"/>
        <w:tblLayout w:type="autofit"/>
        <w:tblCellMar>
          <w:top w:w="0" w:type="dxa"/>
          <w:left w:w="108" w:type="dxa"/>
          <w:bottom w:w="0" w:type="dxa"/>
          <w:right w:w="108" w:type="dxa"/>
        </w:tblCellMar>
      </w:tblPr>
      <w:tblGrid>
        <w:gridCol w:w="988"/>
        <w:gridCol w:w="4677"/>
        <w:gridCol w:w="1985"/>
      </w:tblGrid>
      <w:tr>
        <w:tblPrEx>
          <w:tblCellMar>
            <w:top w:w="0" w:type="dxa"/>
            <w:left w:w="108" w:type="dxa"/>
            <w:bottom w:w="0" w:type="dxa"/>
            <w:right w:w="108" w:type="dxa"/>
          </w:tblCellMar>
        </w:tblPrEx>
        <w:trPr>
          <w:trHeight w:val="340" w:hRule="atLeast"/>
          <w:tblHeader/>
        </w:trPr>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序号</w:t>
            </w:r>
          </w:p>
        </w:tc>
        <w:tc>
          <w:tcPr>
            <w:tcW w:w="4677"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支出内容</w:t>
            </w:r>
          </w:p>
        </w:tc>
        <w:tc>
          <w:tcPr>
            <w:tcW w:w="1985"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金额/万元</w:t>
            </w:r>
          </w:p>
        </w:tc>
      </w:tr>
      <w:tr>
        <w:tblPrEx>
          <w:tblCellMar>
            <w:top w:w="0" w:type="dxa"/>
            <w:left w:w="108" w:type="dxa"/>
            <w:bottom w:w="0" w:type="dxa"/>
            <w:right w:w="108" w:type="dxa"/>
          </w:tblCellMar>
        </w:tblPrEx>
        <w:trPr>
          <w:trHeight w:val="340" w:hRule="atLeast"/>
        </w:trPr>
        <w:tc>
          <w:tcPr>
            <w:tcW w:w="988" w:type="dxa"/>
            <w:tcBorders>
              <w:top w:val="nil"/>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p>
        </w:tc>
        <w:tc>
          <w:tcPr>
            <w:tcW w:w="4677"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项目前期预算、勘察、设计费</w:t>
            </w:r>
          </w:p>
        </w:tc>
        <w:tc>
          <w:tcPr>
            <w:tcW w:w="1985" w:type="dxa"/>
            <w:tcBorders>
              <w:top w:val="nil"/>
              <w:left w:val="nil"/>
              <w:bottom w:val="single" w:color="auto" w:sz="4" w:space="0"/>
              <w:right w:val="single" w:color="auto" w:sz="4" w:space="0"/>
            </w:tcBorders>
            <w:noWrap/>
            <w:vAlign w:val="center"/>
          </w:tcPr>
          <w:p>
            <w:pPr>
              <w:widowControl/>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17.55</w:t>
            </w:r>
          </w:p>
        </w:tc>
      </w:tr>
      <w:tr>
        <w:tblPrEx>
          <w:tblCellMar>
            <w:top w:w="0" w:type="dxa"/>
            <w:left w:w="108" w:type="dxa"/>
            <w:bottom w:w="0" w:type="dxa"/>
            <w:right w:w="108" w:type="dxa"/>
          </w:tblCellMar>
        </w:tblPrEx>
        <w:trPr>
          <w:trHeight w:val="340" w:hRule="atLeast"/>
        </w:trPr>
        <w:tc>
          <w:tcPr>
            <w:tcW w:w="988" w:type="dxa"/>
            <w:tcBorders>
              <w:top w:val="nil"/>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p>
        </w:tc>
        <w:tc>
          <w:tcPr>
            <w:tcW w:w="4677"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项目工程款、监理费等</w:t>
            </w:r>
          </w:p>
        </w:tc>
        <w:tc>
          <w:tcPr>
            <w:tcW w:w="1985" w:type="dxa"/>
            <w:tcBorders>
              <w:top w:val="nil"/>
              <w:left w:val="nil"/>
              <w:bottom w:val="single" w:color="auto" w:sz="4" w:space="0"/>
              <w:right w:val="single" w:color="auto" w:sz="4" w:space="0"/>
            </w:tcBorders>
            <w:noWrap/>
            <w:vAlign w:val="center"/>
          </w:tcPr>
          <w:p>
            <w:pPr>
              <w:widowControl/>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768.20</w:t>
            </w:r>
          </w:p>
        </w:tc>
      </w:tr>
      <w:tr>
        <w:tblPrEx>
          <w:tblCellMar>
            <w:top w:w="0" w:type="dxa"/>
            <w:left w:w="108" w:type="dxa"/>
            <w:bottom w:w="0" w:type="dxa"/>
            <w:right w:w="108" w:type="dxa"/>
          </w:tblCellMar>
        </w:tblPrEx>
        <w:trPr>
          <w:trHeight w:val="340" w:hRule="atLeast"/>
        </w:trPr>
        <w:tc>
          <w:tcPr>
            <w:tcW w:w="988" w:type="dxa"/>
            <w:tcBorders>
              <w:top w:val="nil"/>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p>
        </w:tc>
        <w:tc>
          <w:tcPr>
            <w:tcW w:w="4677"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修建附属设施</w:t>
            </w:r>
          </w:p>
        </w:tc>
        <w:tc>
          <w:tcPr>
            <w:tcW w:w="1985" w:type="dxa"/>
            <w:tcBorders>
              <w:top w:val="nil"/>
              <w:left w:val="nil"/>
              <w:bottom w:val="single" w:color="auto" w:sz="4" w:space="0"/>
              <w:right w:val="single" w:color="auto" w:sz="4" w:space="0"/>
            </w:tcBorders>
            <w:noWrap/>
            <w:vAlign w:val="center"/>
          </w:tcPr>
          <w:p>
            <w:pPr>
              <w:widowControl/>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10.28</w:t>
            </w:r>
          </w:p>
        </w:tc>
      </w:tr>
      <w:tr>
        <w:tblPrEx>
          <w:tblCellMar>
            <w:top w:w="0" w:type="dxa"/>
            <w:left w:w="108" w:type="dxa"/>
            <w:bottom w:w="0" w:type="dxa"/>
            <w:right w:w="108" w:type="dxa"/>
          </w:tblCellMar>
        </w:tblPrEx>
        <w:trPr>
          <w:trHeight w:val="340" w:hRule="atLeast"/>
        </w:trPr>
        <w:tc>
          <w:tcPr>
            <w:tcW w:w="988" w:type="dxa"/>
            <w:tcBorders>
              <w:top w:val="nil"/>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p>
        </w:tc>
        <w:tc>
          <w:tcPr>
            <w:tcW w:w="4677" w:type="dxa"/>
            <w:tcBorders>
              <w:top w:val="nil"/>
              <w:left w:val="nil"/>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购置相关设施设备</w:t>
            </w:r>
          </w:p>
        </w:tc>
        <w:tc>
          <w:tcPr>
            <w:tcW w:w="1985" w:type="dxa"/>
            <w:tcBorders>
              <w:top w:val="nil"/>
              <w:left w:val="nil"/>
              <w:bottom w:val="single" w:color="auto" w:sz="4" w:space="0"/>
              <w:right w:val="single" w:color="auto" w:sz="4" w:space="0"/>
            </w:tcBorders>
            <w:noWrap/>
            <w:vAlign w:val="center"/>
          </w:tcPr>
          <w:p>
            <w:pPr>
              <w:widowControl/>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54.00</w:t>
            </w:r>
          </w:p>
        </w:tc>
      </w:tr>
      <w:tr>
        <w:tblPrEx>
          <w:tblCellMar>
            <w:top w:w="0" w:type="dxa"/>
            <w:left w:w="108" w:type="dxa"/>
            <w:bottom w:w="0" w:type="dxa"/>
            <w:right w:w="108" w:type="dxa"/>
          </w:tblCellMar>
        </w:tblPrEx>
        <w:trPr>
          <w:trHeight w:val="340" w:hRule="atLeast"/>
        </w:trPr>
        <w:tc>
          <w:tcPr>
            <w:tcW w:w="5665"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合计</w:t>
            </w:r>
          </w:p>
        </w:tc>
        <w:tc>
          <w:tcPr>
            <w:tcW w:w="1985" w:type="dxa"/>
            <w:tcBorders>
              <w:top w:val="nil"/>
              <w:left w:val="nil"/>
              <w:bottom w:val="single" w:color="auto" w:sz="4" w:space="0"/>
              <w:right w:val="single" w:color="auto" w:sz="4" w:space="0"/>
            </w:tcBorders>
            <w:noWrap/>
            <w:vAlign w:val="center"/>
          </w:tcPr>
          <w:p>
            <w:pPr>
              <w:widowControl/>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850.03</w:t>
            </w:r>
          </w:p>
        </w:tc>
      </w:tr>
    </w:tbl>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（三）资金管理情况分析</w:t>
      </w:r>
    </w:p>
    <w:p>
      <w:pPr>
        <w:spacing w:line="600" w:lineRule="exact"/>
        <w:ind w:firstLine="640" w:firstLineChars="200"/>
        <w:rPr>
          <w:rFonts w:eastAsia="仿宋_GB2312"/>
          <w:sz w:val="32"/>
          <w:szCs w:val="32"/>
        </w:rPr>
      </w:pPr>
      <w:r>
        <w:rPr>
          <w:rFonts w:eastAsia="仿宋_GB2312"/>
          <w:color w:val="000000"/>
          <w:sz w:val="32"/>
          <w:szCs w:val="32"/>
        </w:rPr>
        <w:t>为规范政府债务项目管理，提高政府债券资金使用效益，提升政府债务管理水平</w:t>
      </w:r>
      <w:r>
        <w:rPr>
          <w:rFonts w:eastAsia="仿宋_GB2312"/>
          <w:sz w:val="32"/>
          <w:szCs w:val="32"/>
        </w:rPr>
        <w:t>，</w:t>
      </w:r>
      <w:r>
        <w:rPr>
          <w:rFonts w:hint="eastAsia" w:eastAsia="仿宋_GB2312"/>
          <w:sz w:val="32"/>
          <w:szCs w:val="32"/>
        </w:rPr>
        <w:t>单位</w:t>
      </w:r>
      <w:r>
        <w:rPr>
          <w:rFonts w:eastAsia="仿宋_GB2312"/>
          <w:sz w:val="32"/>
          <w:szCs w:val="32"/>
        </w:rPr>
        <w:t>制定了</w:t>
      </w:r>
      <w:r>
        <w:rPr>
          <w:rFonts w:hint="eastAsia" w:eastAsia="仿宋_GB2312"/>
          <w:color w:val="000000"/>
          <w:sz w:val="32"/>
          <w:szCs w:val="32"/>
        </w:rPr>
        <w:t>《邵阳市大祥区蔡锷故居管理局专项债券资金管理办法》，并严格按照</w:t>
      </w:r>
      <w:r>
        <w:rPr>
          <w:rFonts w:eastAsia="仿宋_GB2312"/>
          <w:sz w:val="32"/>
          <w:szCs w:val="32"/>
        </w:rPr>
        <w:t>《地方政府专项债务预算管理办法》</w:t>
      </w:r>
      <w:r>
        <w:rPr>
          <w:rFonts w:hint="eastAsia" w:eastAsia="仿宋_GB2312"/>
          <w:sz w:val="32"/>
          <w:szCs w:val="32"/>
        </w:rPr>
        <w:t>文件等的规定</w:t>
      </w:r>
      <w:r>
        <w:rPr>
          <w:rFonts w:eastAsia="仿宋_GB2312"/>
          <w:color w:val="000000"/>
          <w:sz w:val="32"/>
          <w:szCs w:val="32"/>
        </w:rPr>
        <w:t>，</w:t>
      </w:r>
      <w:r>
        <w:rPr>
          <w:rFonts w:hint="eastAsia" w:eastAsia="仿宋_GB2312"/>
          <w:color w:val="000000"/>
          <w:sz w:val="32"/>
          <w:szCs w:val="32"/>
        </w:rPr>
        <w:t>根据全面预算管理要求，组织各项生产经营活动和投融资活动，严格预算执行和控制，确保资金的拨付均有完整的审批程序和手续。</w:t>
      </w:r>
    </w:p>
    <w:p>
      <w:pPr>
        <w:spacing w:line="600" w:lineRule="exact"/>
        <w:ind w:firstLine="640" w:firstLineChars="200"/>
        <w:rPr>
          <w:rFonts w:eastAsia="仿宋_GB2312"/>
          <w:sz w:val="32"/>
          <w:szCs w:val="32"/>
        </w:rPr>
      </w:pPr>
      <w:r>
        <w:rPr>
          <w:rFonts w:eastAsia="仿宋_GB2312"/>
          <w:sz w:val="32"/>
          <w:szCs w:val="32"/>
        </w:rPr>
        <w:t>在项目实施过程中，</w:t>
      </w:r>
      <w:r>
        <w:rPr>
          <w:rFonts w:eastAsia="仿宋_GB2312"/>
          <w:b/>
          <w:bCs/>
          <w:sz w:val="32"/>
          <w:szCs w:val="32"/>
        </w:rPr>
        <w:t>一是</w:t>
      </w:r>
      <w:r>
        <w:rPr>
          <w:rFonts w:eastAsia="仿宋_GB2312"/>
          <w:sz w:val="32"/>
          <w:szCs w:val="32"/>
        </w:rPr>
        <w:t>严格按《湖南省政府专项债券管理暂行办法》和相关制度要求进行专项债券资金的管理、风险防范与应对，项目资金支出均依据规定要求执行相关的审批程序</w:t>
      </w:r>
      <w:r>
        <w:rPr>
          <w:rFonts w:hint="eastAsia" w:eastAsia="仿宋_GB2312"/>
          <w:sz w:val="32"/>
          <w:szCs w:val="32"/>
        </w:rPr>
        <w:t>；</w:t>
      </w:r>
      <w:r>
        <w:rPr>
          <w:rFonts w:eastAsia="仿宋_GB2312"/>
          <w:b/>
          <w:bCs/>
          <w:sz w:val="32"/>
          <w:szCs w:val="32"/>
        </w:rPr>
        <w:t>二是</w:t>
      </w:r>
      <w:r>
        <w:rPr>
          <w:rFonts w:eastAsia="仿宋_GB2312"/>
          <w:sz w:val="32"/>
          <w:szCs w:val="32"/>
        </w:rPr>
        <w:t>资金使用符合项目融资平衡方案和立项批复文件中列明的建设范围和用途，不存在截留、挤占、挪用、虚列支出等情况。</w:t>
      </w:r>
    </w:p>
    <w:p>
      <w:pPr>
        <w:spacing w:line="600" w:lineRule="exact"/>
        <w:ind w:firstLine="640" w:firstLineChars="200"/>
        <w:outlineLvl w:val="0"/>
        <w:rPr>
          <w:rFonts w:eastAsia="黑体"/>
          <w:sz w:val="32"/>
          <w:szCs w:val="32"/>
        </w:rPr>
      </w:pPr>
      <w:r>
        <w:rPr>
          <w:rFonts w:eastAsia="黑体"/>
          <w:sz w:val="32"/>
          <w:szCs w:val="32"/>
        </w:rPr>
        <w:t>三、项目管理情况</w:t>
      </w:r>
    </w:p>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（一）项目制度建设情况</w:t>
      </w:r>
    </w:p>
    <w:p>
      <w:pPr>
        <w:spacing w:line="600" w:lineRule="exact"/>
        <w:ind w:firstLine="640" w:firstLineChars="200"/>
        <w:rPr>
          <w:rFonts w:eastAsia="仿宋_GB2312"/>
          <w:sz w:val="32"/>
          <w:szCs w:val="32"/>
        </w:rPr>
      </w:pPr>
      <w:r>
        <w:rPr>
          <w:rFonts w:eastAsia="仿宋_GB2312"/>
          <w:sz w:val="32"/>
          <w:szCs w:val="32"/>
        </w:rPr>
        <w:t>为加强工程建设的监督管理，规范建设程序，明确工程管理过程中各部门的相关职责，</w:t>
      </w:r>
      <w:r>
        <w:rPr>
          <w:rFonts w:hint="eastAsia" w:eastAsia="仿宋_GB2312"/>
          <w:sz w:val="32"/>
          <w:szCs w:val="32"/>
        </w:rPr>
        <w:t>本项目严格执行邵阳市大祥区蔡锷故居管理局</w:t>
      </w:r>
      <w:r>
        <w:rPr>
          <w:rFonts w:hint="eastAsia" w:eastAsia="仿宋_GB2312"/>
          <w:sz w:val="32"/>
          <w:szCs w:val="32"/>
          <w:lang w:val="en-US" w:eastAsia="zh-CN"/>
        </w:rPr>
        <w:t>制度</w:t>
      </w:r>
      <w:r>
        <w:rPr>
          <w:rFonts w:hint="eastAsia" w:eastAsia="仿宋_GB2312"/>
          <w:sz w:val="32"/>
          <w:szCs w:val="32"/>
        </w:rPr>
        <w:t>的《工程项目管理办法》的相关要求，规范项目招投标管理</w:t>
      </w:r>
      <w:r>
        <w:rPr>
          <w:rFonts w:hint="eastAsia" w:eastAsia="仿宋_GB2312"/>
          <w:sz w:val="32"/>
          <w:szCs w:val="32"/>
          <w:lang w:eastAsia="zh-CN"/>
        </w:rPr>
        <w:t>、</w:t>
      </w:r>
      <w:r>
        <w:rPr>
          <w:rFonts w:hint="eastAsia" w:eastAsia="仿宋_GB2312"/>
          <w:sz w:val="32"/>
          <w:szCs w:val="32"/>
        </w:rPr>
        <w:t>施工管理</w:t>
      </w:r>
      <w:r>
        <w:rPr>
          <w:rFonts w:hint="eastAsia" w:eastAsia="仿宋_GB2312"/>
          <w:sz w:val="32"/>
          <w:szCs w:val="32"/>
          <w:lang w:eastAsia="zh-CN"/>
        </w:rPr>
        <w:t>、</w:t>
      </w:r>
      <w:r>
        <w:rPr>
          <w:rFonts w:hint="eastAsia" w:eastAsia="仿宋_GB2312"/>
          <w:sz w:val="32"/>
          <w:szCs w:val="32"/>
        </w:rPr>
        <w:t>施工管理内容</w:t>
      </w:r>
      <w:r>
        <w:rPr>
          <w:rFonts w:hint="eastAsia" w:eastAsia="仿宋_GB2312"/>
          <w:sz w:val="32"/>
          <w:szCs w:val="32"/>
          <w:lang w:eastAsia="zh-CN"/>
        </w:rPr>
        <w:t>、</w:t>
      </w:r>
      <w:r>
        <w:rPr>
          <w:rFonts w:hint="eastAsia" w:eastAsia="仿宋_GB2312"/>
          <w:sz w:val="32"/>
          <w:szCs w:val="32"/>
        </w:rPr>
        <w:t>资金与核算管理</w:t>
      </w:r>
      <w:r>
        <w:rPr>
          <w:rFonts w:hint="eastAsia" w:eastAsia="仿宋_GB2312"/>
          <w:sz w:val="32"/>
          <w:szCs w:val="32"/>
          <w:lang w:eastAsia="zh-CN"/>
        </w:rPr>
        <w:t>、</w:t>
      </w:r>
      <w:r>
        <w:rPr>
          <w:rFonts w:hint="eastAsia" w:eastAsia="仿宋_GB2312"/>
          <w:sz w:val="32"/>
          <w:szCs w:val="32"/>
        </w:rPr>
        <w:t>竣工验收管理和审计等。</w:t>
      </w:r>
    </w:p>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（二）项目组织实施情况</w:t>
      </w:r>
    </w:p>
    <w:p>
      <w:pPr>
        <w:spacing w:line="600" w:lineRule="exact"/>
        <w:ind w:firstLine="643"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sz w:val="32"/>
          <w:szCs w:val="32"/>
        </w:rPr>
        <w:t>1.</w:t>
      </w:r>
      <w:r>
        <w:rPr>
          <w:rFonts w:hint="default" w:ascii="Times New Roman" w:hAnsi="Times New Roman" w:eastAsia="仿宋_GB2312" w:cs="Times New Roman"/>
          <w:b/>
          <w:sz w:val="32"/>
          <w:szCs w:val="32"/>
          <w:lang w:val="en-US" w:eastAsia="zh-CN"/>
        </w:rPr>
        <w:t>项目预算、</w:t>
      </w:r>
      <w:r>
        <w:rPr>
          <w:rFonts w:hint="default" w:ascii="Times New Roman" w:hAnsi="Times New Roman" w:eastAsia="仿宋_GB2312" w:cs="Times New Roman"/>
          <w:b/>
          <w:sz w:val="32"/>
          <w:szCs w:val="32"/>
        </w:rPr>
        <w:t>招投标与采购方面，</w:t>
      </w:r>
      <w:r>
        <w:rPr>
          <w:rFonts w:hint="default" w:ascii="Times New Roman" w:hAnsi="Times New Roman" w:eastAsia="仿宋_GB2312" w:cs="Times New Roman"/>
          <w:b w:val="0"/>
          <w:bCs/>
          <w:sz w:val="32"/>
          <w:szCs w:val="32"/>
          <w:lang w:val="en-US" w:eastAsia="zh-CN"/>
        </w:rPr>
        <w:t>蔡锷</w:t>
      </w:r>
      <w:r>
        <w:rPr>
          <w:rFonts w:hint="default" w:ascii="Times New Roman" w:hAnsi="Times New Roman" w:eastAsia="仿宋_GB2312" w:cs="Times New Roman"/>
          <w:sz w:val="32"/>
          <w:szCs w:val="32"/>
          <w:lang w:val="en-US" w:eastAsia="zh-CN"/>
        </w:rPr>
        <w:t>故居铺装文化广场方面</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val="en-US" w:eastAsia="zh-CN"/>
        </w:rPr>
        <w:t>财政部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财政投资评审管理规定</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kern w:val="0"/>
          <w:sz w:val="32"/>
          <w:szCs w:val="32"/>
          <w:lang w:val="en-US" w:eastAsia="zh-CN"/>
        </w:rPr>
        <w:t>财建〔2009〕第648号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和《大祥区政府投资建设项目管理实施细则（试行）》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kern w:val="0"/>
          <w:sz w:val="32"/>
          <w:szCs w:val="32"/>
          <w:lang w:val="en-US" w:eastAsia="zh-CN"/>
        </w:rPr>
        <w:t>大政办发〔2017〕15号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的要求对蔡锷故居铺装文化广场工程进行预算评审，送审工程预算价：2305140.03元；审核后工程招标控制价：2116699.47元。</w:t>
      </w:r>
      <w:r>
        <w:rPr>
          <w:rFonts w:hint="default" w:ascii="Times New Roman" w:hAnsi="Times New Roman" w:eastAsia="仿宋_GB2312" w:cs="Times New Roman"/>
          <w:kern w:val="2"/>
          <w:sz w:val="32"/>
          <w:szCs w:val="32"/>
          <w:lang w:val="en-US" w:eastAsia="zh-CN" w:bidi="ar-SA"/>
        </w:rPr>
        <w:t>2021年4月邵阳优胜工程建设有限公司经</w:t>
      </w:r>
      <w:r>
        <w:rPr>
          <w:rFonts w:hint="eastAsia" w:ascii="Times New Roman" w:hAnsi="Times New Roman" w:eastAsia="仿宋_GB2312" w:cs="Times New Roman"/>
          <w:kern w:val="2"/>
          <w:sz w:val="32"/>
          <w:szCs w:val="32"/>
          <w:lang w:val="en-US" w:eastAsia="zh-CN" w:bidi="ar-SA"/>
        </w:rPr>
        <w:t>竞争性谈判以及</w:t>
      </w:r>
      <w:r>
        <w:rPr>
          <w:rFonts w:hint="default" w:ascii="Times New Roman" w:hAnsi="Times New Roman" w:eastAsia="仿宋_GB2312" w:cs="Times New Roman"/>
          <w:kern w:val="2"/>
          <w:sz w:val="32"/>
          <w:szCs w:val="32"/>
          <w:lang w:val="en-US" w:eastAsia="zh-CN" w:bidi="ar-SA"/>
        </w:rPr>
        <w:t>评审委员会评定为项目中标人，中标价：2106797.48元，并签订合同协议书</w:t>
      </w:r>
      <w:r>
        <w:rPr>
          <w:rFonts w:hint="eastAsia" w:ascii="Times New Roman" w:hAnsi="Times New Roman" w:eastAsia="仿宋_GB2312" w:cs="Times New Roman"/>
          <w:kern w:val="2"/>
          <w:sz w:val="32"/>
          <w:szCs w:val="32"/>
          <w:lang w:val="en-US" w:eastAsia="zh-CN" w:bidi="ar-SA"/>
        </w:rPr>
        <w:t>，工程内容包括</w:t>
      </w:r>
      <w:r>
        <w:rPr>
          <w:rFonts w:hint="default" w:ascii="Times New Roman" w:hAnsi="Times New Roman" w:eastAsia="仿宋_GB2312" w:cs="Times New Roman"/>
          <w:b w:val="0"/>
          <w:bCs/>
          <w:sz w:val="32"/>
          <w:szCs w:val="32"/>
          <w:lang w:val="en-US" w:eastAsia="zh-CN"/>
        </w:rPr>
        <w:t>蔡锷</w:t>
      </w:r>
      <w:r>
        <w:rPr>
          <w:rFonts w:hint="default" w:ascii="Times New Roman" w:hAnsi="Times New Roman" w:eastAsia="仿宋_GB2312" w:cs="Times New Roman"/>
          <w:sz w:val="32"/>
          <w:szCs w:val="32"/>
          <w:lang w:val="en-US" w:eastAsia="zh-CN"/>
        </w:rPr>
        <w:t>故居铺装文化广场</w:t>
      </w:r>
      <w:r>
        <w:rPr>
          <w:rFonts w:hint="eastAsia" w:ascii="Times New Roman" w:hAnsi="Times New Roman" w:eastAsia="仿宋_GB2312" w:cs="Times New Roman"/>
          <w:sz w:val="32"/>
          <w:szCs w:val="32"/>
          <w:lang w:val="en-US" w:eastAsia="zh-CN"/>
        </w:rPr>
        <w:t>；铜像底座；铜像广场；景观绿化工程等方面，项目总工期90天</w:t>
      </w:r>
      <w:r>
        <w:rPr>
          <w:rFonts w:hint="eastAsia" w:ascii="Times New Roman" w:hAnsi="Times New Roman" w:eastAsia="仿宋_GB2312" w:cs="Times New Roman"/>
          <w:b w:val="0"/>
          <w:bCs w:val="0"/>
          <w:sz w:val="32"/>
          <w:szCs w:val="32"/>
          <w:lang w:val="en-US" w:eastAsia="zh-CN"/>
        </w:rPr>
        <w:t>。</w:t>
      </w:r>
    </w:p>
    <w:p>
      <w:pPr>
        <w:spacing w:line="600" w:lineRule="exact"/>
        <w:ind w:firstLine="643" w:firstLineChars="200"/>
        <w:rPr>
          <w:rFonts w:eastAsia="仿宋_GB2312"/>
          <w:sz w:val="32"/>
          <w:szCs w:val="32"/>
        </w:rPr>
      </w:pPr>
      <w:r>
        <w:rPr>
          <w:rFonts w:hint="eastAsia" w:eastAsia="仿宋_GB2312"/>
          <w:b/>
          <w:sz w:val="32"/>
          <w:szCs w:val="32"/>
          <w:lang w:val="en-US" w:eastAsia="zh-CN"/>
        </w:rPr>
        <w:t>2</w:t>
      </w:r>
      <w:r>
        <w:rPr>
          <w:rFonts w:eastAsia="仿宋_GB2312"/>
          <w:b/>
          <w:sz w:val="32"/>
          <w:szCs w:val="32"/>
        </w:rPr>
        <w:t>.质量控制方面，</w:t>
      </w:r>
      <w:r>
        <w:rPr>
          <w:rFonts w:hint="eastAsia" w:eastAsia="仿宋_GB2312"/>
          <w:bCs/>
          <w:sz w:val="32"/>
          <w:szCs w:val="32"/>
        </w:rPr>
        <w:t>本项目</w:t>
      </w:r>
      <w:r>
        <w:rPr>
          <w:rFonts w:hint="eastAsia" w:eastAsia="仿宋_GB2312"/>
          <w:sz w:val="32"/>
          <w:szCs w:val="32"/>
        </w:rPr>
        <w:t>严格按照</w:t>
      </w:r>
      <w:r>
        <w:rPr>
          <w:rFonts w:eastAsia="仿宋_GB2312"/>
          <w:sz w:val="32"/>
          <w:szCs w:val="32"/>
        </w:rPr>
        <w:t>国家有关质量、安全技术规范及规程执行项目全过程</w:t>
      </w:r>
      <w:r>
        <w:rPr>
          <w:rFonts w:hint="eastAsia" w:eastAsia="仿宋_GB2312"/>
          <w:sz w:val="32"/>
          <w:szCs w:val="32"/>
        </w:rPr>
        <w:t>的质量控制</w:t>
      </w:r>
      <w:r>
        <w:rPr>
          <w:rFonts w:eastAsia="仿宋_GB2312"/>
          <w:sz w:val="32"/>
          <w:szCs w:val="32"/>
        </w:rPr>
        <w:t>管理，</w:t>
      </w:r>
      <w:r>
        <w:rPr>
          <w:rFonts w:hint="eastAsia" w:eastAsia="仿宋_GB2312"/>
          <w:sz w:val="32"/>
          <w:szCs w:val="32"/>
        </w:rPr>
        <w:t>委托有资质的专业监理公司对项目建设进行全方位、全过程的监理，负责审查工程</w:t>
      </w:r>
      <w:r>
        <w:rPr>
          <w:rFonts w:hint="eastAsia" w:ascii="仿宋_GB2312" w:hAnsi="宋体" w:eastAsia="仿宋_GB2312"/>
          <w:sz w:val="32"/>
          <w:szCs w:val="32"/>
        </w:rPr>
        <w:t>质量安全技术措施、专项施工方案与工程建设强制性标准的符合性；检查工程质量、施工进度及项目竣工验收等</w:t>
      </w:r>
      <w:r>
        <w:rPr>
          <w:rFonts w:eastAsia="仿宋_GB2312"/>
          <w:sz w:val="32"/>
          <w:szCs w:val="32"/>
        </w:rPr>
        <w:t>。</w:t>
      </w:r>
    </w:p>
    <w:p>
      <w:pPr>
        <w:spacing w:line="600" w:lineRule="exact"/>
        <w:ind w:firstLine="643" w:firstLineChars="200"/>
        <w:rPr>
          <w:rFonts w:hint="eastAsia" w:ascii="仿宋_GB2312" w:eastAsia="仿宋_GB2312"/>
          <w:color w:val="FF0000"/>
          <w:sz w:val="32"/>
          <w:szCs w:val="32"/>
        </w:rPr>
      </w:pPr>
      <w:r>
        <w:rPr>
          <w:rFonts w:hint="eastAsia" w:eastAsia="仿宋_GB2312"/>
          <w:b/>
          <w:sz w:val="32"/>
          <w:szCs w:val="32"/>
          <w:lang w:val="en-US" w:eastAsia="zh-CN"/>
        </w:rPr>
        <w:t>3</w:t>
      </w:r>
      <w:r>
        <w:rPr>
          <w:rFonts w:eastAsia="仿宋_GB2312"/>
          <w:b/>
          <w:sz w:val="32"/>
          <w:szCs w:val="32"/>
        </w:rPr>
        <w:t>.工程验收方面，</w:t>
      </w:r>
      <w:r>
        <w:rPr>
          <w:rFonts w:hint="eastAsia" w:eastAsia="仿宋_GB2312"/>
          <w:sz w:val="32"/>
          <w:szCs w:val="32"/>
        </w:rPr>
        <w:t>严格规范验收管理，要求</w:t>
      </w:r>
      <w:r>
        <w:rPr>
          <w:rFonts w:hint="eastAsia" w:ascii="仿宋_GB2312" w:eastAsia="仿宋_GB2312"/>
          <w:sz w:val="32"/>
          <w:szCs w:val="32"/>
        </w:rPr>
        <w:t>验收</w:t>
      </w:r>
      <w:r>
        <w:rPr>
          <w:rFonts w:hint="eastAsia" w:eastAsia="仿宋_GB2312"/>
          <w:sz w:val="32"/>
          <w:szCs w:val="32"/>
        </w:rPr>
        <w:t>工程项目按照批复的施工图设计所规定的内容完成建设，符合验收标准的及时组织验收，并办理移交手续。</w:t>
      </w:r>
      <w:r>
        <w:rPr>
          <w:rFonts w:hint="eastAsia" w:ascii="仿宋_GB2312" w:eastAsia="仿宋_GB2312"/>
          <w:sz w:val="32"/>
          <w:szCs w:val="32"/>
        </w:rPr>
        <w:t>工程项目验收由施工单位提出竣工验收申请，经监理人签字同意后，由发包人组织相关部门进行竣工验收。</w:t>
      </w:r>
    </w:p>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（三）项目运营情况</w:t>
      </w:r>
    </w:p>
    <w:p>
      <w:pPr>
        <w:pStyle w:val="5"/>
        <w:ind w:firstLine="640" w:firstLineChars="200"/>
        <w:rPr>
          <w:rFonts w:eastAsia="仿宋_GB2312"/>
          <w:sz w:val="32"/>
          <w:szCs w:val="32"/>
        </w:rPr>
      </w:pPr>
      <w:r>
        <w:rPr>
          <w:rFonts w:hint="eastAsia" w:eastAsia="仿宋_GB2312"/>
          <w:sz w:val="32"/>
          <w:szCs w:val="32"/>
        </w:rPr>
        <w:t>根据项目实施进度计划安排，202</w:t>
      </w:r>
      <w:r>
        <w:rPr>
          <w:rFonts w:hint="eastAsia" w:eastAsia="仿宋_GB2312"/>
          <w:sz w:val="32"/>
          <w:szCs w:val="32"/>
          <w:lang w:val="en-US" w:eastAsia="zh-CN"/>
        </w:rPr>
        <w:t>0</w:t>
      </w:r>
      <w:r>
        <w:rPr>
          <w:rFonts w:hint="eastAsia" w:eastAsia="仿宋_GB2312"/>
          <w:sz w:val="32"/>
          <w:szCs w:val="32"/>
        </w:rPr>
        <w:t>年10月已完成了前期准备、招投标、设计、部分基础施工等工作任务。因本项目尚处于建设阶段，暂未实现经营收入。根据《预期收益与融资平衡方案》测算项目预期可实现</w:t>
      </w:r>
      <w:r>
        <w:rPr>
          <w:rFonts w:hint="eastAsia" w:eastAsia="仿宋_GB2312"/>
          <w:sz w:val="32"/>
          <w:szCs w:val="32"/>
          <w:lang w:val="en-US" w:eastAsia="zh-CN"/>
        </w:rPr>
        <w:t>门票收入、停车场收入和研学收入</w:t>
      </w:r>
      <w:r>
        <w:rPr>
          <w:rFonts w:hint="eastAsia" w:eastAsia="仿宋_GB2312"/>
          <w:sz w:val="32"/>
          <w:szCs w:val="32"/>
        </w:rPr>
        <w:t>等各项</w:t>
      </w:r>
      <w:r>
        <w:rPr>
          <w:rFonts w:eastAsia="仿宋_GB2312"/>
          <w:sz w:val="32"/>
          <w:szCs w:val="32"/>
        </w:rPr>
        <w:t>收</w:t>
      </w:r>
      <w:r>
        <w:rPr>
          <w:rFonts w:hint="eastAsia" w:eastAsia="仿宋_GB2312"/>
          <w:sz w:val="32"/>
          <w:szCs w:val="32"/>
        </w:rPr>
        <w:t>入年均</w:t>
      </w:r>
      <w:r>
        <w:rPr>
          <w:rFonts w:eastAsia="仿宋_GB2312"/>
          <w:sz w:val="32"/>
          <w:szCs w:val="32"/>
        </w:rPr>
        <w:t>约</w:t>
      </w:r>
      <w:r>
        <w:rPr>
          <w:rFonts w:hint="eastAsia" w:eastAsia="仿宋_GB2312"/>
          <w:sz w:val="32"/>
          <w:szCs w:val="32"/>
          <w:lang w:val="en-US" w:eastAsia="zh-CN"/>
        </w:rPr>
        <w:t>630.25</w:t>
      </w:r>
      <w:r>
        <w:rPr>
          <w:rFonts w:eastAsia="仿宋_GB2312"/>
          <w:sz w:val="32"/>
          <w:szCs w:val="32"/>
        </w:rPr>
        <w:t>万元</w:t>
      </w:r>
      <w:r>
        <w:rPr>
          <w:rFonts w:hint="eastAsia" w:eastAsia="仿宋_GB2312"/>
          <w:sz w:val="32"/>
          <w:szCs w:val="32"/>
        </w:rPr>
        <w:t>。</w:t>
      </w:r>
    </w:p>
    <w:p>
      <w:pPr>
        <w:spacing w:line="600" w:lineRule="exact"/>
        <w:ind w:firstLine="640" w:firstLineChars="200"/>
        <w:outlineLvl w:val="0"/>
        <w:rPr>
          <w:rFonts w:eastAsia="黑体"/>
          <w:sz w:val="32"/>
          <w:szCs w:val="32"/>
        </w:rPr>
      </w:pPr>
      <w:r>
        <w:rPr>
          <w:rFonts w:eastAsia="黑体"/>
          <w:sz w:val="32"/>
          <w:szCs w:val="32"/>
        </w:rPr>
        <w:t>四、债务信息报送与公开情况</w:t>
      </w:r>
    </w:p>
    <w:p>
      <w:pPr>
        <w:spacing w:line="600" w:lineRule="exact"/>
        <w:ind w:firstLine="640" w:firstLineChars="200"/>
        <w:rPr>
          <w:rFonts w:eastAsia="仿宋_GB2312"/>
          <w:sz w:val="32"/>
          <w:szCs w:val="32"/>
        </w:rPr>
      </w:pPr>
      <w:r>
        <w:rPr>
          <w:rFonts w:eastAsia="仿宋_GB2312"/>
          <w:sz w:val="32"/>
          <w:szCs w:val="32"/>
        </w:rPr>
        <w:t>该项目所产生的</w:t>
      </w:r>
      <w:r>
        <w:rPr>
          <w:rFonts w:hint="eastAsia" w:eastAsia="仿宋_GB2312"/>
          <w:sz w:val="32"/>
          <w:szCs w:val="32"/>
          <w:lang w:val="en-US" w:eastAsia="zh-CN"/>
        </w:rPr>
        <w:t>850.00</w:t>
      </w:r>
      <w:r>
        <w:rPr>
          <w:rFonts w:eastAsia="仿宋_GB2312"/>
          <w:sz w:val="32"/>
          <w:szCs w:val="32"/>
        </w:rPr>
        <w:t>万元专项债券相关资料，已按相关部门要求及时报送与公开，主动接受社会监督。</w:t>
      </w:r>
    </w:p>
    <w:p>
      <w:pPr>
        <w:spacing w:line="600" w:lineRule="exact"/>
        <w:ind w:firstLine="640" w:firstLineChars="200"/>
        <w:outlineLvl w:val="0"/>
        <w:rPr>
          <w:rFonts w:eastAsia="黑体"/>
          <w:sz w:val="32"/>
          <w:szCs w:val="32"/>
        </w:rPr>
      </w:pPr>
      <w:r>
        <w:rPr>
          <w:rFonts w:eastAsia="黑体"/>
          <w:sz w:val="32"/>
          <w:szCs w:val="32"/>
        </w:rPr>
        <w:t>五、债务风险控制与还本付息情况</w:t>
      </w:r>
    </w:p>
    <w:p>
      <w:pPr>
        <w:spacing w:line="600" w:lineRule="exact"/>
        <w:ind w:firstLine="640" w:firstLineChars="200"/>
        <w:rPr>
          <w:rFonts w:eastAsia="仿宋_GB2312"/>
          <w:sz w:val="32"/>
          <w:szCs w:val="32"/>
        </w:rPr>
      </w:pPr>
      <w:r>
        <w:rPr>
          <w:rFonts w:eastAsia="仿宋_GB2312"/>
          <w:sz w:val="32"/>
          <w:szCs w:val="32"/>
        </w:rPr>
        <w:t>为了强化债务风险意识，</w:t>
      </w:r>
      <w:r>
        <w:rPr>
          <w:rFonts w:hint="eastAsia" w:eastAsia="仿宋_GB2312"/>
          <w:sz w:val="32"/>
          <w:szCs w:val="32"/>
        </w:rPr>
        <w:t>本项目严格按照</w:t>
      </w:r>
      <w:r>
        <w:rPr>
          <w:rFonts w:eastAsia="仿宋_GB2312"/>
          <w:sz w:val="32"/>
          <w:szCs w:val="32"/>
        </w:rPr>
        <w:t>《中共湖南省委 湖南省人民政府关于严控政府性债务增长切实防范债务风险的若干意见》</w:t>
      </w:r>
      <w:r>
        <w:rPr>
          <w:rFonts w:hint="eastAsia" w:eastAsia="仿宋_GB2312"/>
          <w:sz w:val="32"/>
          <w:szCs w:val="32"/>
        </w:rPr>
        <w:t>等文件精神，加强债务风险动态监测，注重</w:t>
      </w:r>
      <w:r>
        <w:rPr>
          <w:rFonts w:eastAsia="仿宋_GB2312"/>
          <w:sz w:val="32"/>
          <w:szCs w:val="32"/>
        </w:rPr>
        <w:t>与各</w:t>
      </w:r>
      <w:r>
        <w:rPr>
          <w:rFonts w:hint="eastAsia" w:eastAsia="仿宋_GB2312"/>
          <w:sz w:val="32"/>
          <w:szCs w:val="32"/>
        </w:rPr>
        <w:t>相关</w:t>
      </w:r>
      <w:r>
        <w:rPr>
          <w:rFonts w:eastAsia="仿宋_GB2312"/>
          <w:sz w:val="32"/>
          <w:szCs w:val="32"/>
        </w:rPr>
        <w:t>部门</w:t>
      </w:r>
      <w:r>
        <w:rPr>
          <w:rFonts w:hint="eastAsia" w:eastAsia="仿宋_GB2312"/>
          <w:sz w:val="32"/>
          <w:szCs w:val="32"/>
        </w:rPr>
        <w:t>的</w:t>
      </w:r>
      <w:r>
        <w:rPr>
          <w:rFonts w:eastAsia="仿宋_GB2312"/>
          <w:sz w:val="32"/>
          <w:szCs w:val="32"/>
        </w:rPr>
        <w:t>沟通协调，强化源头管控，切实做好内部控制和财务监控措施。</w:t>
      </w:r>
    </w:p>
    <w:p>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2021年10月25日发行15年期政府专项债券850.00万元，票面利率3.51%，付息方式为半年一次，到期本息付清；</w:t>
      </w:r>
      <w:r>
        <w:rPr>
          <w:rFonts w:hint="eastAsia" w:eastAsia="仿宋_GB2312"/>
          <w:sz w:val="32"/>
          <w:szCs w:val="32"/>
        </w:rPr>
        <w:t>根据还本付息计划安排，本项目已于</w:t>
      </w:r>
      <w:r>
        <w:rPr>
          <w:rFonts w:hint="eastAsia" w:eastAsia="仿宋_GB2312"/>
          <w:sz w:val="32"/>
          <w:szCs w:val="32"/>
          <w:lang w:val="en-US" w:eastAsia="zh-CN"/>
        </w:rPr>
        <w:t>2021年支付利息8.29万元。</w:t>
      </w:r>
    </w:p>
    <w:p>
      <w:pPr>
        <w:spacing w:line="600" w:lineRule="exact"/>
        <w:ind w:firstLine="640" w:firstLineChars="200"/>
        <w:outlineLvl w:val="0"/>
        <w:rPr>
          <w:rFonts w:eastAsia="黑体"/>
          <w:sz w:val="32"/>
          <w:szCs w:val="32"/>
        </w:rPr>
      </w:pPr>
      <w:r>
        <w:rPr>
          <w:rFonts w:eastAsia="黑体"/>
          <w:sz w:val="32"/>
          <w:szCs w:val="32"/>
        </w:rPr>
        <w:t>六、项目资金绩效情况</w:t>
      </w:r>
    </w:p>
    <w:p>
      <w:p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本次绩效报告针对项目产出、项目效益方面进行了总体自评价，自评分为100分，详见附件《湖南省政府债务项目绩效自评表》。</w:t>
      </w:r>
    </w:p>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（一）项目决策情况</w:t>
      </w:r>
    </w:p>
    <w:p>
      <w:pPr>
        <w:spacing w:line="600" w:lineRule="exact"/>
        <w:ind w:firstLine="643" w:firstLineChars="200"/>
        <w:rPr>
          <w:rFonts w:eastAsia="仿宋_GB2312"/>
          <w:bCs/>
          <w:sz w:val="32"/>
          <w:szCs w:val="32"/>
        </w:rPr>
      </w:pPr>
      <w:r>
        <w:rPr>
          <w:rFonts w:hint="eastAsia" w:eastAsia="仿宋_GB2312"/>
          <w:b/>
          <w:sz w:val="32"/>
          <w:szCs w:val="32"/>
        </w:rPr>
        <w:t>1</w:t>
      </w:r>
      <w:r>
        <w:rPr>
          <w:rFonts w:eastAsia="仿宋_GB2312"/>
          <w:b/>
          <w:sz w:val="32"/>
          <w:szCs w:val="32"/>
        </w:rPr>
        <w:t>.</w:t>
      </w:r>
      <w:r>
        <w:rPr>
          <w:rFonts w:hint="eastAsia" w:eastAsia="仿宋_GB2312"/>
          <w:b/>
          <w:sz w:val="32"/>
          <w:szCs w:val="32"/>
        </w:rPr>
        <w:t>项目立项依据充分。</w:t>
      </w:r>
      <w:r>
        <w:rPr>
          <w:rFonts w:hint="eastAsia" w:eastAsia="仿宋_GB2312"/>
          <w:bCs/>
          <w:sz w:val="32"/>
          <w:szCs w:val="32"/>
        </w:rPr>
        <w:t>根据</w:t>
      </w:r>
      <w:r>
        <w:rPr>
          <w:rFonts w:eastAsia="仿宋_GB2312"/>
          <w:bCs/>
          <w:sz w:val="32"/>
          <w:szCs w:val="32"/>
        </w:rPr>
        <w:t>《关于</w:t>
      </w:r>
      <w:r>
        <w:rPr>
          <w:rFonts w:hint="eastAsia" w:eastAsia="仿宋_GB2312"/>
          <w:bCs/>
          <w:sz w:val="32"/>
          <w:szCs w:val="32"/>
        </w:rPr>
        <w:t>湖南省邵阳市大祥省级工业集中区湘商产业园基础设施建设项目可行性研究报告</w:t>
      </w:r>
      <w:r>
        <w:rPr>
          <w:rFonts w:eastAsia="仿宋_GB2312"/>
          <w:bCs/>
          <w:sz w:val="32"/>
          <w:szCs w:val="32"/>
        </w:rPr>
        <w:t>的批复》（</w:t>
      </w:r>
      <w:r>
        <w:rPr>
          <w:rFonts w:hint="eastAsia" w:eastAsia="仿宋_GB2312"/>
          <w:bCs/>
          <w:sz w:val="32"/>
          <w:szCs w:val="32"/>
        </w:rPr>
        <w:t>大</w:t>
      </w:r>
      <w:r>
        <w:rPr>
          <w:rFonts w:eastAsia="仿宋_GB2312"/>
          <w:bCs/>
          <w:sz w:val="32"/>
          <w:szCs w:val="32"/>
        </w:rPr>
        <w:t>发改</w:t>
      </w:r>
      <w:r>
        <w:rPr>
          <w:rFonts w:hint="default" w:ascii="Times New Roman" w:hAnsi="Times New Roman" w:eastAsia="仿宋_GB2312" w:cs="Times New Roman"/>
          <w:kern w:val="0"/>
          <w:sz w:val="32"/>
          <w:szCs w:val="32"/>
          <w:lang w:val="en-US" w:eastAsia="zh-CN"/>
        </w:rPr>
        <w:t>〔20</w:t>
      </w:r>
      <w:r>
        <w:rPr>
          <w:rFonts w:hint="eastAsia" w:eastAsia="仿宋_GB2312" w:cs="Times New Roman"/>
          <w:kern w:val="0"/>
          <w:sz w:val="32"/>
          <w:szCs w:val="32"/>
          <w:lang w:val="en-US" w:eastAsia="zh-CN"/>
        </w:rPr>
        <w:t>20</w:t>
      </w:r>
      <w:r>
        <w:rPr>
          <w:rFonts w:hint="default" w:ascii="Times New Roman" w:hAnsi="Times New Roman" w:eastAsia="仿宋_GB2312" w:cs="Times New Roman"/>
          <w:kern w:val="0"/>
          <w:sz w:val="32"/>
          <w:szCs w:val="32"/>
          <w:lang w:val="en-US" w:eastAsia="zh-CN"/>
        </w:rPr>
        <w:t>〕</w:t>
      </w:r>
      <w:r>
        <w:rPr>
          <w:rFonts w:eastAsia="仿宋_GB2312"/>
          <w:bCs/>
          <w:sz w:val="32"/>
          <w:szCs w:val="32"/>
        </w:rPr>
        <w:t>35号）</w:t>
      </w:r>
      <w:r>
        <w:rPr>
          <w:rFonts w:hint="eastAsia" w:eastAsia="仿宋_GB2312"/>
          <w:bCs/>
          <w:sz w:val="32"/>
          <w:szCs w:val="32"/>
        </w:rPr>
        <w:t>，项目取得了发改的批复，符合国家法律法规、行业发展政策、省委省政府决策部署。</w:t>
      </w:r>
    </w:p>
    <w:p>
      <w:pPr>
        <w:pStyle w:val="6"/>
        <w:ind w:firstLine="643" w:firstLineChars="200"/>
        <w:rPr>
          <w:rFonts w:ascii="Times New Roman" w:hAnsi="Times New Roman" w:eastAsia="仿宋_GB2312" w:cs="Times New Roman"/>
          <w:bCs/>
        </w:rPr>
      </w:pPr>
      <w:r>
        <w:rPr>
          <w:rFonts w:hint="eastAsia" w:ascii="Times New Roman" w:hAnsi="Times New Roman" w:eastAsia="仿宋_GB2312" w:cs="Times New Roman"/>
          <w:b/>
        </w:rPr>
        <w:t>2</w:t>
      </w:r>
      <w:r>
        <w:rPr>
          <w:rFonts w:ascii="Times New Roman" w:hAnsi="Times New Roman" w:eastAsia="仿宋_GB2312" w:cs="Times New Roman"/>
          <w:b/>
        </w:rPr>
        <w:t>.</w:t>
      </w:r>
      <w:r>
        <w:rPr>
          <w:rFonts w:hint="eastAsia" w:ascii="Times New Roman" w:hAnsi="Times New Roman" w:eastAsia="仿宋_GB2312" w:cs="Times New Roman"/>
          <w:b/>
        </w:rPr>
        <w:t>项目立项程序规范。</w:t>
      </w:r>
      <w:r>
        <w:rPr>
          <w:rFonts w:hint="eastAsia" w:ascii="Times New Roman" w:hAnsi="Times New Roman" w:eastAsia="仿宋_GB2312" w:cs="Times New Roman"/>
          <w:bCs/>
        </w:rPr>
        <w:t>本项目按规定完成勘察、设计、用地、环评、开工许可等前期批复程序，审批文件、手续符合相关要求，取得了《关于邵阳市国家农业科技园（湘商产业园）污水处理厂建设项目环境影响报告书的批复》、标准化厂房《建筑工程施工许可证》、《关于&lt;邵阳市大祥区湘商产业园高新路设计工程可行性研究报告&gt;的批复》、《关于&lt;邵阳市大祥区雨檀路（大祥湘商产业园段）可行性研究报告&gt;的批复》等批复文件。</w:t>
      </w:r>
    </w:p>
    <w:p>
      <w:pPr>
        <w:pStyle w:val="6"/>
        <w:ind w:firstLine="643" w:firstLineChars="200"/>
        <w:rPr>
          <w:rFonts w:ascii="Times New Roman" w:hAnsi="Times New Roman" w:eastAsia="仿宋_GB2312" w:cs="Times New Roman"/>
          <w:bCs/>
        </w:rPr>
      </w:pPr>
      <w:r>
        <w:rPr>
          <w:rFonts w:hint="eastAsia" w:ascii="Times New Roman" w:hAnsi="Times New Roman" w:eastAsia="仿宋_GB2312" w:cs="Times New Roman"/>
          <w:b/>
        </w:rPr>
        <w:t>3</w:t>
      </w:r>
      <w:r>
        <w:rPr>
          <w:rFonts w:ascii="Times New Roman" w:hAnsi="Times New Roman" w:eastAsia="仿宋_GB2312" w:cs="Times New Roman"/>
          <w:b/>
        </w:rPr>
        <w:t>.</w:t>
      </w:r>
      <w:r>
        <w:rPr>
          <w:rFonts w:hint="eastAsia" w:ascii="Times New Roman" w:hAnsi="Times New Roman" w:eastAsia="仿宋_GB2312" w:cs="Times New Roman"/>
          <w:b/>
        </w:rPr>
        <w:t>项目符合性达到要求。</w:t>
      </w:r>
      <w:r>
        <w:rPr>
          <w:rFonts w:hint="eastAsia" w:ascii="Times New Roman" w:hAnsi="Times New Roman" w:eastAsia="仿宋_GB2312" w:cs="Times New Roman"/>
          <w:bCs/>
        </w:rPr>
        <w:t>本项目按要求编制了《专项债券项目预期收益与融资平衡方案》、《专项债券收益与融资自求平衡审核报告》及《专项债券发行事宜之法律意见书》，属于具有一定收益的公益性项目。</w:t>
      </w:r>
    </w:p>
    <w:p>
      <w:pPr>
        <w:pStyle w:val="6"/>
        <w:ind w:firstLine="643" w:firstLineChars="200"/>
        <w:rPr>
          <w:rFonts w:ascii="Times New Roman" w:hAnsi="Times New Roman" w:eastAsia="仿宋_GB2312" w:cs="Times New Roman"/>
          <w:bCs/>
        </w:rPr>
      </w:pPr>
      <w:r>
        <w:rPr>
          <w:rFonts w:hint="eastAsia" w:ascii="Times New Roman" w:hAnsi="Times New Roman" w:eastAsia="仿宋_GB2312" w:cs="Times New Roman"/>
          <w:b/>
        </w:rPr>
        <w:t>4</w:t>
      </w:r>
      <w:r>
        <w:rPr>
          <w:rFonts w:ascii="Times New Roman" w:hAnsi="Times New Roman" w:eastAsia="仿宋_GB2312" w:cs="Times New Roman"/>
          <w:b/>
        </w:rPr>
        <w:t>.</w:t>
      </w:r>
      <w:r>
        <w:rPr>
          <w:rFonts w:hint="eastAsia" w:ascii="Times New Roman" w:hAnsi="Times New Roman" w:eastAsia="仿宋_GB2312" w:cs="Times New Roman"/>
          <w:b/>
        </w:rPr>
        <w:t>项目绩效目标合理，绩效指标明确。</w:t>
      </w:r>
      <w:r>
        <w:rPr>
          <w:rFonts w:hint="eastAsia" w:ascii="Times New Roman" w:hAnsi="Times New Roman" w:eastAsia="仿宋_GB2312" w:cs="Times New Roman"/>
          <w:bCs/>
        </w:rPr>
        <w:t>本项目根据项目建设情况设立了与实际工作内容相关的绩效目标，目标与预算确定的项目投资额相匹配；同时将绩效目标细化分解为具体的数量、质量、时效、效益等绩效指标，并明确了清晰、可衡量的指标值。</w:t>
      </w:r>
    </w:p>
    <w:p>
      <w:pPr>
        <w:pStyle w:val="6"/>
        <w:ind w:firstLine="643" w:firstLineChars="200"/>
        <w:rPr>
          <w:rFonts w:hint="eastAsia" w:ascii="Times New Roman" w:hAnsi="Times New Roman" w:eastAsia="仿宋_GB2312" w:cs="Times New Roman"/>
          <w:b/>
        </w:rPr>
      </w:pPr>
      <w:r>
        <w:rPr>
          <w:rFonts w:hint="eastAsia" w:ascii="Times New Roman" w:hAnsi="Times New Roman" w:eastAsia="仿宋_GB2312" w:cs="Times New Roman"/>
          <w:b/>
        </w:rPr>
        <w:t>5</w:t>
      </w:r>
      <w:r>
        <w:rPr>
          <w:rFonts w:ascii="Times New Roman" w:hAnsi="Times New Roman" w:eastAsia="仿宋_GB2312" w:cs="Times New Roman"/>
          <w:b/>
        </w:rPr>
        <w:t>.</w:t>
      </w:r>
      <w:r>
        <w:rPr>
          <w:rFonts w:hint="eastAsia" w:ascii="Times New Roman" w:hAnsi="Times New Roman" w:eastAsia="仿宋_GB2312" w:cs="Times New Roman"/>
          <w:b/>
        </w:rPr>
        <w:t>项目预算编制科学。</w:t>
      </w:r>
      <w:r>
        <w:rPr>
          <w:rFonts w:hint="eastAsia" w:ascii="Times New Roman" w:hAnsi="Times New Roman" w:eastAsia="仿宋_GB2312" w:cs="Times New Roman"/>
          <w:bCs/>
        </w:rPr>
        <w:t>根据本项目的《专项债券项目预期收益与融资平衡方案》、《专项债券收益与融资自求平衡审核报告》等分析，项目预算额度测算依据充分，年度申请的专项债券额度与实际需要匹配，基本能做到总体收支平衡和年度收支平衡。</w:t>
      </w:r>
    </w:p>
    <w:p>
      <w:pPr>
        <w:spacing w:line="600" w:lineRule="exact"/>
        <w:ind w:firstLine="643" w:firstLineChars="200"/>
        <w:outlineLvl w:val="1"/>
        <w:rPr>
          <w:rFonts w:ascii="楷体_GB2312" w:eastAsia="楷体_GB2312"/>
          <w:b/>
          <w:bCs/>
          <w:sz w:val="32"/>
          <w:szCs w:val="32"/>
        </w:rPr>
      </w:pPr>
      <w:r>
        <w:rPr>
          <w:rFonts w:ascii="楷体_GB2312" w:eastAsia="楷体_GB2312"/>
          <w:b/>
          <w:bCs/>
          <w:sz w:val="32"/>
          <w:szCs w:val="32"/>
        </w:rPr>
        <w:t>（二）项目过程情况</w:t>
      </w:r>
    </w:p>
    <w:p>
      <w:pPr>
        <w:spacing w:line="600" w:lineRule="exact"/>
        <w:ind w:firstLine="643" w:firstLineChars="200"/>
        <w:rPr>
          <w:rFonts w:eastAsia="仿宋_GB2312"/>
          <w:sz w:val="32"/>
          <w:szCs w:val="32"/>
        </w:rPr>
      </w:pPr>
      <w:r>
        <w:rPr>
          <w:rFonts w:hint="eastAsia" w:eastAsia="仿宋_GB2312"/>
          <w:b/>
          <w:bCs/>
          <w:sz w:val="32"/>
          <w:szCs w:val="32"/>
        </w:rPr>
        <w:t>1</w:t>
      </w:r>
      <w:r>
        <w:rPr>
          <w:rFonts w:eastAsia="仿宋_GB2312"/>
          <w:b/>
          <w:bCs/>
          <w:sz w:val="32"/>
          <w:szCs w:val="32"/>
        </w:rPr>
        <w:t>.</w:t>
      </w:r>
      <w:r>
        <w:rPr>
          <w:rFonts w:hint="eastAsia" w:eastAsia="仿宋_GB2312"/>
          <w:b/>
          <w:bCs/>
          <w:sz w:val="32"/>
          <w:szCs w:val="32"/>
        </w:rPr>
        <w:t>项目资金管理基本到位。一是</w:t>
      </w:r>
      <w:r>
        <w:rPr>
          <w:rFonts w:hint="eastAsia" w:eastAsia="仿宋_GB2312"/>
          <w:sz w:val="32"/>
          <w:szCs w:val="32"/>
        </w:rPr>
        <w:t>资金使用合规，制定了《财务管理制度》，并严格按制度和《湖南省政府专项债券管理暂行办法》进行专项债券资金管理，按照项目融资平衡方案或相关立项批复文件中列明的建设范围和用途使用资金，不存在截留、挤占、挪用、虚列支出等情况；</w:t>
      </w:r>
      <w:r>
        <w:rPr>
          <w:rFonts w:hint="eastAsia" w:eastAsia="仿宋_GB2312"/>
          <w:b/>
          <w:bCs/>
          <w:sz w:val="32"/>
          <w:szCs w:val="32"/>
          <w:lang w:val="en-US" w:eastAsia="zh-CN"/>
        </w:rPr>
        <w:t>二</w:t>
      </w:r>
      <w:r>
        <w:rPr>
          <w:rFonts w:hint="eastAsia" w:eastAsia="仿宋_GB2312"/>
          <w:b/>
          <w:bCs/>
          <w:sz w:val="32"/>
          <w:szCs w:val="32"/>
        </w:rPr>
        <w:t>是</w:t>
      </w:r>
      <w:r>
        <w:rPr>
          <w:rFonts w:hint="eastAsia" w:eastAsia="仿宋_GB2312"/>
          <w:sz w:val="32"/>
          <w:szCs w:val="32"/>
        </w:rPr>
        <w:t>项目编制了还本付息计划，每半年付息一次，15年到期还本，专项债券期限与项目建设运营期限匹配。</w:t>
      </w:r>
    </w:p>
    <w:p>
      <w:pPr>
        <w:spacing w:line="600" w:lineRule="exact"/>
        <w:ind w:firstLine="643" w:firstLineChars="200"/>
        <w:rPr>
          <w:rFonts w:eastAsia="仿宋_GB2312"/>
          <w:sz w:val="32"/>
          <w:szCs w:val="32"/>
        </w:rPr>
      </w:pPr>
      <w:r>
        <w:rPr>
          <w:rFonts w:hint="eastAsia" w:eastAsia="仿宋_GB2312"/>
          <w:b/>
          <w:bCs/>
          <w:sz w:val="32"/>
          <w:szCs w:val="32"/>
        </w:rPr>
        <w:t>2</w:t>
      </w:r>
      <w:r>
        <w:rPr>
          <w:rFonts w:eastAsia="仿宋_GB2312"/>
          <w:b/>
          <w:bCs/>
          <w:sz w:val="32"/>
          <w:szCs w:val="32"/>
        </w:rPr>
        <w:t>.</w:t>
      </w:r>
      <w:r>
        <w:rPr>
          <w:rFonts w:hint="eastAsia" w:eastAsia="仿宋_GB2312"/>
          <w:b/>
          <w:bCs/>
          <w:sz w:val="32"/>
          <w:szCs w:val="32"/>
        </w:rPr>
        <w:t>项目实施管理基本规范。一是项目</w:t>
      </w:r>
      <w:r>
        <w:rPr>
          <w:rFonts w:hint="eastAsia" w:eastAsia="仿宋_GB2312"/>
          <w:sz w:val="32"/>
          <w:szCs w:val="32"/>
        </w:rPr>
        <w:t>建设、运营、资产管理等环节严格按照国家相关法律法规和规章制度的规定来执行；</w:t>
      </w:r>
      <w:r>
        <w:rPr>
          <w:rFonts w:hint="eastAsia" w:eastAsia="仿宋_GB2312"/>
          <w:b/>
          <w:bCs/>
          <w:sz w:val="32"/>
          <w:szCs w:val="32"/>
        </w:rPr>
        <w:t>二是</w:t>
      </w:r>
      <w:r>
        <w:rPr>
          <w:rFonts w:hint="eastAsia" w:eastAsia="仿宋_GB2312"/>
          <w:sz w:val="32"/>
          <w:szCs w:val="32"/>
        </w:rPr>
        <w:t>编制了科学合理的项目实施计划，采取了相应的项目质量检查、验收等必需的控制措施，确保工程进度、质量、验收等均符合要求；</w:t>
      </w:r>
      <w:r>
        <w:rPr>
          <w:rFonts w:hint="eastAsia" w:eastAsia="仿宋_GB2312"/>
          <w:b/>
          <w:bCs/>
          <w:sz w:val="32"/>
          <w:szCs w:val="32"/>
        </w:rPr>
        <w:t>三是</w:t>
      </w:r>
      <w:r>
        <w:rPr>
          <w:rFonts w:hint="eastAsia" w:eastAsia="仿宋_GB2312"/>
          <w:sz w:val="32"/>
          <w:szCs w:val="32"/>
        </w:rPr>
        <w:t>工程项目均采取公开招投标的方式选择施工方，并签订相关施工合同约定服务内容，采购程序和手续均合法合规。</w:t>
      </w:r>
    </w:p>
    <w:p>
      <w:pPr>
        <w:spacing w:line="600" w:lineRule="exact"/>
        <w:ind w:firstLine="643" w:firstLineChars="200"/>
        <w:rPr>
          <w:rFonts w:hint="eastAsia" w:eastAsia="仿宋_GB2312"/>
          <w:sz w:val="32"/>
          <w:szCs w:val="32"/>
        </w:rPr>
      </w:pPr>
      <w:r>
        <w:rPr>
          <w:rFonts w:hint="eastAsia" w:eastAsia="仿宋_GB2312"/>
          <w:b/>
          <w:bCs/>
          <w:sz w:val="32"/>
          <w:szCs w:val="32"/>
        </w:rPr>
        <w:t>3</w:t>
      </w:r>
      <w:r>
        <w:rPr>
          <w:rFonts w:eastAsia="仿宋_GB2312"/>
          <w:b/>
          <w:bCs/>
          <w:sz w:val="32"/>
          <w:szCs w:val="32"/>
        </w:rPr>
        <w:t>.</w:t>
      </w:r>
      <w:r>
        <w:rPr>
          <w:rFonts w:hint="eastAsia" w:eastAsia="仿宋_GB2312"/>
          <w:b/>
          <w:bCs/>
          <w:sz w:val="32"/>
          <w:szCs w:val="32"/>
        </w:rPr>
        <w:t>项目风险控制有保障。</w:t>
      </w:r>
      <w:r>
        <w:rPr>
          <w:rFonts w:hint="eastAsia" w:eastAsia="仿宋_GB2312"/>
          <w:sz w:val="32"/>
          <w:szCs w:val="32"/>
        </w:rPr>
        <w:t>本项目按照《中共湖南省委 湖南省人民政府关于严控政府性债务增长切实防范债务风险的若干意见》等文件精神，加强债务风险动态监测，项目过程中未发生过重大风险事件，并</w:t>
      </w:r>
      <w:r>
        <w:rPr>
          <w:rFonts w:eastAsia="仿宋_GB2312"/>
          <w:sz w:val="32"/>
          <w:szCs w:val="32"/>
        </w:rPr>
        <w:t>按相关部门要求及时报送与公开</w:t>
      </w:r>
      <w:r>
        <w:rPr>
          <w:rFonts w:hint="eastAsia" w:eastAsia="仿宋_GB2312"/>
          <w:sz w:val="32"/>
          <w:szCs w:val="32"/>
        </w:rPr>
        <w:t>专项债券债务信息</w:t>
      </w:r>
      <w:r>
        <w:rPr>
          <w:rFonts w:eastAsia="仿宋_GB2312"/>
          <w:sz w:val="32"/>
          <w:szCs w:val="32"/>
        </w:rPr>
        <w:t>，主动接受社会监督。</w:t>
      </w:r>
    </w:p>
    <w:p>
      <w:pPr>
        <w:spacing w:line="600" w:lineRule="exact"/>
        <w:ind w:firstLine="643" w:firstLineChars="200"/>
        <w:outlineLvl w:val="1"/>
        <w:rPr>
          <w:rFonts w:ascii="楷体_GB2312" w:eastAsia="楷体_GB2312"/>
          <w:b/>
          <w:bCs/>
          <w:color w:val="000000" w:themeColor="text1"/>
          <w:sz w:val="32"/>
          <w:szCs w:val="32"/>
          <w14:textFill>
            <w14:solidFill>
              <w14:schemeClr w14:val="tx1"/>
            </w14:solidFill>
          </w14:textFill>
        </w:rPr>
      </w:pPr>
      <w:r>
        <w:rPr>
          <w:rFonts w:ascii="楷体_GB2312" w:eastAsia="楷体_GB2312"/>
          <w:b/>
          <w:bCs/>
          <w:color w:val="000000" w:themeColor="text1"/>
          <w:sz w:val="32"/>
          <w:szCs w:val="32"/>
          <w14:textFill>
            <w14:solidFill>
              <w14:schemeClr w14:val="tx1"/>
            </w14:solidFill>
          </w14:textFill>
        </w:rPr>
        <w:t>（三）项目产出情况</w:t>
      </w:r>
    </w:p>
    <w:p>
      <w:pPr>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完成</w:t>
      </w:r>
      <w:r>
        <w:rPr>
          <w:rFonts w:hint="default" w:ascii="Times New Roman" w:hAnsi="Times New Roman" w:eastAsia="仿宋_GB2312" w:cs="Times New Roman"/>
          <w:sz w:val="32"/>
          <w:szCs w:val="32"/>
          <w:lang w:val="en-US" w:eastAsia="zh-CN"/>
        </w:rPr>
        <w:t>改造配套服务设施5610.4㎡，铺装文化广场5000㎡、</w:t>
      </w:r>
      <w:r>
        <w:rPr>
          <w:rFonts w:hint="eastAsia" w:ascii="Times New Roman" w:hAnsi="Times New Roman" w:eastAsia="仿宋_GB2312" w:cs="Times New Roman"/>
          <w:sz w:val="32"/>
          <w:szCs w:val="32"/>
          <w:lang w:val="en-US" w:eastAsia="zh-CN"/>
        </w:rPr>
        <w:t>生态停车场4200㎡、小型污水处理站300㎡、敷设污水管网1000 m、绿化600㎡、外墙维修2300㎡、维修蔡锷故居800㎡、环境整治3000㎡、修建车行道5990㎡、游步道10030㎡等基础设施，新建建筑面积为50㎡的公共厕所2处，新建蔡锷生平业绩陈列馆电机房与电缆工程。</w:t>
      </w:r>
    </w:p>
    <w:p>
      <w:pPr>
        <w:spacing w:line="600" w:lineRule="exact"/>
        <w:ind w:firstLine="643" w:firstLineChars="200"/>
        <w:outlineLvl w:val="1"/>
        <w:rPr>
          <w:rFonts w:ascii="楷体_GB2312" w:hAnsi="Times New Roman" w:eastAsia="楷体_GB2312" w:cs="Times New Roman"/>
          <w:b/>
          <w:bCs/>
          <w:color w:val="000000" w:themeColor="text1"/>
          <w:sz w:val="32"/>
          <w:szCs w:val="32"/>
          <w14:textFill>
            <w14:solidFill>
              <w14:schemeClr w14:val="tx1"/>
            </w14:solidFill>
          </w14:textFill>
        </w:rPr>
      </w:pPr>
      <w:r>
        <w:rPr>
          <w:rFonts w:ascii="楷体_GB2312" w:hAnsi="Times New Roman" w:eastAsia="楷体_GB2312" w:cs="Times New Roman"/>
          <w:b/>
          <w:bCs/>
          <w:color w:val="000000" w:themeColor="text1"/>
          <w:sz w:val="32"/>
          <w:szCs w:val="32"/>
          <w14:textFill>
            <w14:solidFill>
              <w14:schemeClr w14:val="tx1"/>
            </w14:solidFill>
          </w14:textFill>
        </w:rPr>
        <w:t>（四）项目效益情况</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项目建成后对周边区域旅游业起一定带动作用，本项目作为蔡锷故居景区的配套服务区、休闲娱乐区，从而带动周边居民的商业发展以及周边地区的旅游业发展。并且项目建设运营后，将对道路、供电、供水、商业等基础设施的需求和建设，改善本地基础设施和公共服务。</w:t>
      </w:r>
    </w:p>
    <w:p>
      <w:pPr>
        <w:adjustRightInd w:val="0"/>
        <w:snapToGrid w:val="0"/>
        <w:spacing w:line="600" w:lineRule="exact"/>
        <w:ind w:firstLine="640" w:firstLineChars="200"/>
        <w:outlineLvl w:val="0"/>
        <w:rPr>
          <w:rFonts w:eastAsia="黑体"/>
          <w:sz w:val="32"/>
          <w:szCs w:val="32"/>
        </w:rPr>
      </w:pPr>
      <w:r>
        <w:rPr>
          <w:rFonts w:eastAsia="黑体"/>
          <w:sz w:val="32"/>
          <w:szCs w:val="32"/>
        </w:rPr>
        <w:t>七、存在的问题及原因分析</w:t>
      </w:r>
    </w:p>
    <w:p>
      <w:pPr>
        <w:spacing w:line="600" w:lineRule="exact"/>
        <w:ind w:firstLine="643" w:firstLineChars="200"/>
        <w:outlineLvl w:val="1"/>
        <w:rPr>
          <w:rFonts w:hint="eastAsia" w:ascii="楷体_GB2312" w:hAnsi="Times New Roman" w:eastAsia="楷体_GB2312" w:cs="Times New Roman"/>
          <w:b/>
          <w:bCs/>
          <w:sz w:val="32"/>
          <w:szCs w:val="32"/>
        </w:rPr>
      </w:pPr>
      <w:r>
        <w:rPr>
          <w:rFonts w:hint="eastAsia" w:ascii="楷体_GB2312" w:hAnsi="Times New Roman" w:eastAsia="楷体_GB2312" w:cs="Times New Roman"/>
          <w:b/>
          <w:bCs/>
          <w:sz w:val="32"/>
          <w:szCs w:val="32"/>
        </w:rPr>
        <w:t>（一）绩效管理意识有待提高</w:t>
      </w:r>
    </w:p>
    <w:p>
      <w:pPr>
        <w:pStyle w:val="2"/>
        <w:ind w:left="0" w:leftChars="0" w:firstLine="640" w:firstLineChars="200"/>
        <w:rPr>
          <w:rFonts w:hint="eastAsia" w:eastAsia="仿宋_GB2312"/>
          <w:sz w:val="32"/>
          <w:szCs w:val="32"/>
        </w:rPr>
      </w:pPr>
      <w:r>
        <w:rPr>
          <w:rFonts w:hint="eastAsia" w:eastAsia="仿宋_GB2312"/>
          <w:sz w:val="32"/>
          <w:szCs w:val="32"/>
        </w:rPr>
        <w:t>近年来，随着预算绩效管理要求的不断增加，</w:t>
      </w:r>
      <w:r>
        <w:rPr>
          <w:rFonts w:eastAsia="仿宋_GB2312"/>
          <w:sz w:val="32"/>
          <w:szCs w:val="32"/>
        </w:rPr>
        <w:t>各级政府</w:t>
      </w:r>
      <w:r>
        <w:rPr>
          <w:rFonts w:hint="eastAsia" w:eastAsia="仿宋_GB2312"/>
          <w:sz w:val="32"/>
          <w:szCs w:val="32"/>
        </w:rPr>
        <w:t>的</w:t>
      </w:r>
      <w:r>
        <w:rPr>
          <w:rFonts w:eastAsia="仿宋_GB2312"/>
          <w:sz w:val="32"/>
          <w:szCs w:val="32"/>
        </w:rPr>
        <w:t>一般公共预算、政府性基金预算、国有资本经营预算、社会保险基金预算全部纳入</w:t>
      </w:r>
      <w:r>
        <w:rPr>
          <w:rFonts w:hint="eastAsia" w:eastAsia="仿宋_GB2312"/>
          <w:sz w:val="32"/>
          <w:szCs w:val="32"/>
        </w:rPr>
        <w:t>了</w:t>
      </w:r>
      <w:r>
        <w:rPr>
          <w:rFonts w:eastAsia="仿宋_GB2312"/>
          <w:sz w:val="32"/>
          <w:szCs w:val="32"/>
        </w:rPr>
        <w:t>绩效管理</w:t>
      </w:r>
      <w:r>
        <w:rPr>
          <w:rFonts w:hint="eastAsia" w:eastAsia="仿宋_GB2312"/>
          <w:sz w:val="32"/>
          <w:szCs w:val="32"/>
        </w:rPr>
        <w:t>，此次开展的政府专项债券绩效评价对专项债券项目绩效管理又提出了新要求。我们对专项债项目的绩效管理相关概念理解还不够透彻，在绩效目标管理、绩效指标设置</w:t>
      </w:r>
      <w:bookmarkStart w:id="2" w:name="_GoBack"/>
      <w:bookmarkEnd w:id="2"/>
      <w:r>
        <w:rPr>
          <w:rFonts w:hint="eastAsia" w:eastAsia="仿宋_GB2312"/>
          <w:sz w:val="32"/>
          <w:szCs w:val="32"/>
        </w:rPr>
        <w:t>等方面还需加强进一步的学习。</w:t>
      </w:r>
    </w:p>
    <w:p>
      <w:pPr>
        <w:spacing w:line="600" w:lineRule="exact"/>
        <w:ind w:firstLine="643" w:firstLineChars="200"/>
        <w:outlineLvl w:val="1"/>
        <w:rPr>
          <w:rFonts w:hint="eastAsia" w:ascii="楷体_GB2312" w:hAnsi="Times New Roman" w:eastAsia="楷体_GB2312" w:cs="Times New Roman"/>
          <w:b/>
          <w:bCs/>
          <w:sz w:val="32"/>
          <w:szCs w:val="32"/>
        </w:rPr>
      </w:pPr>
      <w:r>
        <w:rPr>
          <w:rFonts w:hint="eastAsia" w:ascii="楷体_GB2312" w:eastAsia="楷体_GB2312" w:cs="Times New Roman"/>
          <w:b/>
          <w:bCs/>
          <w:sz w:val="32"/>
          <w:szCs w:val="32"/>
          <w:lang w:eastAsia="zh-CN"/>
        </w:rPr>
        <w:t>（</w:t>
      </w:r>
      <w:r>
        <w:rPr>
          <w:rFonts w:hint="eastAsia" w:ascii="楷体_GB2312" w:eastAsia="楷体_GB2312" w:cs="Times New Roman"/>
          <w:b/>
          <w:bCs/>
          <w:sz w:val="32"/>
          <w:szCs w:val="32"/>
          <w:lang w:val="en-US" w:eastAsia="zh-CN"/>
        </w:rPr>
        <w:t>二</w:t>
      </w:r>
      <w:r>
        <w:rPr>
          <w:rFonts w:hint="eastAsia" w:ascii="楷体_GB2312" w:eastAsia="楷体_GB2312" w:cs="Times New Roman"/>
          <w:b/>
          <w:bCs/>
          <w:sz w:val="32"/>
          <w:szCs w:val="32"/>
          <w:lang w:eastAsia="zh-CN"/>
        </w:rPr>
        <w:t>）</w:t>
      </w:r>
      <w:r>
        <w:rPr>
          <w:rFonts w:hint="eastAsia" w:ascii="楷体_GB2312" w:eastAsia="楷体_GB2312" w:cs="Times New Roman"/>
          <w:b/>
          <w:bCs/>
          <w:sz w:val="32"/>
          <w:szCs w:val="32"/>
          <w:lang w:val="en-US" w:eastAsia="zh-CN"/>
        </w:rPr>
        <w:t>完善</w:t>
      </w:r>
      <w:r>
        <w:rPr>
          <w:rFonts w:hint="eastAsia" w:ascii="楷体_GB2312" w:hAnsi="Times New Roman" w:eastAsia="楷体_GB2312" w:cs="Times New Roman"/>
          <w:b/>
          <w:bCs/>
          <w:sz w:val="32"/>
          <w:szCs w:val="32"/>
        </w:rPr>
        <w:t>项目实施过程管理</w:t>
      </w:r>
    </w:p>
    <w:p>
      <w:pPr>
        <w:pStyle w:val="2"/>
        <w:ind w:left="0" w:leftChars="0" w:firstLine="640" w:firstLineChars="200"/>
        <w:rPr>
          <w:rFonts w:hint="default" w:eastAsia="仿宋_GB2312"/>
          <w:sz w:val="32"/>
          <w:szCs w:val="32"/>
          <w:lang w:val="en-US" w:eastAsia="zh-CN"/>
        </w:rPr>
      </w:pPr>
      <w:r>
        <w:rPr>
          <w:rFonts w:hint="eastAsia"/>
          <w:sz w:val="32"/>
          <w:szCs w:val="32"/>
          <w:lang w:val="en-US" w:eastAsia="zh-CN"/>
        </w:rPr>
        <w:t>本单位在项目实施中过程未进行</w:t>
      </w:r>
      <w:r>
        <w:rPr>
          <w:rFonts w:hint="eastAsia" w:eastAsia="仿宋_GB2312"/>
          <w:sz w:val="32"/>
          <w:szCs w:val="32"/>
        </w:rPr>
        <w:t>事中监控管理</w:t>
      </w:r>
      <w:r>
        <w:rPr>
          <w:rFonts w:hint="eastAsia"/>
          <w:sz w:val="32"/>
          <w:szCs w:val="32"/>
          <w:lang w:eastAsia="zh-CN"/>
        </w:rPr>
        <w:t>，</w:t>
      </w:r>
      <w:r>
        <w:rPr>
          <w:rFonts w:hint="eastAsia"/>
          <w:sz w:val="32"/>
          <w:szCs w:val="32"/>
          <w:lang w:val="en-US" w:eastAsia="zh-CN"/>
        </w:rPr>
        <w:t>导致绩效管理工作缺少事中监控环节，对项目的预算执行进度和绩效目标实现程度不能有效控制，对绩效目标执行偏差和管理漏洞，无法及时采取分类处置措施予以纠正。</w:t>
      </w:r>
    </w:p>
    <w:p>
      <w:pPr>
        <w:adjustRightInd w:val="0"/>
        <w:snapToGrid w:val="0"/>
        <w:spacing w:line="600" w:lineRule="exact"/>
        <w:ind w:firstLine="640" w:firstLineChars="200"/>
        <w:outlineLvl w:val="0"/>
        <w:rPr>
          <w:rFonts w:eastAsia="黑体"/>
          <w:sz w:val="32"/>
          <w:szCs w:val="32"/>
        </w:rPr>
      </w:pPr>
      <w:r>
        <w:rPr>
          <w:rFonts w:eastAsia="黑体"/>
          <w:sz w:val="32"/>
          <w:szCs w:val="32"/>
        </w:rPr>
        <w:t>八、有关建议</w:t>
      </w:r>
    </w:p>
    <w:p>
      <w:pPr>
        <w:spacing w:line="600" w:lineRule="exact"/>
        <w:ind w:firstLine="643" w:firstLineChars="200"/>
        <w:outlineLvl w:val="1"/>
        <w:rPr>
          <w:rFonts w:ascii="楷体_GB2312" w:eastAsia="楷体_GB2312"/>
          <w:b/>
          <w:bCs/>
          <w:sz w:val="32"/>
          <w:szCs w:val="32"/>
        </w:rPr>
      </w:pPr>
      <w:r>
        <w:rPr>
          <w:rFonts w:hint="eastAsia" w:ascii="楷体_GB2312" w:eastAsia="楷体_GB2312"/>
          <w:b/>
          <w:bCs/>
          <w:sz w:val="32"/>
          <w:szCs w:val="32"/>
        </w:rPr>
        <w:t>（</w:t>
      </w:r>
      <w:r>
        <w:rPr>
          <w:rFonts w:hint="eastAsia" w:ascii="楷体_GB2312" w:eastAsia="楷体_GB2312"/>
          <w:b/>
          <w:bCs/>
          <w:sz w:val="32"/>
          <w:szCs w:val="32"/>
          <w:lang w:val="en-US" w:eastAsia="zh-CN"/>
        </w:rPr>
        <w:t>一</w:t>
      </w:r>
      <w:r>
        <w:rPr>
          <w:rFonts w:hint="eastAsia" w:ascii="楷体_GB2312" w:eastAsia="楷体_GB2312"/>
          <w:b/>
          <w:bCs/>
          <w:sz w:val="32"/>
          <w:szCs w:val="32"/>
        </w:rPr>
        <w:t>）提高绩效管理意识</w:t>
      </w:r>
    </w:p>
    <w:p>
      <w:pPr>
        <w:spacing w:line="600" w:lineRule="exact"/>
        <w:ind w:firstLine="640" w:firstLineChars="200"/>
        <w:rPr>
          <w:rFonts w:hint="eastAsia" w:eastAsia="仿宋_GB2312"/>
          <w:sz w:val="32"/>
          <w:szCs w:val="32"/>
        </w:rPr>
      </w:pPr>
      <w:r>
        <w:rPr>
          <w:rFonts w:hint="eastAsia" w:eastAsia="仿宋_GB2312"/>
          <w:sz w:val="32"/>
          <w:szCs w:val="32"/>
        </w:rPr>
        <w:t>项目相关人员要加强</w:t>
      </w:r>
      <w:r>
        <w:rPr>
          <w:rFonts w:eastAsia="仿宋_GB2312"/>
          <w:sz w:val="32"/>
          <w:szCs w:val="32"/>
        </w:rPr>
        <w:t>《地方政府专项债务预算管理办法》（财预〔2016〕155号）、《地方政府专项债券项目资金绩效管理办法》（财预〔2021〕61号）、《中共湖南省委 湖南省人民政府关于严控政府性债务增长切实防范债务风险的若干意见》（湘发〔2018〕5号）、《湖南省政府债务项目绩效管理暂行办法》（湘财绩〔2020〕12号）、《湖南省政府专项债券管理暂行办法》（湘财债管〔</w:t>
      </w:r>
      <w:r>
        <w:rPr>
          <w:rFonts w:eastAsia="仿宋_GB2312"/>
          <w:spacing w:val="-6"/>
          <w:sz w:val="32"/>
          <w:szCs w:val="32"/>
        </w:rPr>
        <w:t>2021</w:t>
      </w:r>
      <w:r>
        <w:rPr>
          <w:rFonts w:eastAsia="仿宋_GB2312"/>
          <w:sz w:val="32"/>
          <w:szCs w:val="32"/>
        </w:rPr>
        <w:t>〕18号）以及其他相关政府债务资金管理文件和法律法规等</w:t>
      </w:r>
      <w:r>
        <w:rPr>
          <w:rFonts w:hint="eastAsia" w:eastAsia="仿宋_GB2312"/>
          <w:sz w:val="32"/>
          <w:szCs w:val="32"/>
        </w:rPr>
        <w:t>的学习，深刻理解政府专项债券项目绩效管理的作用和意义，以便更好的进行绩效管理。</w:t>
      </w:r>
    </w:p>
    <w:p>
      <w:pPr>
        <w:spacing w:line="600" w:lineRule="exact"/>
        <w:ind w:firstLine="643" w:firstLineChars="200"/>
        <w:outlineLvl w:val="1"/>
        <w:rPr>
          <w:rFonts w:hint="eastAsia" w:ascii="楷体_GB2312" w:hAnsi="Times New Roman" w:eastAsia="楷体_GB2312" w:cs="Times New Roman"/>
          <w:b/>
          <w:bCs/>
          <w:sz w:val="32"/>
          <w:szCs w:val="32"/>
        </w:rPr>
      </w:pPr>
      <w:r>
        <w:rPr>
          <w:rFonts w:hint="eastAsia" w:ascii="楷体_GB2312" w:eastAsia="楷体_GB2312" w:cs="Times New Roman"/>
          <w:b/>
          <w:bCs/>
          <w:sz w:val="32"/>
          <w:szCs w:val="32"/>
          <w:lang w:eastAsia="zh-CN"/>
        </w:rPr>
        <w:t>（</w:t>
      </w:r>
      <w:r>
        <w:rPr>
          <w:rFonts w:hint="eastAsia" w:ascii="楷体_GB2312" w:eastAsia="楷体_GB2312" w:cs="Times New Roman"/>
          <w:b/>
          <w:bCs/>
          <w:sz w:val="32"/>
          <w:szCs w:val="32"/>
          <w:lang w:val="en-US" w:eastAsia="zh-CN"/>
        </w:rPr>
        <w:t>二</w:t>
      </w:r>
      <w:r>
        <w:rPr>
          <w:rFonts w:hint="eastAsia" w:ascii="楷体_GB2312" w:eastAsia="楷体_GB2312" w:cs="Times New Roman"/>
          <w:b/>
          <w:bCs/>
          <w:sz w:val="32"/>
          <w:szCs w:val="32"/>
          <w:lang w:eastAsia="zh-CN"/>
        </w:rPr>
        <w:t>）</w:t>
      </w:r>
      <w:r>
        <w:rPr>
          <w:rFonts w:hint="eastAsia" w:ascii="楷体_GB2312" w:hAnsi="Times New Roman" w:eastAsia="楷体_GB2312" w:cs="Times New Roman"/>
          <w:b/>
          <w:bCs/>
          <w:sz w:val="32"/>
          <w:szCs w:val="32"/>
        </w:rPr>
        <w:t>加强项目实施过程管理</w:t>
      </w:r>
    </w:p>
    <w:p>
      <w:pPr>
        <w:pStyle w:val="2"/>
        <w:ind w:left="0" w:leftChars="0" w:firstLine="640" w:firstLineChars="200"/>
        <w:rPr>
          <w:rFonts w:hint="eastAsia" w:eastAsia="仿宋_GB2312"/>
          <w:sz w:val="32"/>
          <w:szCs w:val="32"/>
        </w:rPr>
      </w:pPr>
      <w:r>
        <w:rPr>
          <w:rFonts w:hint="eastAsia" w:eastAsia="仿宋_GB2312"/>
          <w:sz w:val="32"/>
          <w:szCs w:val="32"/>
        </w:rPr>
        <w:t>加强对实施项目的事中监控管理，严格落实项目实施具体进度，对项目</w:t>
      </w:r>
      <w:r>
        <w:rPr>
          <w:rFonts w:hint="eastAsia"/>
          <w:sz w:val="32"/>
          <w:szCs w:val="32"/>
          <w:lang w:val="en-US" w:eastAsia="zh-CN"/>
        </w:rPr>
        <w:t>实施中</w:t>
      </w:r>
      <w:r>
        <w:rPr>
          <w:rFonts w:hint="eastAsia" w:eastAsia="仿宋_GB2312"/>
          <w:sz w:val="32"/>
          <w:szCs w:val="32"/>
        </w:rPr>
        <w:t>的问题及时分析与整改，</w:t>
      </w:r>
      <w:r>
        <w:rPr>
          <w:rFonts w:hint="eastAsia"/>
          <w:sz w:val="32"/>
          <w:szCs w:val="32"/>
          <w:lang w:val="en-US" w:eastAsia="zh-CN"/>
        </w:rPr>
        <w:t>进一步</w:t>
      </w:r>
      <w:r>
        <w:rPr>
          <w:rFonts w:hint="eastAsia" w:eastAsia="仿宋_GB2312"/>
          <w:sz w:val="32"/>
          <w:szCs w:val="32"/>
        </w:rPr>
        <w:t>提高项目的</w:t>
      </w:r>
      <w:r>
        <w:rPr>
          <w:rFonts w:hint="eastAsia"/>
          <w:sz w:val="32"/>
          <w:szCs w:val="32"/>
          <w:lang w:val="en-US" w:eastAsia="zh-CN"/>
        </w:rPr>
        <w:t>完成</w:t>
      </w:r>
      <w:r>
        <w:rPr>
          <w:rFonts w:hint="eastAsia" w:eastAsia="仿宋_GB2312"/>
          <w:sz w:val="32"/>
          <w:szCs w:val="32"/>
        </w:rPr>
        <w:t>效率。</w:t>
      </w:r>
    </w:p>
    <w:p>
      <w:pPr>
        <w:pStyle w:val="2"/>
        <w:rPr>
          <w:rFonts w:hint="eastAsia"/>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r>
        <w:rPr>
          <w:rFonts w:hint="eastAsia" w:eastAsia="仿宋_GB2312" w:cs="Times New Roman"/>
          <w:sz w:val="32"/>
          <w:szCs w:val="32"/>
        </w:rPr>
        <w:t>附件：湖南省政府债务项目绩效自评表</w:t>
      </w:r>
    </w:p>
    <w:p>
      <w:pPr>
        <w:pStyle w:val="6"/>
      </w:pPr>
    </w:p>
    <w:p>
      <w:pPr>
        <w:pStyle w:val="6"/>
        <w:wordWrap w:val="0"/>
        <w:jc w:val="right"/>
        <w:rPr>
          <w:rFonts w:hint="default" w:eastAsia="仿宋_GB2312"/>
          <w:lang w:val="en-US" w:eastAsia="zh-CN"/>
        </w:rPr>
      </w:pPr>
      <w:r>
        <w:rPr>
          <w:rFonts w:hint="eastAsia" w:eastAsia="仿宋_GB2312"/>
          <w:lang w:val="en-US" w:eastAsia="zh-CN"/>
        </w:rPr>
        <w:t>邵阳市大祥区蔡锷故里管理局</w:t>
      </w:r>
    </w:p>
    <w:p>
      <w:pPr>
        <w:pStyle w:val="6"/>
        <w:ind w:right="640"/>
        <w:jc w:val="right"/>
        <w:rPr>
          <w:rFonts w:hint="default"/>
          <w:lang w:val="en-US" w:eastAsia="zh-CN"/>
        </w:rPr>
      </w:pPr>
      <w:r>
        <w:rPr>
          <w:rFonts w:hint="eastAsia" w:ascii="Times New Roman" w:hAnsi="Times New Roman" w:eastAsia="仿宋_GB2312" w:cs="Times New Roman"/>
        </w:rPr>
        <w:t>202</w:t>
      </w:r>
      <w:r>
        <w:rPr>
          <w:rFonts w:hint="eastAsia" w:ascii="Times New Roman" w:hAnsi="Times New Roman" w:eastAsia="仿宋_GB2312" w:cs="Times New Roman"/>
          <w:lang w:val="en-US" w:eastAsia="zh-CN"/>
        </w:rPr>
        <w:t>2</w:t>
      </w:r>
      <w:r>
        <w:rPr>
          <w:rFonts w:hint="eastAsia" w:ascii="Times New Roman" w:hAnsi="Times New Roman" w:eastAsia="仿宋_GB2312" w:cs="Times New Roman"/>
        </w:rPr>
        <w:t>年1</w:t>
      </w:r>
      <w:r>
        <w:rPr>
          <w:rFonts w:hint="eastAsia" w:ascii="Times New Roman" w:hAnsi="Times New Roman" w:eastAsia="仿宋_GB2312" w:cs="Times New Roman"/>
          <w:lang w:val="en-US" w:eastAsia="zh-CN"/>
        </w:rPr>
        <w:t>0</w:t>
      </w:r>
      <w:r>
        <w:rPr>
          <w:rFonts w:hint="eastAsia" w:ascii="Times New Roman" w:hAnsi="Times New Roman" w:eastAsia="仿宋_GB2312" w:cs="Times New Roman"/>
        </w:rPr>
        <w:t>月</w:t>
      </w:r>
      <w:r>
        <w:rPr>
          <w:rFonts w:hint="eastAsia" w:ascii="Times New Roman" w:hAnsi="Times New Roman" w:eastAsia="仿宋_GB2312" w:cs="Times New Roman"/>
          <w:lang w:val="en-US" w:eastAsia="zh-CN"/>
        </w:rPr>
        <w:t>08</w:t>
      </w:r>
      <w:r>
        <w:rPr>
          <w:rFonts w:hint="eastAsia" w:ascii="Times New Roman" w:hAnsi="Times New Roman" w:eastAsia="仿宋_GB2312" w:cs="Times New Roma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ZTFmNDM3ZDYyMDg2OWNkYWQ2NDcxN2I3N2NjNzMifQ=="/>
  </w:docVars>
  <w:rsids>
    <w:rsidRoot w:val="00000000"/>
    <w:rsid w:val="009550C7"/>
    <w:rsid w:val="020E5A23"/>
    <w:rsid w:val="0BB87EBE"/>
    <w:rsid w:val="44C350E5"/>
    <w:rsid w:val="564E56F9"/>
    <w:rsid w:val="5F28400E"/>
    <w:rsid w:val="5F3E6336"/>
    <w:rsid w:val="63912832"/>
    <w:rsid w:val="6A386233"/>
    <w:rsid w:val="7790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Indent 2"/>
    <w:basedOn w:val="1"/>
    <w:next w:val="3"/>
    <w:qFormat/>
    <w:uiPriority w:val="0"/>
    <w:pPr>
      <w:spacing w:line="600" w:lineRule="exact"/>
      <w:ind w:firstLine="601"/>
    </w:pPr>
    <w:rPr>
      <w:rFonts w:ascii="仿宋_GB2312" w:eastAsia="仿宋_GB2312"/>
      <w:sz w:val="30"/>
      <w:szCs w:val="30"/>
    </w:rPr>
  </w:style>
  <w:style w:type="paragraph" w:customStyle="1" w:styleId="3">
    <w:name w:val="p0"/>
    <w:next w:val="4"/>
    <w:qFormat/>
    <w:uiPriority w:val="0"/>
    <w:pPr>
      <w:spacing w:line="365" w:lineRule="atLeast"/>
      <w:ind w:left="1"/>
    </w:pPr>
    <w:rPr>
      <w:rFonts w:ascii="Times New Roman" w:hAnsi="Times New Roman" w:eastAsia="宋体" w:cs="Times New Roman"/>
      <w:sz w:val="24"/>
      <w:lang w:val="en-US" w:eastAsia="zh-CN" w:bidi="ar-SA"/>
    </w:rPr>
  </w:style>
  <w:style w:type="paragraph" w:styleId="4">
    <w:name w:val="header"/>
    <w:basedOn w:val="1"/>
    <w:next w:val="1"/>
    <w:semiHidden/>
    <w:qFormat/>
    <w:uiPriority w:val="99"/>
    <w:pPr>
      <w:pBdr>
        <w:bottom w:val="single" w:color="auto" w:sz="6" w:space="1"/>
      </w:pBdr>
      <w:snapToGrid w:val="0"/>
      <w:jc w:val="center"/>
    </w:pPr>
    <w:rPr>
      <w:kern w:val="0"/>
      <w:sz w:val="18"/>
      <w:szCs w:val="18"/>
    </w:rPr>
  </w:style>
  <w:style w:type="paragraph" w:styleId="5">
    <w:name w:val="annotation text"/>
    <w:basedOn w:val="1"/>
    <w:qFormat/>
    <w:uiPriority w:val="0"/>
    <w:pPr>
      <w:jc w:val="left"/>
    </w:pPr>
  </w:style>
  <w:style w:type="paragraph" w:styleId="6">
    <w:name w:val="Body Text"/>
    <w:basedOn w:val="1"/>
    <w:qFormat/>
    <w:uiPriority w:val="1"/>
    <w:rPr>
      <w:rFonts w:ascii="宋体" w:hAnsi="宋体" w:cs="宋体"/>
      <w:sz w:val="32"/>
      <w:szCs w:val="32"/>
    </w:rPr>
  </w:style>
  <w:style w:type="paragraph" w:styleId="7">
    <w:name w:val="Body Text Indent"/>
    <w:basedOn w:val="1"/>
    <w:qFormat/>
    <w:uiPriority w:val="0"/>
    <w:pPr>
      <w:spacing w:after="120"/>
      <w:ind w:left="420" w:leftChars="2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2"/>
    <w:basedOn w:val="7"/>
    <w:qFormat/>
    <w:uiPriority w:val="0"/>
    <w:pPr>
      <w:spacing w:before="100" w:beforeAutospacing="1" w:after="100" w:afterAutospacing="1"/>
      <w:ind w:left="0"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4605</Words>
  <Characters>4898</Characters>
  <Lines>0</Lines>
  <Paragraphs>0</Paragraphs>
  <TotalTime>22</TotalTime>
  <ScaleCrop>false</ScaleCrop>
  <LinksUpToDate>false</LinksUpToDate>
  <CharactersWithSpaces>4903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2022-09-27T01:13:00Z</dcterms:created>
  <dc:creator>刘柏杉</dc:creator>
  <cp:lastModifiedBy>大米粥 </cp:lastModifiedBy>
  <dcterms:modified xsi:type="dcterms:W3CDTF">2022-10-10T02:48:58Z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538F078505EC4017B9C1DC12B13E617C</vt:lpwstr>
  </property>
</Properties>
</file>