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bCs/>
          <w:color w:val="auto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3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36"/>
          <w:sz w:val="44"/>
          <w:szCs w:val="44"/>
        </w:rPr>
        <w:t>关于大祥区2022年财政决算（草案）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color w:val="auto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36"/>
          <w:sz w:val="44"/>
          <w:szCs w:val="44"/>
        </w:rPr>
        <w:t>与2023年上半年财政预算执行报告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36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1"/>
        </w:rPr>
      </w:pPr>
      <w:r>
        <w:rPr>
          <w:rFonts w:hint="eastAsia" w:ascii="仿宋_GB2312" w:eastAsia="仿宋_GB2312"/>
          <w:b w:val="0"/>
          <w:bCs w:val="0"/>
          <w:color w:val="auto"/>
          <w:sz w:val="31"/>
        </w:rPr>
        <w:t>——在邵阳市大祥区第</w:t>
      </w:r>
      <w:r>
        <w:rPr>
          <w:rFonts w:hint="eastAsia" w:ascii="仿宋_GB2312" w:eastAsia="仿宋_GB2312"/>
          <w:b w:val="0"/>
          <w:bCs w:val="0"/>
          <w:color w:val="auto"/>
          <w:sz w:val="31"/>
          <w:lang w:val="en-US" w:eastAsia="zh-CN"/>
        </w:rPr>
        <w:t>六</w:t>
      </w:r>
      <w:r>
        <w:rPr>
          <w:rFonts w:hint="eastAsia" w:ascii="仿宋_GB2312" w:eastAsia="仿宋_GB2312"/>
          <w:b w:val="0"/>
          <w:bCs w:val="0"/>
          <w:color w:val="auto"/>
          <w:sz w:val="31"/>
        </w:rPr>
        <w:t>届人大常委会第</w:t>
      </w:r>
      <w:r>
        <w:rPr>
          <w:rFonts w:hint="eastAsia" w:ascii="仿宋_GB2312" w:eastAsia="仿宋_GB2312"/>
          <w:b w:val="0"/>
          <w:bCs w:val="0"/>
          <w:color w:val="auto"/>
          <w:sz w:val="31"/>
          <w:lang w:val="en-US" w:eastAsia="zh-CN"/>
        </w:rPr>
        <w:t>17</w:t>
      </w:r>
      <w:r>
        <w:rPr>
          <w:rFonts w:hint="eastAsia" w:ascii="仿宋_GB2312" w:eastAsia="仿宋_GB2312"/>
          <w:b w:val="0"/>
          <w:bCs w:val="0"/>
          <w:color w:val="auto"/>
          <w:sz w:val="31"/>
        </w:rPr>
        <w:t>次</w:t>
      </w:r>
      <w:r>
        <w:rPr>
          <w:rFonts w:hint="eastAsia" w:ascii="仿宋_GB2312" w:eastAsia="仿宋_GB2312"/>
          <w:b w:val="0"/>
          <w:bCs w:val="0"/>
          <w:color w:val="auto"/>
          <w:sz w:val="31"/>
          <w:lang w:val="en-US" w:eastAsia="zh-CN"/>
        </w:rPr>
        <w:t>常委</w:t>
      </w:r>
      <w:r>
        <w:rPr>
          <w:rFonts w:hint="eastAsia" w:ascii="仿宋_GB2312" w:eastAsia="仿宋_GB2312"/>
          <w:b w:val="0"/>
          <w:bCs w:val="0"/>
          <w:color w:val="auto"/>
          <w:sz w:val="31"/>
        </w:rPr>
        <w:t>会议上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color w:val="auto"/>
          <w:sz w:val="31"/>
        </w:rPr>
        <w:t>区财政局局长     何晓峰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主任、各位副主任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各位委员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受区人民政府的委托，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我向区六届人大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常委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会报告</w:t>
      </w:r>
      <w:bookmarkStart w:id="1" w:name="_GoBack"/>
      <w:bookmarkEnd w:id="1"/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2022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年财政决算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草案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和区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2023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年上半年财政预算执行情况，请予以审议。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黑体" w:hAnsi="宋体" w:eastAsia="黑体" w:cs="黑体"/>
          <w:color w:val="auto"/>
          <w:kern w:val="0"/>
          <w:sz w:val="32"/>
          <w:szCs w:val="32"/>
          <w:shd w:val="clear" w:color="auto" w:fill="FFFFFF"/>
          <w:lang w:bidi="ar"/>
        </w:rPr>
        <w:t>一、</w:t>
      </w: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FFFFF"/>
          <w:lang w:bidi="ar"/>
        </w:rPr>
        <w:t>2022年财政决算情况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ascii="楷体_GB2312" w:hAnsi="微软雅黑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_GB2312" w:hAnsi="微软雅黑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公共预算财政情况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仿宋_GB2312" w:hAnsi="微软雅黑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1.收入决算：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2022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年，全区完成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地方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公共财政收入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28956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万元，为预算的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89.29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%，同口径（下同）比上年下降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4.9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%。其中：地方公共财政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税收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收入完成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20700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万元，为预算的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91.47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%，比上年下降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2.77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，非税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收入完成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8256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万元，为预算的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84.25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%，比上年下降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9.85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，非税占比为28.51%。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各征收部门地方收入完成情况：区税务局完成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19072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万元，为预算的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90.39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%，比上年下降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2.84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%；市税务二分局完成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2469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万元，为预算的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82.3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%，比上年下降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12.35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%；区财政局完成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7415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万元，为预算的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89.02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%，比上年下降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7.34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outlineLvl w:val="9"/>
        <w:rPr>
          <w:rFonts w:hint="default" w:ascii="仿宋_GB2312" w:hAnsi="微软雅黑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default" w:ascii="仿宋_GB2312" w:hAnsi="微软雅黑" w:eastAsia="仿宋_GB2312" w:cs="仿宋_GB2312"/>
          <w:b/>
          <w:bCs/>
          <w:color w:val="auto"/>
          <w:sz w:val="32"/>
          <w:szCs w:val="32"/>
          <w:shd w:val="clear" w:color="auto" w:fill="FFFFFF"/>
        </w:rPr>
        <w:t>支出决算</w:t>
      </w:r>
      <w:r>
        <w:rPr>
          <w:rFonts w:hint="default"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：</w:t>
      </w:r>
      <w:r>
        <w:rPr>
          <w:rFonts w:ascii="仿宋_GB2312" w:hAnsi="微软雅黑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2022</w:t>
      </w:r>
      <w:r>
        <w:rPr>
          <w:rFonts w:hint="default" w:ascii="仿宋_GB2312" w:hAnsi="微软雅黑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年，全区完成财政总支出</w:t>
      </w:r>
      <w:r>
        <w:rPr>
          <w:rFonts w:ascii="仿宋_GB2312" w:hAnsi="微软雅黑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149092</w:t>
      </w:r>
      <w:r>
        <w:rPr>
          <w:rFonts w:hint="default" w:ascii="仿宋_GB2312" w:hAnsi="微软雅黑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万元，为预算的</w:t>
      </w:r>
      <w:r>
        <w:rPr>
          <w:rFonts w:ascii="仿宋_GB2312" w:hAnsi="微软雅黑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80.54</w:t>
      </w:r>
      <w:r>
        <w:rPr>
          <w:rFonts w:hint="default" w:ascii="仿宋_GB2312" w:hAnsi="微软雅黑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%，比上年</w:t>
      </w:r>
      <w:r>
        <w:rPr>
          <w:rFonts w:ascii="仿宋_GB2312" w:hAnsi="微软雅黑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增长12.98</w:t>
      </w:r>
      <w:r>
        <w:rPr>
          <w:rFonts w:hint="default" w:ascii="仿宋_GB2312" w:hAnsi="微软雅黑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outlineLvl w:val="9"/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详见下表（单位：万元）：</w:t>
      </w:r>
    </w:p>
    <w:tbl>
      <w:tblPr>
        <w:tblStyle w:val="10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1320"/>
        <w:gridCol w:w="1932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tblHeader/>
          <w:jc w:val="center"/>
        </w:trPr>
        <w:tc>
          <w:tcPr>
            <w:tcW w:w="2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hd w:val="clear" w:color="auto" w:fill="FFFFFF"/>
                <w:lang w:bidi="ar"/>
              </w:rPr>
              <w:t>支出项目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hd w:val="clear" w:color="auto" w:fill="FFFFFF"/>
                <w:lang w:bidi="ar"/>
              </w:rPr>
              <w:t>金额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hd w:val="clear" w:color="auto" w:fill="FFFFFF"/>
                <w:lang w:bidi="ar"/>
              </w:rPr>
              <w:t>与上年同期相比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与预算相比完成预算的百分比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一般公共服务支出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33102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5.22%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92.77%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国防支出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262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9.17%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55.86%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公共安全支出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1707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-9.25%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58.96%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教育支出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28890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11.37%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94.20%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科学技术支出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566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132.92%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46.09%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文化体育与传媒支出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1827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186.81%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75.46%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社会保障和就业支出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27392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24.15%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83.64%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卫生健康支出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20501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13.88%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91.75%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节能环保支出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344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-70.09%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6.20%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城乡社区支出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8156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-17.03%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95.04%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农林水支出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13398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12.50%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65.62%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交通运输支出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2239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61.89%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73.99%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资源勘探信息等支出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215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-51.47%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52.31%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商业服务业等支出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383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-46.28%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44.69%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金融支出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-6.25%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57.69%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自然资源海洋气象等支出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296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6.09%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93.67%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住房保障支出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5346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200.00%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51.17%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粮油物资储备支出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143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101.41%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70.79%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灾害防治及应急管理支出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1424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29.93%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89.28%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其他支出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126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260.00%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5.14%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债务付息支出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2760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-1.15%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  <w:t>一般公共预算支出合计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149092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12.98%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80.55%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ascii="楷体_GB2312" w:hAnsi="微软雅黑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微软雅黑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3.决算平衡情况：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全区地方公共财政收入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28956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万元，加上级补助收入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130744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万元，加上级一般债券转贷收入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8780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万元，加上年结余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33504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调入资金966万元，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收入总量为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202950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万元；安排财政公共预算支出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149092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万元，上解支出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12818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万元，债务还本支出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4067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调出资金966万元，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支出总量为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166943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万元；年终结余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36007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万元，全年收支平衡。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ascii="楷体_GB2312" w:hAnsi="微软雅黑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_GB2312" w:hAnsi="微软雅黑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（二）社会保险基金预算执行情况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2022年区本级五项社会保险基金预算收入为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24820.09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万元，执行数为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23884.29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万元，执行比例为 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96.23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%。其中：养老保险基金收入安排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17189.89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万元，实际收入为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17309.64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万元，执行比例为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100.69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%；失业保险基金收入安排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163.2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万元，实际收入为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383.4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万元，执行比例为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234.93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%；医疗保险基金收入安排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3247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万元，实际收入为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3282.61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万元，执行比例为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101.09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%；工伤保险收入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安排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325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万元，实际收入为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325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万元，执行比例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100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%；大病互助收入安排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43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万元，实际收入为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43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万元，执行比例 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100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%；公务员医疗补助收入安排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338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万元，实际收入为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338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万元，执行比例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100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；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职业年金收入安排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3514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万元，实际收入为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2202.64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万元，执行比例为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62.68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2022年支出安排 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23470.92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万元，实际支出为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25190.93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万元，执行比例为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107.33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%。其中：养老保险基金支出安排为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16752.16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万元，实际支出为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18912.29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万元，执行比例为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112.89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%；医疗保险基金支出安排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3247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万元，实际支出为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3282.61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万元，执行比例为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101.09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%；失业保险支出安排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131.76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万元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，实际支出为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156.21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万元，执行比例为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118.56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%；工伤保险支出安排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325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万元，实际支出为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325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万元，执行比例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100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%；大病互助支出安排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43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万元，实际支出为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43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万元，执行比例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100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%；公务员医疗补助支出安排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338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万元，实际支出为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338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万元，执行比例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338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%；职业年金支出安排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2634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万元，实际支出为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2133.82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执行比例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81.01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ascii="楷体_GB2312" w:hAnsi="微软雅黑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微软雅黑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（三）</w:t>
      </w:r>
      <w:r>
        <w:rPr>
          <w:rFonts w:ascii="楷体_GB2312" w:hAnsi="微软雅黑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政府性基金预算执行情况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ascii="楷体_GB2312" w:hAnsi="微软雅黑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2022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年政府性基金上级补助收入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951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万元，上年结余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9170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万元，调入资金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966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万元，专项债务转贷收入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7100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万元，收入合计为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18187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万元，政府性基金支出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12369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万元，基金上解支出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万元，调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出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资金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966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万元，政府性基金结余为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4846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ascii="楷体_GB2312" w:hAnsi="微软雅黑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_GB2312" w:hAnsi="微软雅黑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地方政府性债务情况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3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1、政府债务限额情况。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根据省财政厅报省人民政府核定的政府债务限额情况，2022年末，我区地方政府债务限额为 157693万元，其中一般债务限额95643万元，专项债务限额62050万元。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3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2、政府债务余额情况。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截至2022年底，我区地方政府债务余额157342.17万元，其中：一般债务95292.17万元，专项债务62050万元，严格控制在省政府核定的我区政府债务限额之内。我区地方政府隐性债务余额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6841.05万元，其中：平台公司易地扶贫项目5816.15万元粮食挂账1024.9万元。2022年综合债务率为94%，属于绿色安全区域。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3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3、2022年我区政府债券发行使用情况。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2022年，我区新增地方政府债券15865万元，其中一般债券4700万元，专项债券7100万元，再融资债券4065万元（均为一般债券）用于偿还到期地方政府债券。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3" w:firstLineChars="200"/>
        <w:jc w:val="both"/>
        <w:textAlignment w:val="auto"/>
        <w:rPr>
          <w:rFonts w:ascii="楷体_GB2312" w:hAnsi="微软雅黑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4、政府债务还本付息情况。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2022年，我区政府债务还本付息共计7787万元，其中还本4067万元，付息3720万元。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FFFFF"/>
          <w:lang w:bidi="ar"/>
        </w:rPr>
        <w:t>二、2022年财政主要工作情况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，是财政工作极不寻常、异常艰难的一年。一年来，受新冠疫情多点散发频发、组合式减税降费政策落实、政府债务还本付息等减收增支因素影响，财政形势异常严峻，财政部门坚持以习近平新时代中国特色社会主义思想为指导，发扬斗争精神，聚焦“高质量发展”主题，全面贯彻落实稳中求进的积极财政政策，全力组织财政收入，不断优化支出结构，推进财政体制改革，实现了全区经济社会平稳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1.统筹税费征管，努力做大收入总量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一是加强财政、税务等部门信息互通共享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健全部门协作机制，定期召开财税联席协调会议，通过以数据核税等措施，实现全程监管，财政收入稳中有升。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二是推进税收精细化管理。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围绕对重点行业企业，开展欠税排查、纳税评估、实地调查等专项整治行动，细化征管措施，确保应收尽收。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三是深挖非税收入潜力。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盯住重点费源，全力组织收入。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四是积极跟上级部门沟通对接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向上争取财力性和专项转移支付补助及中央预算内专项资金等，争取专项债券额度7100万元、一般债券额度4700万元，债券额度排名三区前列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切实缓解收入压力。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2.优化支出结构，切实提高保障能力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一是用好直达资金。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截止2022年12月31日，全区中央直达资金分配率100%，支付率99.5%，确保中央特殊转移支付机制落地见效，有效缓解全区“三保”压力。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二是坚持党政机关过“紧日子”。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大力压减非急需、非刚性支出，公用经费压减1792万元，全部用于民生支出。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三是优先保障公共卫生应急处置，统筹做好全区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疫情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防控物资保障工作。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坚持“人民至上、生命至上”原则，投入3900余万元用于隔离管控、核酸检测、流调溯源、疫苗接种、物资采购等防控工作，切实保障群众健康安全。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四是扎实推进乡村振兴。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支持实施农村人居环境整治和改水改厕行动，推进美丽乡村和省级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田园综合体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试点项目建设及农村公路及村内道路的维修。全年拨付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衔接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推进乡村振兴以及乡村振兴专项资金4039余万元，巩固脱贫成果，推进乡村振兴。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五是全面支持文明城市创建。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多方调度推动老旧小区改造、小街小巷维修、排水管网改造、支路修建、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智慧环卫一体化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等重点项目建设。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六是坚持办好人民满意教育。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安排落实教育支出28890万元，教育投入增长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到11.37%。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七是稳步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>提升民生保障标准。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提高各类优抚对象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抚恤和生活补助标准，关爱特殊困难人群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及时足额发放城乡低保、特困救助等补助，保障困难群众基本生活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3.深化财政改革，切实提高财政效能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一是推进预算管理“一体化”改革。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实现预算管理“一体化”全覆盖，实现对全区86家单位会计核算全程监督，全面禁止现金支付等违规行为，切实提高财政资金使用效率。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二是全面推进预算、决算公开。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2022年，除涉密单位外，所有部门和预算单位预决算信息依法主动在政府门户网站公开，并建立统一链接目录，方便公众查询，主动自觉接受社会监督。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三是推进非税收入收缴电子化改革。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全区66家执收单位实现电子化开票，开票金额达到3200余万。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四是全面加强民生资金监管。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开展惠民惠农“一卡通”问题专项治理、预算单位银行账户清理整治、地方财经秩序专项整治行动等。协调推进“互联网+监督”工作，进一步完善民生资金公开目录，实现民生资金全面监督。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五是规范津贴补贴发放。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研究制定津贴补贴实施办法，严格执行国家统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的工资津贴补贴政策，全面清理超标准、超范围发放的各类津贴补贴。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强化财政监督，提高资金使用效益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eastAsia="仿宋_GB2312"/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一是加强财政投资评审管理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。2022年我区财评中心累计接收项目114个，累计送审金额共计33729.8万元，累计审定金额26085.88万元，累计审减投资7643.92万元，平均审减率达22.66%。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二是加强预算绩效管理。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对全区预算单位的绩效运行完成监控和绩效评价，对部门整体支出、政府购买服务项目、政府债务项目等开展财政重点绩效评价，委托会计师事务所对全区信息化建设等5项财政重点绩效开展绩效评价工作，切实提高财政资金使用效益。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三是强化直达资金监管。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对资金下达、分配和使用实行全程动态监控，严格按照时间节点，确保资金直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达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企业和人民群众，全年直达资金分配进度达100%，支出进度达98%。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5、有效防范化解重大风险。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一是严控“</w:t>
      </w:r>
      <w:r>
        <w:rPr>
          <w:rFonts w:ascii="仿宋_GB2312" w:hAnsi="仿宋_GB2312" w:eastAsia="仿宋_GB2312" w:cs="仿宋_GB2312"/>
          <w:b/>
          <w:bCs/>
          <w:color w:val="auto"/>
          <w:szCs w:val="32"/>
        </w:rPr>
        <w:t>三保”风险。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切实兜牢“三保”底线，加强库款监测，统筹资金调度，“三保”资金得到足额保障，全年没</w:t>
      </w:r>
      <w:r>
        <w:rPr>
          <w:rFonts w:ascii="仿宋_GB2312" w:hAnsi="仿宋_GB2312" w:eastAsia="仿宋_GB2312" w:cs="仿宋_GB2312"/>
          <w:color w:val="auto"/>
          <w:szCs w:val="32"/>
        </w:rPr>
        <w:t>有发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生</w:t>
      </w:r>
      <w:r>
        <w:rPr>
          <w:rFonts w:ascii="仿宋_GB2312" w:hAnsi="仿宋_GB2312" w:eastAsia="仿宋_GB2312" w:cs="仿宋_GB2312"/>
          <w:color w:val="auto"/>
          <w:szCs w:val="32"/>
        </w:rPr>
        <w:t>“三保”风险事件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二是加强政府债务管理。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足额安排支付政府债券本息，</w:t>
      </w:r>
      <w:r>
        <w:rPr>
          <w:rFonts w:ascii="仿宋_GB2312" w:hAnsi="仿宋_GB2312" w:eastAsia="仿宋_GB2312" w:cs="仿宋_GB2312"/>
          <w:color w:val="auto"/>
          <w:szCs w:val="32"/>
        </w:rPr>
        <w:t>坚决遏制新增隐性债务</w:t>
      </w:r>
      <w:r>
        <w:rPr>
          <w:rFonts w:hint="eastAsia" w:ascii="仿宋_GB2312" w:hAnsi="仿宋_GB2312" w:eastAsia="仿宋_GB2312" w:cs="仿宋_GB2312"/>
          <w:color w:val="auto"/>
          <w:szCs w:val="32"/>
        </w:rPr>
        <w:t>，健全地方政府债务风险评估和预警机制，利用全口径债务监测平台动态监测我区债务变化情况，全年无债务风险事件发生，根据财政部最新通报，我区债务风险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处在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绿色区间，债务风险安全可控。稳妥做</w:t>
      </w:r>
      <w:r>
        <w:rPr>
          <w:rFonts w:ascii="仿宋_GB2312" w:hAnsi="仿宋_GB2312" w:eastAsia="仿宋_GB2312" w:cs="仿宋_GB2312"/>
          <w:color w:val="auto"/>
          <w:szCs w:val="32"/>
        </w:rPr>
        <w:t>好巡视巡察、审计、财政监督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等</w:t>
      </w:r>
      <w:r>
        <w:rPr>
          <w:rFonts w:ascii="仿宋_GB2312" w:hAnsi="仿宋_GB2312" w:eastAsia="仿宋_GB2312" w:cs="仿宋_GB2312"/>
          <w:color w:val="auto"/>
          <w:szCs w:val="32"/>
        </w:rPr>
        <w:t>债务核查工作。加快平台公司清理转型。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三是积极争取再融资债券。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主动与上级沟通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衔接</w:t>
      </w:r>
      <w:r>
        <w:rPr>
          <w:rFonts w:hint="eastAsia" w:ascii="仿宋_GB2312" w:hAnsi="仿宋_GB2312" w:eastAsia="仿宋_GB2312" w:cs="仿宋_GB2312"/>
          <w:color w:val="auto"/>
          <w:szCs w:val="32"/>
        </w:rPr>
        <w:t>，争取再融资债券4065万元，有效缓解我区债务还本压力。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四是</w:t>
      </w:r>
      <w:r>
        <w:rPr>
          <w:rFonts w:ascii="仿宋_GB2312" w:hAnsi="仿宋_GB2312" w:eastAsia="仿宋_GB2312" w:cs="仿宋_GB2312"/>
          <w:b/>
          <w:bCs/>
          <w:color w:val="auto"/>
          <w:szCs w:val="32"/>
        </w:rPr>
        <w:t>严控库款风险。</w:t>
      </w:r>
      <w:r>
        <w:rPr>
          <w:rFonts w:ascii="仿宋_GB2312" w:hAnsi="仿宋_GB2312" w:eastAsia="仿宋_GB2312" w:cs="仿宋_GB2312"/>
          <w:color w:val="auto"/>
          <w:szCs w:val="32"/>
        </w:rPr>
        <w:t>科学精准调度库款</w:t>
      </w:r>
      <w:r>
        <w:rPr>
          <w:rFonts w:hint="eastAsia" w:ascii="仿宋_GB2312" w:hAnsi="仿宋_GB2312" w:eastAsia="仿宋_GB2312" w:cs="仿宋_GB2312"/>
          <w:color w:val="auto"/>
          <w:szCs w:val="32"/>
        </w:rPr>
        <w:t>，合理调度库款资金，</w:t>
      </w:r>
      <w:r>
        <w:rPr>
          <w:rFonts w:ascii="仿宋_GB2312" w:hAnsi="仿宋_GB2312" w:eastAsia="仿宋_GB2312" w:cs="仿宋_GB2312"/>
          <w:color w:val="auto"/>
          <w:szCs w:val="32"/>
        </w:rPr>
        <w:t>优先保障工资和民生补贴等支出</w:t>
      </w:r>
      <w:r>
        <w:rPr>
          <w:rFonts w:hint="eastAsia" w:ascii="仿宋_GB2312" w:hAnsi="仿宋_GB2312" w:eastAsia="仿宋_GB2312" w:cs="仿宋_GB2312"/>
          <w:color w:val="auto"/>
          <w:szCs w:val="32"/>
        </w:rPr>
        <w:t>，按轻重缓急原则科学安排库款资金支出，确保不因资金问题出现“三保”风险。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党和国家历史上具有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要意义的一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年，党的二十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胜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利召开，为新时代新征程党和国家事业发展，实现第二个百年奋斗目标指明了前进方向、确立了行动指南。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财政积极发挥职能作用，践行使命担当，高质量发展取得新成效，在肯定成绩的同时，我们也清醒看到面临的困难和问题：受经济下行、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两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轮疫情爆发、大规模减税退税等叠加因素影响，财政收入增长提质任重道远，财税增长区域发展不平衡，财政收支矛盾更加突出，政府债务风险仍然严峻。这些问题我们高度重视，将继续深入研究并采取切实有效措施整改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FFFFF"/>
          <w:lang w:bidi="ar"/>
        </w:rPr>
        <w:t>三、2023年上半年财政预算执行情况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ascii="楷体_GB2312" w:hAnsi="微软雅黑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_GB2312" w:hAnsi="微软雅黑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一般公共预算执行情况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仿宋_GB2312" w:hAnsi="微软雅黑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1.收入完成情况：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上半年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，全区完成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地方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公共财政收入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17225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万元，为预算的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51.3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%，同口径（下同）比上年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增长1.53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%。其中：地方公共财政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税收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收入完成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11763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万元，为预算的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49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%，比上年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增长0.34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，非税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收入完成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5462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万元，为预算的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57.04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%，比上年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增长4.18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，非税占比为31.71%。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各征收部门收入完成情况：区税务局完成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11285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万元，为预算的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51.41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%，比上年增长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5.86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%；市税务二分局完成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974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万元，为预算的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32.47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%，比上年下降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35.45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%；区财政局完成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4966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万元，为预算的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57.54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%，比上年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增长3.52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仿宋_GB2312" w:hAnsi="微软雅黑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2.支出情况：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上半年，全区完成公共预算支出（含省市追加支出）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88112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万元，比上年增长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8.29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详见下表（单位：万元）：</w:t>
      </w:r>
    </w:p>
    <w:tbl>
      <w:tblPr>
        <w:tblStyle w:val="10"/>
        <w:tblW w:w="8557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1615"/>
        <w:gridCol w:w="1712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tblHeader/>
        </w:trPr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一般预算支出情况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2023年6月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2022年6月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比上年同比增长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1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一般公共服务支出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14621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18480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-20.88%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国防支出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公共安全支出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1327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670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98.06%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教育支出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16799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16360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科学技术支出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717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287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149.83%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文化体育与传媒支出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637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2727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-76.64%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社会保障和就业支出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16595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14127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17.47%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卫生健康支出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11149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10591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节能环保支出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521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301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73.09%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城乡社区支出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5647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3913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44.31%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农林水支出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8651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6539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32.30%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交通运输支出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849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1384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-38.66%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资源勘探信息等支出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393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120.79%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商业服务业等支出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595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273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117.95%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金融支出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自然资源海洋气象等支出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496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316.81%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住房保障支出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5809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3481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66.88%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粮油物资储备支出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-28.68%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灾害防治及应急管理支出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553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355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55.77%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其他支出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904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8940.00%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债务付息支出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1694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1419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19.38%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1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一般公共预算支出合计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88112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81365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8.29%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仿宋_GB2312" w:hAnsi="微软雅黑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3.预备费资金使用情况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今年年初预算安排预备费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1400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万元，截止6月底共支出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537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万元，占全年总预备费的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38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％。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主要用于受污染耕地安全利用、春节送温暖慰问等支出。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楷体_GB2312" w:hAnsi="微软雅黑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_GB2312" w:hAnsi="微软雅黑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社会保险基金预算执行情况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2023年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区本级五项社会保险基金预算收入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27253.14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1-6月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执行数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16629.02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万元，执行比例为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61.02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%。其中：养老保险基金收入安排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20135.21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1-6月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实际收入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10829.29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万元，执行比例为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53.78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%；医疗保险基金收入安排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3641.93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1-6月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实际收入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2610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万元，执行比例为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71.66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%；工伤保险收入安排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326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100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%；大病互助收入安排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86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万元，执行比例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100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%；公务员医疗补助收入安排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377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万元，执行比例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100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；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职业年金收入安排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2687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1-6月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实际收入为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2400.73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万元，执行比例为 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89.35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2023年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区本级五项社会保险基金支出安排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25393.35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1-6月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实际支出为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15019.76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万元，执行比例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为59.15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%。其中：养老保险基金支出安排为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18762.42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1-6月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实际支出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为9936.45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万元，执行比例为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52.96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%；医疗保险基金支出安排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3641.93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1-6月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实际支出为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2610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万元，执行比例为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71.66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%；工伤保险支出安排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326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万元，执行比例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100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%；大病互助支出安排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86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万元，执行比例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100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%；公务员医疗补助支出安排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377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万元，执行比例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100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%；职业年金支出安排为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2200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万元，实际支出为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1684.31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万元，执行比例为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76.56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%。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FFFFF"/>
          <w:lang w:bidi="ar"/>
        </w:rPr>
        <w:t>四、上半年预算执行主要特点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1.全力以赴增收，实现财政收入稳步增长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始终把组织财政收入作为财政工作的中心任务推进，紧紧围绕区委、区政府确定的收入增长目标，进一步加强财政运行态势分析，细化工作措施，强化工作统筹，加强与组织收入部门密切配合，依法依规征缴税收收入和非税收入，加大重点非税收入项目征缴力度，确保各项收入及时足额入库、应收尽收，全面实现“双过半”目标任务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2.严格支出</w:t>
      </w:r>
      <w:r>
        <w:rPr>
          <w:rFonts w:ascii="楷体_GB2312" w:hAnsi="微软雅黑" w:eastAsia="楷体_GB2312" w:cs="楷体_GB2312"/>
          <w:b/>
          <w:bCs/>
          <w:color w:val="auto"/>
          <w:sz w:val="32"/>
          <w:szCs w:val="32"/>
          <w:shd w:val="clear" w:color="auto" w:fill="FFFFFF"/>
        </w:rPr>
        <w:t>管理，重点支出保障有力。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财政支出按照</w:t>
      </w: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</w:rPr>
        <w:t>“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保工资、保运转、保基本民生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的要求，在确保全区财政供养人员工资和单位正常运转经费情况下，坚持厉行节约，牢固树立过紧日子的思想，严格落实中央八项规定，不断强化预算约束，合理调整支出结构，严控一般性行政开支，通过及时分解下达指标、科学安排支出顺序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统筹资金调度等有效措施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重点保障</w:t>
      </w: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</w:rPr>
        <w:t>“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三保</w:t>
      </w: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</w:rPr>
        <w:t>”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、保障巩固拓展脱贫攻坚成果与乡村振兴的有效衔接工作及民生保障。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ascii="楷体_GB2312" w:hAnsi="微软雅黑" w:eastAsia="楷体_GB2312" w:cs="楷体_GB2312"/>
          <w:b/>
          <w:bCs/>
          <w:color w:val="auto"/>
          <w:sz w:val="32"/>
          <w:szCs w:val="32"/>
          <w:shd w:val="clear" w:color="auto" w:fill="FFFFFF"/>
        </w:rPr>
        <w:t>3.防范化解重大风险力度持续加大。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2023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年上半年，全区县级</w:t>
      </w: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</w:rPr>
        <w:t>“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三保</w:t>
      </w: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</w:rPr>
        <w:t>”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44236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万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元，其中：保工资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26652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万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元、保运转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592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万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元、保基本民生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16992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万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元，与序时进度基本同步，</w:t>
      </w: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</w:rPr>
        <w:t>“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三保</w:t>
      </w: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</w:rPr>
        <w:t>”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支出保障责任得到较好落实。压实部门防范化解债务风险主体责任，牢牢守住不发生系统性风险底线。上半年，全区共争取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债券资金4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5500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万元，其中：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一般债券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4400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专项债券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41100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 xml:space="preserve"> ；债务还本付息3590万元，其中：债务还本1516万元，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债券利息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2074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万元。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宋体" w:eastAsia="黑体" w:cs="黑体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FFFFF"/>
          <w:lang w:bidi="ar"/>
        </w:rPr>
        <w:t>五、存在的主要困难和问题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bookmarkStart w:id="0" w:name="_Hlk45466571"/>
      <w:bookmarkEnd w:id="0"/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上半年财政收支虽实现了“双过半”，但是，我们在看到成绩的同时，也清醒地认识到当前财政运行还面临一些困难和问题，一方面财政收支矛盾突出，受国家减税降费政策影响，我区财政收入减收明显，但“三保”、偿还政府债务等刚性支出持续增长，收支矛盾日益突出，另一方面债券资金支出进度慢，部分项目推进缓慢，导致债券资金迟迟不能支付，不能及时发挥效益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宋体" w:eastAsia="黑体" w:cs="黑体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FFFFF"/>
          <w:lang w:bidi="ar"/>
        </w:rPr>
        <w:t>六、下一阶段工作计划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下半年财政部门将坚决落实积极的财政政策，以新思维、新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状态、新作为，积极主动的适应新的经济形势，助推财政改革稳步推进，财政事业良性发展。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1.加大招商引资，培育重点企业，培植财源。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紧紧围绕区六届人大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三次会议通过的年初收入目标，统筹抓好收入组织工作，对近年引进的优必选、粤水电、大载物流、中科纳米等项目序时推进，积极参与重点项目建设，力争今年的财税收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有较大增长。做到“以月保季，以季保年”。培植财源机制，稳住重点税源，强化对当地重点企业的跟踪服务、政策指导，做到依法征收、应收尽收，努力提高税收收入占财政收入的比重，进一步增加财政收入。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2.加强对上联系，积极争取上级支持。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主动加强与省市的联系和沟通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积极宣传大祥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反映我区实际困难，加大向上争资力度，争取上级财政对我区财政最大限度的支持，积极争取县级基本财力保障补助。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3.优化财政支出结构，严格财政支出管理。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党政机关“过紧日子”。严格按照上级要求，加强对全区预算单位一般性支出项目的压缩管理。在大力压缩一般性支出的同时，加大对全区民生民心建设项目的资金支持，确保全区重点项目重点领域工作的顺利进行。筑牢“三保”底线。树牢“三保优先”理念，确保按照中央和省市有关规定及时足额拨付到位。在“三保”支出足额保障前，不安排其他支出。坚持</w:t>
      </w:r>
      <w:r>
        <w:rPr>
          <w:rFonts w:hint="eastAsia" w:ascii="仿宋_GB2312" w:hAnsi="等线" w:eastAsia="仿宋_GB2312" w:cs="宋体"/>
          <w:color w:val="auto"/>
          <w:sz w:val="32"/>
          <w:szCs w:val="32"/>
        </w:rPr>
        <w:t>民生保障尽力而为、量力而行，</w:t>
      </w:r>
      <w:r>
        <w:rPr>
          <w:rFonts w:hint="eastAsia" w:ascii="仿宋_GB2312" w:eastAsia="仿宋_GB2312" w:cs="Calibri"/>
          <w:color w:val="auto"/>
          <w:sz w:val="32"/>
          <w:szCs w:val="32"/>
        </w:rPr>
        <w:t>民生支出要与财力状况相匹配。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大力度保障和改善民生。支持就业和社会保障政策，推动教育高质量发展，促进文化事业创新发展，提升公共卫生服务保障能力。落实义务教育经费保障机制，促进义务教育优质均衡发展和城乡一体化，保障教育投入“两个只增不减”。持续加大污染防治投入，加强农村人居环境整治。实施乡村振兴战略。支持分类推进高标准农田建设。继续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支持财政资金用于农村公益事业和扶持壮大村级集体经济。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加强财政库款监控。切实做好库款预测分析，加强对国库日常库款余额跟踪，编制一定时期内库款流量预计表，加强财政资金调度，对库款运行情况进行监测督导。加大财政暂存暂付款收回力度。严禁新增财政国库借款，老的借款采取分类清收，该收回的收回、该消化的消化、该调账的调账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>4.强化财政监管，提升管理水平。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充分发挥财政职能，提升管理水平，规范实务操作。一是加强专项资金监管。进一步加大专项资金监管力度，完善项目资金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事前审核、事中监控、事后检查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的机制，确保专项资金安全、规范、高效运行，发挥资金效益最大化。二是加强信息公开监管。持续推进预决算公开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丰富公开内容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严格公开格式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提高预决算公开质量。做到预算编制科学完整、预算执行规范有效、预算监督公开透明。三是加强财务制度监管。加强全区所有预算单位财务内控管理制度建设、会计制度执行情况检查，规范会计实务操作，夯实会计基础工作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ascii="楷体_GB2312" w:hAnsi="微软雅黑" w:eastAsia="楷体_GB2312" w:cs="楷体_GB2312"/>
          <w:b/>
          <w:bCs/>
          <w:color w:val="auto"/>
          <w:sz w:val="32"/>
          <w:szCs w:val="32"/>
          <w:shd w:val="clear" w:color="auto" w:fill="FFFFFF"/>
        </w:rPr>
        <w:t>5.稳步推进财政改革。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一是依法接受各项预算监督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全面推进人大预算联网监督工作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建立人大联网监督意见建议落实机制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实现预算审查监督信息化和网络化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对财政预算收支的执行进度、部门预算执行、重点专项资金执行进度和使用绩效进行重点监督。二是加强财政直达资金管理，确保资金直达使用单位、直接惠企利民。三是深化政府采购制度改革，进一步优化政府采购营商环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楷体_GB2312" w:hAnsi="微软雅黑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6．</w:t>
      </w:r>
      <w:r>
        <w:rPr>
          <w:rFonts w:hint="eastAsia" w:ascii="楷体_GB2312" w:hAnsi="微软雅黑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用好债券资金，防范化解风险</w:t>
      </w:r>
      <w:r>
        <w:rPr>
          <w:rFonts w:ascii="楷体_GB2312" w:hAnsi="微软雅黑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一是防范和化解政府债务风险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严格落实地方政府债务限额管理和预算管理制度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加强政府债务风险预警防控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确保政府债务率在可控绿色范围，在执行年度预算时，优先考虑债务还本付息资金需求。二是严禁违法违规融资担保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坚决遏制隐性债务增加。三是加强债券资金管理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响应上级政策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积极与发改委等相关部门对接谋划项目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</w:rPr>
        <w:t xml:space="preserve"> 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督促项目单位做好项目发行前期筹备工作，债券资金到位后尽快安排拨付。项目单位加快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月份及后批次发行的专项债项目资金支出进度，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尽快发挥效益。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微软雅黑" w:hAnsi="微软雅黑" w:eastAsia="微软雅黑" w:cs="微软雅黑"/>
          <w:color w:val="auto"/>
          <w:sz w:val="27"/>
          <w:szCs w:val="27"/>
        </w:rPr>
      </w:pP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主任、各位副主任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各位委员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，我们将认真执行区委、区政府确定的工作方针，主动接受区人大及其常委会的法律监督和工作监督，扎实做好财政各项工作，确保全年预算任务完成，促进全区经济社会高质量发展。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both"/>
        <w:textAlignment w:val="auto"/>
        <w:rPr>
          <w:color w:val="auto"/>
        </w:rPr>
      </w:pPr>
    </w:p>
    <w:sectPr>
      <w:footerReference r:id="rId3" w:type="default"/>
      <w:pgSz w:w="11906" w:h="16838"/>
      <w:pgMar w:top="2268" w:right="1701" w:bottom="1701" w:left="170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-1323198713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6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17</w:t>
        </w:r>
        <w:r>
          <w:rPr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74F9AB"/>
    <w:multiLevelType w:val="singleLevel"/>
    <w:tmpl w:val="8474F9A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EF2BA9E"/>
    <w:multiLevelType w:val="singleLevel"/>
    <w:tmpl w:val="DEF2BA9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D60E89"/>
    <w:multiLevelType w:val="singleLevel"/>
    <w:tmpl w:val="02D60E8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53ACD28"/>
    <w:multiLevelType w:val="singleLevel"/>
    <w:tmpl w:val="353ACD28"/>
    <w:lvl w:ilvl="0" w:tentative="0">
      <w:start w:val="4"/>
      <w:numFmt w:val="decimal"/>
      <w:suff w:val="nothing"/>
      <w:lvlText w:val="%1、"/>
      <w:lvlJc w:val="left"/>
    </w:lvl>
  </w:abstractNum>
  <w:abstractNum w:abstractNumId="4">
    <w:nsid w:val="7598E32B"/>
    <w:multiLevelType w:val="singleLevel"/>
    <w:tmpl w:val="7598E3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lYjcwNWU0MWFkYzRiMTc1Y2YxZmRjM2NkNGZkMDEifQ=="/>
  </w:docVars>
  <w:rsids>
    <w:rsidRoot w:val="00332162"/>
    <w:rsid w:val="00076024"/>
    <w:rsid w:val="002313FE"/>
    <w:rsid w:val="00332162"/>
    <w:rsid w:val="003B1D06"/>
    <w:rsid w:val="003B6D1C"/>
    <w:rsid w:val="003D09AF"/>
    <w:rsid w:val="00463370"/>
    <w:rsid w:val="005A1B22"/>
    <w:rsid w:val="005B10F8"/>
    <w:rsid w:val="00603559"/>
    <w:rsid w:val="00814409"/>
    <w:rsid w:val="008A4B49"/>
    <w:rsid w:val="008A507C"/>
    <w:rsid w:val="008B4B5E"/>
    <w:rsid w:val="009A7FE1"/>
    <w:rsid w:val="00BB1A72"/>
    <w:rsid w:val="00D15C51"/>
    <w:rsid w:val="00DA3BA6"/>
    <w:rsid w:val="00DF782E"/>
    <w:rsid w:val="00E84F82"/>
    <w:rsid w:val="01015428"/>
    <w:rsid w:val="01DC3359"/>
    <w:rsid w:val="04AD4A77"/>
    <w:rsid w:val="08220622"/>
    <w:rsid w:val="0A916812"/>
    <w:rsid w:val="0B3A6396"/>
    <w:rsid w:val="0E2275B4"/>
    <w:rsid w:val="0E357084"/>
    <w:rsid w:val="154C27A1"/>
    <w:rsid w:val="15B13FB4"/>
    <w:rsid w:val="160850FC"/>
    <w:rsid w:val="1820443C"/>
    <w:rsid w:val="1BAA6F47"/>
    <w:rsid w:val="1E0C1A65"/>
    <w:rsid w:val="23C01EB8"/>
    <w:rsid w:val="25B660EB"/>
    <w:rsid w:val="271833DE"/>
    <w:rsid w:val="289317E2"/>
    <w:rsid w:val="29510A49"/>
    <w:rsid w:val="2E490396"/>
    <w:rsid w:val="2E6171C5"/>
    <w:rsid w:val="2F9C6646"/>
    <w:rsid w:val="356572FF"/>
    <w:rsid w:val="3FF721EC"/>
    <w:rsid w:val="413D4D95"/>
    <w:rsid w:val="417613E5"/>
    <w:rsid w:val="41F56C56"/>
    <w:rsid w:val="447A08AC"/>
    <w:rsid w:val="478101A3"/>
    <w:rsid w:val="47B9F433"/>
    <w:rsid w:val="49E30AE8"/>
    <w:rsid w:val="4DDA0457"/>
    <w:rsid w:val="51D76A16"/>
    <w:rsid w:val="52554278"/>
    <w:rsid w:val="54257C88"/>
    <w:rsid w:val="55745D73"/>
    <w:rsid w:val="558A7AA6"/>
    <w:rsid w:val="55EB659F"/>
    <w:rsid w:val="55FD068E"/>
    <w:rsid w:val="57775DF1"/>
    <w:rsid w:val="5FDA12D7"/>
    <w:rsid w:val="62F66C60"/>
    <w:rsid w:val="65654809"/>
    <w:rsid w:val="672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ind w:firstLine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17</Pages>
  <Words>7231</Words>
  <Characters>8656</Characters>
  <Lines>63</Lines>
  <Paragraphs>17</Paragraphs>
  <TotalTime>16</TotalTime>
  <ScaleCrop>false</ScaleCrop>
  <LinksUpToDate>false</LinksUpToDate>
  <CharactersWithSpaces>8671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2023-07-19T17:43:00Z</dcterms:created>
  <dc:creator>Administrator</dc:creator>
  <cp:lastModifiedBy>彭坚</cp:lastModifiedBy>
  <cp:lastPrinted>2023-08-28T03:43:00Z</cp:lastPrinted>
  <dcterms:modified xsi:type="dcterms:W3CDTF">2023-08-28T05:19:23Z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AE64F1D61BE64834B95D0504DB6DB16F_12</vt:lpwstr>
  </property>
</Properties>
</file>