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b/>
          <w:i w:val="0"/>
          <w:caps w:val="0"/>
          <w:color w:val="333333"/>
          <w:spacing w:val="0"/>
          <w:sz w:val="44"/>
          <w:szCs w:val="44"/>
          <w:shd w:val="clear" w:fill="FFFFFF"/>
          <w:lang w:eastAsia="zh-CN"/>
        </w:rPr>
        <w:t>县审计局</w:t>
      </w:r>
      <w:r>
        <w:rPr>
          <w:rFonts w:hint="eastAsia" w:ascii="宋体" w:hAnsi="宋体" w:eastAsia="宋体" w:cs="宋体"/>
          <w:b/>
          <w:i w:val="0"/>
          <w:caps w:val="0"/>
          <w:color w:val="333333"/>
          <w:spacing w:val="0"/>
          <w:sz w:val="44"/>
          <w:szCs w:val="44"/>
          <w:shd w:val="clear" w:fill="FFFFFF"/>
        </w:rPr>
        <w:t>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政府信息公开工作年度报告，是《中华人民共和国政府信息公开条例》确立的法定监督保障制度，是全面反映政府信息公开工作情况的基本方式，是加强政府信息管理、摸清政府信息底数、从政府信息的角度记录并展现政府施政过程及结果的基础，对于改进政府信息公开工作、加强政府自身建设、推动国家治理体系和治理能力现代化具有重要意义。为切实做好</w:t>
      </w:r>
      <w:r>
        <w:rPr>
          <w:rFonts w:hint="eastAsia" w:ascii="仿宋" w:hAnsi="仿宋" w:eastAsia="仿宋" w:cs="仿宋"/>
          <w:i w:val="0"/>
          <w:caps w:val="0"/>
          <w:color w:val="333333"/>
          <w:spacing w:val="0"/>
          <w:sz w:val="32"/>
          <w:szCs w:val="32"/>
          <w:shd w:val="clear" w:fill="FFFFFF"/>
          <w:lang w:eastAsia="zh-CN"/>
        </w:rPr>
        <w:t>政府</w:t>
      </w:r>
      <w:r>
        <w:rPr>
          <w:rFonts w:hint="eastAsia" w:ascii="仿宋" w:hAnsi="仿宋" w:eastAsia="仿宋" w:cs="仿宋"/>
          <w:i w:val="0"/>
          <w:caps w:val="0"/>
          <w:color w:val="333333"/>
          <w:spacing w:val="0"/>
          <w:sz w:val="32"/>
          <w:szCs w:val="32"/>
          <w:shd w:val="clear" w:fill="FFFFFF"/>
        </w:rPr>
        <w:t>信息公开工作年度报告工作，更好发挥政府信息公开工作年度报告的重要作用，依据《中华人民共和国政府信息公开条例》第五十条的要求及授权，结合</w:t>
      </w:r>
      <w:r>
        <w:rPr>
          <w:rFonts w:hint="eastAsia" w:ascii="仿宋" w:hAnsi="仿宋" w:eastAsia="仿宋" w:cs="仿宋"/>
          <w:i w:val="0"/>
          <w:caps w:val="0"/>
          <w:color w:val="333333"/>
          <w:spacing w:val="0"/>
          <w:sz w:val="32"/>
          <w:szCs w:val="32"/>
          <w:shd w:val="clear" w:fill="FFFFFF"/>
          <w:lang w:eastAsia="zh-CN"/>
        </w:rPr>
        <w:t>审计局</w:t>
      </w:r>
      <w:r>
        <w:rPr>
          <w:rFonts w:hint="eastAsia" w:ascii="仿宋" w:hAnsi="仿宋" w:eastAsia="仿宋" w:cs="仿宋"/>
          <w:i w:val="0"/>
          <w:caps w:val="0"/>
          <w:color w:val="333333"/>
          <w:spacing w:val="0"/>
          <w:sz w:val="32"/>
          <w:szCs w:val="32"/>
          <w:shd w:val="clear" w:fill="FFFFFF"/>
        </w:rPr>
        <w:t>工作实际，制定《</w:t>
      </w:r>
      <w:r>
        <w:rPr>
          <w:rFonts w:hint="eastAsia" w:ascii="仿宋" w:hAnsi="仿宋" w:eastAsia="仿宋" w:cs="仿宋"/>
          <w:i w:val="0"/>
          <w:caps w:val="0"/>
          <w:color w:val="333333"/>
          <w:spacing w:val="0"/>
          <w:sz w:val="32"/>
          <w:szCs w:val="32"/>
          <w:shd w:val="clear" w:fill="FFFFFF"/>
          <w:lang w:eastAsia="zh-CN"/>
        </w:rPr>
        <w:t>城步苗族自治县审计局</w:t>
      </w:r>
      <w:r>
        <w:rPr>
          <w:rFonts w:hint="eastAsia" w:ascii="仿宋" w:hAnsi="仿宋" w:eastAsia="仿宋" w:cs="仿宋"/>
          <w:i w:val="0"/>
          <w:caps w:val="0"/>
          <w:color w:val="333333"/>
          <w:spacing w:val="0"/>
          <w:sz w:val="32"/>
          <w:szCs w:val="32"/>
          <w:shd w:val="clear" w:fill="FFFFFF"/>
        </w:rPr>
        <w:t>信息公开工作年度报告》，并根据情况变化适时更新。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一、报告内容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eastAsia="zh-CN"/>
        </w:rPr>
        <w:t>县审计局</w:t>
      </w:r>
      <w:r>
        <w:rPr>
          <w:rFonts w:hint="eastAsia" w:ascii="仿宋" w:hAnsi="仿宋" w:eastAsia="仿宋" w:cs="仿宋"/>
          <w:i w:val="0"/>
          <w:caps w:val="0"/>
          <w:color w:val="333333"/>
          <w:spacing w:val="0"/>
          <w:sz w:val="32"/>
          <w:szCs w:val="32"/>
          <w:shd w:val="clear" w:fill="FFFFFF"/>
        </w:rPr>
        <w:t>信息公开工作年度报告内容，要严格按照《中华人民共和国政府信息公开条例》第五十条的规定确定，不能遗漏，也不宜泛化。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这一项主要报告本机关上一年度政府信息公开工作总体情况，重在聚焦主题主线，对本机关贯彻落实《中华人民共和国政府信息公开条例》情况进行综述，主要包括主动公开、依申请公开、政府信息管理、平台建设、监督保障（含《中华人民共和国政府信息公开条例》第五十条第四项规定的各级人民政府“工作考核、社会评议和责任追究结果情况”）等方面。</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shd w:val="clear" w:fill="FFFFFF"/>
        </w:rPr>
      </w:pPr>
      <w:r>
        <w:rPr>
          <w:rFonts w:hint="eastAsia" w:ascii="楷体" w:hAnsi="楷体" w:eastAsia="楷体" w:cs="楷体"/>
          <w:i w:val="0"/>
          <w:caps w:val="0"/>
          <w:color w:val="333333"/>
          <w:spacing w:val="0"/>
          <w:sz w:val="32"/>
          <w:szCs w:val="32"/>
          <w:shd w:val="clear" w:fill="FFFFFF"/>
          <w:lang w:eastAsia="zh-CN"/>
        </w:rPr>
        <w:t>县审计局</w:t>
      </w:r>
      <w:r>
        <w:rPr>
          <w:rFonts w:hint="eastAsia" w:ascii="楷体" w:hAnsi="楷体" w:eastAsia="楷体" w:cs="楷体"/>
          <w:i w:val="0"/>
          <w:caps w:val="0"/>
          <w:color w:val="333333"/>
          <w:spacing w:val="0"/>
          <w:sz w:val="32"/>
          <w:szCs w:val="32"/>
          <w:shd w:val="clear" w:fill="FFFFFF"/>
        </w:rPr>
        <w:t>主动公开政府信息情况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这一项主要报告《中华人民共和国政府信息公开条例》第二十条规定的法定主动公开内容中，适宜以数据方式呈现且具备统计汇总价值的内容，包括（一）（五）（六）（八）（九）共五项。其他法定主动公开内容的公开情况，在“总体情况”部分综合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要突出重点，注重用数据反映情况，将人民群众较为关注、对社会影响较大的政府信息主动公开情况进行报告。在此基础上，进一步反映本机关制发文件、开展</w:t>
      </w:r>
      <w:r>
        <w:rPr>
          <w:rFonts w:hint="eastAsia" w:ascii="仿宋" w:hAnsi="仿宋" w:eastAsia="仿宋" w:cs="仿宋"/>
          <w:i w:val="0"/>
          <w:caps w:val="0"/>
          <w:color w:val="333333"/>
          <w:spacing w:val="0"/>
          <w:sz w:val="32"/>
          <w:szCs w:val="32"/>
          <w:shd w:val="clear" w:fill="FFFFFF"/>
          <w:lang w:eastAsia="zh-CN"/>
        </w:rPr>
        <w:t>审计</w:t>
      </w:r>
      <w:r>
        <w:rPr>
          <w:rFonts w:hint="eastAsia" w:ascii="仿宋" w:hAnsi="仿宋" w:eastAsia="仿宋" w:cs="仿宋"/>
          <w:i w:val="0"/>
          <w:caps w:val="0"/>
          <w:color w:val="333333"/>
          <w:spacing w:val="0"/>
          <w:sz w:val="32"/>
          <w:szCs w:val="32"/>
          <w:shd w:val="clear" w:fill="FFFFFF"/>
        </w:rPr>
        <w:t>活动等重要工作开展情况，更好发挥政府信息公开制度功能。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w:t>
      </w:r>
      <w:r>
        <w:rPr>
          <w:rFonts w:hint="eastAsia" w:ascii="楷体" w:hAnsi="楷体" w:eastAsia="楷体" w:cs="楷体"/>
          <w:i w:val="0"/>
          <w:caps w:val="0"/>
          <w:color w:val="333333"/>
          <w:spacing w:val="0"/>
          <w:sz w:val="32"/>
          <w:szCs w:val="32"/>
          <w:shd w:val="clear" w:fill="FFFFFF"/>
          <w:lang w:eastAsia="zh-CN"/>
        </w:rPr>
        <w:t>县审计局</w:t>
      </w:r>
      <w:r>
        <w:rPr>
          <w:rFonts w:hint="eastAsia" w:ascii="楷体" w:hAnsi="楷体" w:eastAsia="楷体" w:cs="楷体"/>
          <w:i w:val="0"/>
          <w:caps w:val="0"/>
          <w:color w:val="333333"/>
          <w:spacing w:val="0"/>
          <w:sz w:val="32"/>
          <w:szCs w:val="32"/>
          <w:shd w:val="clear"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楷体" w:hAnsi="楷体" w:eastAsia="楷体" w:cs="楷体"/>
          <w:i w:val="0"/>
          <w:caps w:val="0"/>
          <w:color w:val="333333"/>
          <w:spacing w:val="0"/>
          <w:sz w:val="32"/>
          <w:szCs w:val="32"/>
          <w:shd w:val="clear" w:fill="FFFFFF"/>
        </w:rPr>
      </w:pPr>
      <w:r>
        <w:rPr>
          <w:rFonts w:hint="eastAsia" w:ascii="楷体" w:hAnsi="楷体" w:eastAsia="楷体" w:cs="楷体"/>
          <w:i w:val="0"/>
          <w:caps w:val="0"/>
          <w:color w:val="333333"/>
          <w:spacing w:val="0"/>
          <w:sz w:val="32"/>
          <w:szCs w:val="32"/>
          <w:shd w:val="clear" w:fill="FFFFFF"/>
          <w:lang w:eastAsia="zh-CN"/>
        </w:rPr>
        <w:t>（四）</w:t>
      </w:r>
      <w:r>
        <w:rPr>
          <w:rFonts w:hint="eastAsia" w:ascii="楷体" w:hAnsi="楷体" w:eastAsia="楷体" w:cs="楷体"/>
          <w:i w:val="0"/>
          <w:caps w:val="0"/>
          <w:color w:val="333333"/>
          <w:spacing w:val="0"/>
          <w:sz w:val="32"/>
          <w:szCs w:val="32"/>
          <w:shd w:val="clear" w:fill="FFFFFF"/>
        </w:rPr>
        <w:t>其他需要报告的事项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这一项主要报告本机关认为需要报告的其他事项，以及其他有关文件专门要求通过政府信息公开工作年度报告予以报告的事项。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二、报告方式及时间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根据《中华人民共和国政府信息公开条例》第四十九条的规定，县级以上人民政府部门应当在每年1月31日前向本级政府信息公开工作主管部门提交本机关上一年度政府信息公开工作年度报告并向社会公布。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eastAsia="zh-CN"/>
        </w:rPr>
        <w:t>本行政机关信息主管部门</w:t>
      </w:r>
      <w:r>
        <w:rPr>
          <w:rFonts w:hint="eastAsia" w:ascii="仿宋" w:hAnsi="仿宋" w:eastAsia="仿宋" w:cs="仿宋"/>
          <w:i w:val="0"/>
          <w:caps w:val="0"/>
          <w:color w:val="333333"/>
          <w:spacing w:val="0"/>
          <w:sz w:val="32"/>
          <w:szCs w:val="32"/>
          <w:shd w:val="clear" w:fill="FFFFFF"/>
        </w:rPr>
        <w:t>应当通过本级政府门户网站的“政府信息公开”专栏，集中向社会公布所属行政机关的政府信息公开工作年度报告，一方面便于公众查阅，另一方面通过这种方式对本行政区域内适用《中华人民共和国政府信息公开条例》的行政机关范围予以明确。在集中公布的基础上，行政机关可自行通过网站或其他适当方式，向社会公布本机关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4" w:firstLineChars="3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（一）提高认识。</w:t>
      </w:r>
      <w:r>
        <w:rPr>
          <w:rFonts w:hint="eastAsia" w:ascii="仿宋" w:hAnsi="仿宋" w:eastAsia="仿宋" w:cs="仿宋"/>
          <w:i w:val="0"/>
          <w:caps w:val="0"/>
          <w:color w:val="333333"/>
          <w:spacing w:val="0"/>
          <w:sz w:val="32"/>
          <w:szCs w:val="32"/>
          <w:shd w:val="clear" w:fill="FFFFFF"/>
        </w:rPr>
        <w:t>政府信息公开工作年度报告，不仅反映政府信息公开工作，也反映政府工作本身，是更好发挥政府信息公开制度功能的重要途径。通过政府信息公开工作年度报告，能够系统反映各行政机关发文数量，以及行政许可、行政处罚、行政强制等重要情况，为国家治理体系和治理能力现代化提供基础数据支撑。要进一步深化对政府信息公开工作年度报告重要作用的认识，切实提高工作主动性、自觉性，不断提升政府信息公开工作年度报告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（二）加强领导。</w:t>
      </w:r>
      <w:r>
        <w:rPr>
          <w:rFonts w:hint="eastAsia" w:ascii="仿宋" w:hAnsi="仿宋" w:eastAsia="仿宋" w:cs="仿宋"/>
          <w:i w:val="0"/>
          <w:caps w:val="0"/>
          <w:color w:val="333333"/>
          <w:spacing w:val="0"/>
          <w:sz w:val="32"/>
          <w:szCs w:val="32"/>
          <w:shd w:val="clear" w:fill="FFFFFF"/>
        </w:rPr>
        <w:t>政府信息公开工作年度报告的内容，涵盖行政机关日常工作诸多方面，是从政府信息公开角度对本机关工作的一次系统梳理和全面报告。要有针对性地加强领导，确保内部协调有力，相关情况和数据做到应报尽报，全面准确。</w:t>
      </w:r>
      <w:r>
        <w:rPr>
          <w:rFonts w:hint="eastAsia" w:ascii="仿宋" w:hAnsi="仿宋" w:eastAsia="仿宋" w:cs="仿宋"/>
          <w:i w:val="0"/>
          <w:caps w:val="0"/>
          <w:color w:val="333333"/>
          <w:spacing w:val="0"/>
          <w:sz w:val="32"/>
          <w:szCs w:val="32"/>
          <w:shd w:val="clear" w:fill="FFFFFF"/>
          <w:lang w:eastAsia="zh-CN"/>
        </w:rPr>
        <w:t>成立县审计局政府信息公开工作领导小组，由分管领导任组长，各股室负责人为成员。要</w:t>
      </w:r>
      <w:r>
        <w:rPr>
          <w:rFonts w:hint="eastAsia" w:ascii="仿宋" w:hAnsi="仿宋" w:eastAsia="仿宋" w:cs="仿宋"/>
          <w:i w:val="0"/>
          <w:caps w:val="0"/>
          <w:color w:val="333333"/>
          <w:spacing w:val="0"/>
          <w:sz w:val="32"/>
          <w:szCs w:val="32"/>
          <w:shd w:val="clear" w:fill="FFFFFF"/>
        </w:rPr>
        <w:t>加强</w:t>
      </w:r>
      <w:r>
        <w:rPr>
          <w:rFonts w:hint="eastAsia" w:ascii="仿宋" w:hAnsi="仿宋" w:eastAsia="仿宋" w:cs="仿宋"/>
          <w:i w:val="0"/>
          <w:caps w:val="0"/>
          <w:color w:val="333333"/>
          <w:spacing w:val="0"/>
          <w:sz w:val="32"/>
          <w:szCs w:val="32"/>
          <w:shd w:val="clear" w:fill="FFFFFF"/>
          <w:lang w:eastAsia="zh-CN"/>
        </w:rPr>
        <w:t>领</w:t>
      </w:r>
      <w:r>
        <w:rPr>
          <w:rFonts w:hint="eastAsia" w:ascii="仿宋" w:hAnsi="仿宋" w:eastAsia="仿宋" w:cs="仿宋"/>
          <w:i w:val="0"/>
          <w:caps w:val="0"/>
          <w:color w:val="333333"/>
          <w:spacing w:val="0"/>
          <w:sz w:val="32"/>
          <w:szCs w:val="32"/>
          <w:shd w:val="clear" w:fill="FFFFFF"/>
        </w:rPr>
        <w:t>导，把政府信息公开工作年度报告编报列入业务培训内容。要充分考虑政府信息公开工作年度报告的专业性，配强工作力量，确保工作质量。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（三）夯实基础。</w:t>
      </w:r>
      <w:r>
        <w:rPr>
          <w:rFonts w:hint="eastAsia" w:ascii="仿宋" w:hAnsi="仿宋" w:eastAsia="仿宋" w:cs="仿宋"/>
          <w:i w:val="0"/>
          <w:caps w:val="0"/>
          <w:color w:val="333333"/>
          <w:spacing w:val="0"/>
          <w:sz w:val="32"/>
          <w:szCs w:val="32"/>
          <w:shd w:val="clear" w:fill="FFFFFF"/>
        </w:rPr>
        <w:t>政府信息公开工作年度报告内容，涵盖</w:t>
      </w:r>
      <w:r>
        <w:rPr>
          <w:rFonts w:hint="eastAsia" w:ascii="仿宋" w:hAnsi="仿宋" w:eastAsia="仿宋" w:cs="仿宋"/>
          <w:i w:val="0"/>
          <w:caps w:val="0"/>
          <w:color w:val="333333"/>
          <w:spacing w:val="0"/>
          <w:sz w:val="32"/>
          <w:szCs w:val="32"/>
          <w:shd w:val="clear" w:fill="FFFFFF"/>
          <w:lang w:eastAsia="zh-CN"/>
        </w:rPr>
        <w:t>本</w:t>
      </w:r>
      <w:r>
        <w:rPr>
          <w:rFonts w:hint="eastAsia" w:ascii="仿宋" w:hAnsi="仿宋" w:eastAsia="仿宋" w:cs="仿宋"/>
          <w:i w:val="0"/>
          <w:caps w:val="0"/>
          <w:color w:val="333333"/>
          <w:spacing w:val="0"/>
          <w:sz w:val="32"/>
          <w:szCs w:val="32"/>
          <w:shd w:val="clear" w:fill="FFFFFF"/>
        </w:rPr>
        <w:t>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政府信息公开工作年度报告所需数据“统得出、报得准、可核查”，更好发挥政府信息公开对于政府工作的监督、规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（四）明确责任。</w:t>
      </w:r>
      <w:r>
        <w:rPr>
          <w:rFonts w:hint="eastAsia" w:ascii="仿宋" w:hAnsi="仿宋" w:eastAsia="仿宋" w:cs="仿宋"/>
          <w:i w:val="0"/>
          <w:caps w:val="0"/>
          <w:color w:val="333333"/>
          <w:spacing w:val="0"/>
          <w:sz w:val="32"/>
          <w:szCs w:val="32"/>
          <w:shd w:val="clear" w:fill="FFFFFF"/>
          <w:lang w:eastAsia="zh-CN"/>
        </w:rPr>
        <w:t>本</w:t>
      </w:r>
      <w:r>
        <w:rPr>
          <w:rFonts w:hint="eastAsia" w:ascii="仿宋" w:hAnsi="仿宋" w:eastAsia="仿宋" w:cs="仿宋"/>
          <w:i w:val="0"/>
          <w:caps w:val="0"/>
          <w:color w:val="333333"/>
          <w:spacing w:val="0"/>
          <w:sz w:val="32"/>
          <w:szCs w:val="32"/>
          <w:shd w:val="clear" w:fill="FFFFFF"/>
        </w:rPr>
        <w:t>行政机关分管政府信息公开工作的领导人员是第一责任人，对政府信息公开工作年度报告承担领导责任。</w:t>
      </w:r>
      <w:r>
        <w:rPr>
          <w:rFonts w:hint="eastAsia" w:ascii="仿宋" w:hAnsi="仿宋" w:eastAsia="仿宋" w:cs="仿宋"/>
          <w:i w:val="0"/>
          <w:caps w:val="0"/>
          <w:color w:val="333333"/>
          <w:spacing w:val="0"/>
          <w:sz w:val="32"/>
          <w:szCs w:val="32"/>
          <w:shd w:val="clear" w:fill="FFFFFF"/>
          <w:lang w:eastAsia="zh-CN"/>
        </w:rPr>
        <w:t>本</w:t>
      </w:r>
      <w:r>
        <w:rPr>
          <w:rFonts w:hint="eastAsia" w:ascii="仿宋" w:hAnsi="仿宋" w:eastAsia="仿宋" w:cs="仿宋"/>
          <w:i w:val="0"/>
          <w:caps w:val="0"/>
          <w:color w:val="333333"/>
          <w:spacing w:val="0"/>
          <w:sz w:val="32"/>
          <w:szCs w:val="32"/>
          <w:shd w:val="clear" w:fill="FFFFFF"/>
        </w:rPr>
        <w:t>机关政府信息公开工作机构是法定责任主体，要履职尽责，高质量编报政府信息公开工作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333333"/>
          <w:spacing w:val="0"/>
          <w:sz w:val="44"/>
          <w:szCs w:val="44"/>
        </w:rPr>
      </w:pPr>
      <w:r>
        <w:rPr>
          <w:rFonts w:hint="eastAsia" w:ascii="黑体" w:hAnsi="黑体" w:eastAsia="黑体" w:cs="黑体"/>
          <w:b/>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caps w:val="0"/>
          <w:color w:val="333333"/>
          <w:spacing w:val="0"/>
          <w:sz w:val="32"/>
          <w:szCs w:val="32"/>
          <w:lang w:eastAsia="zh-CN"/>
        </w:rPr>
      </w:pPr>
      <w:r>
        <w:rPr>
          <w:rFonts w:hint="eastAsia" w:ascii="仿宋" w:hAnsi="仿宋" w:eastAsia="仿宋" w:cs="仿宋"/>
          <w:i w:val="0"/>
          <w:caps w:val="0"/>
          <w:color w:val="333333"/>
          <w:spacing w:val="0"/>
          <w:sz w:val="32"/>
          <w:szCs w:val="32"/>
          <w:shd w:val="clear" w:fill="FFFFFF"/>
          <w:lang w:eastAsia="zh-CN"/>
        </w:rPr>
        <w:t>认真</w:t>
      </w:r>
      <w:r>
        <w:rPr>
          <w:rFonts w:hint="eastAsia" w:ascii="仿宋" w:hAnsi="仿宋" w:eastAsia="仿宋" w:cs="仿宋"/>
          <w:i w:val="0"/>
          <w:caps w:val="0"/>
          <w:color w:val="333333"/>
          <w:spacing w:val="0"/>
          <w:sz w:val="32"/>
          <w:szCs w:val="32"/>
          <w:shd w:val="clear" w:fill="FFFFFF"/>
        </w:rPr>
        <w:t>贯彻落实《中华人民共和国政府信息公开条例》，</w:t>
      </w:r>
      <w:r>
        <w:rPr>
          <w:rFonts w:hint="eastAsia" w:ascii="仿宋" w:hAnsi="仿宋" w:eastAsia="仿宋" w:cs="仿宋"/>
          <w:i w:val="0"/>
          <w:caps w:val="0"/>
          <w:color w:val="333333"/>
          <w:spacing w:val="0"/>
          <w:sz w:val="32"/>
          <w:szCs w:val="32"/>
          <w:shd w:val="clear" w:fill="FFFFFF"/>
          <w:lang w:eastAsia="zh-CN"/>
        </w:rPr>
        <w:t>依照审计局的权力清单和责任清单，</w:t>
      </w:r>
      <w:r>
        <w:rPr>
          <w:rFonts w:hint="eastAsia" w:ascii="仿宋" w:hAnsi="仿宋" w:eastAsia="仿宋" w:cs="仿宋"/>
          <w:i w:val="0"/>
          <w:caps w:val="0"/>
          <w:color w:val="333333"/>
          <w:spacing w:val="0"/>
          <w:sz w:val="32"/>
          <w:szCs w:val="32"/>
          <w:shd w:val="clear" w:fill="FFFFFF"/>
        </w:rPr>
        <w:t>主动公开、依申请公开</w:t>
      </w:r>
      <w:r>
        <w:rPr>
          <w:rFonts w:hint="eastAsia" w:ascii="仿宋" w:hAnsi="仿宋" w:eastAsia="仿宋" w:cs="仿宋"/>
          <w:i w:val="0"/>
          <w:caps w:val="0"/>
          <w:color w:val="333333"/>
          <w:spacing w:val="0"/>
          <w:sz w:val="32"/>
          <w:szCs w:val="32"/>
          <w:shd w:val="clear" w:fill="FFFFFF"/>
          <w:lang w:eastAsia="zh-CN"/>
        </w:rPr>
        <w:t>职权范围内的信息，接受广大人民群众的监督，充分发挥审计监督职能。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二、主动公开政府信息情况</w:t>
      </w:r>
    </w:p>
    <w:tbl>
      <w:tblPr>
        <w:tblStyle w:val="4"/>
        <w:tblW w:w="8140" w:type="dxa"/>
        <w:jc w:val="center"/>
        <w:tblInd w:w="0" w:type="dxa"/>
        <w:shd w:val="clear" w:color="auto" w:fill="auto"/>
        <w:tblLayout w:type="fixed"/>
        <w:tblCellMar>
          <w:top w:w="0" w:type="dxa"/>
          <w:left w:w="0" w:type="dxa"/>
          <w:bottom w:w="0" w:type="dxa"/>
          <w:right w:w="0" w:type="dxa"/>
        </w:tblCellMar>
      </w:tblPr>
      <w:tblGrid>
        <w:gridCol w:w="3113"/>
        <w:gridCol w:w="1875"/>
        <w:gridCol w:w="6"/>
        <w:gridCol w:w="1265"/>
        <w:gridCol w:w="1881"/>
      </w:tblGrid>
      <w:tr>
        <w:tblPrEx>
          <w:shd w:val="clear" w:color="auto" w:fill="auto"/>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本年新</w:t>
            </w:r>
            <w:r>
              <w:rPr>
                <w:rFonts w:hint="eastAsia" w:ascii="仿宋" w:hAnsi="仿宋" w:eastAsia="仿宋" w:cs="仿宋"/>
                <w:color w:val="000000"/>
                <w:kern w:val="0"/>
                <w:sz w:val="32"/>
                <w:szCs w:val="32"/>
                <w:lang w:val="en-US" w:eastAsia="zh-CN" w:bidi="ar"/>
              </w:rPr>
              <w:br w:type="textWrapping"/>
            </w:r>
            <w:r>
              <w:rPr>
                <w:rFonts w:hint="eastAsia" w:ascii="仿宋" w:hAnsi="仿宋" w:eastAsia="仿宋" w:cs="仿宋"/>
                <w:kern w:val="0"/>
                <w:sz w:val="32"/>
                <w:szCs w:val="32"/>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本年新</w:t>
            </w:r>
            <w:r>
              <w:rPr>
                <w:rFonts w:hint="eastAsia" w:ascii="仿宋" w:hAnsi="仿宋" w:eastAsia="仿宋" w:cs="仿宋"/>
                <w:color w:val="000000"/>
                <w:kern w:val="0"/>
                <w:sz w:val="32"/>
                <w:szCs w:val="32"/>
                <w:lang w:val="en-US" w:eastAsia="zh-CN" w:bidi="ar"/>
              </w:rPr>
              <w:br w:type="textWrapping"/>
            </w:r>
            <w:r>
              <w:rPr>
                <w:rFonts w:hint="eastAsia" w:ascii="仿宋" w:hAnsi="仿宋" w:eastAsia="仿宋" w:cs="仿宋"/>
                <w:kern w:val="0"/>
                <w:sz w:val="32"/>
                <w:szCs w:val="32"/>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0 </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三、收到和处理政府信息公开申请情况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0" w:firstLineChars="100"/>
        <w:jc w:val="both"/>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信息更新和跟踪不够及时，今后要加大对信息公开力度。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19" w:leftChars="152" w:right="0" w:firstLine="321" w:firstLineChars="100"/>
        <w:jc w:val="both"/>
        <w:rPr>
          <w:rFonts w:hint="eastAsia" w:ascii="仿宋" w:hAnsi="仿宋" w:eastAsia="仿宋" w:cs="仿宋"/>
          <w:i w:val="0"/>
          <w:caps w:val="0"/>
          <w:color w:val="333333"/>
          <w:spacing w:val="0"/>
          <w:sz w:val="32"/>
          <w:szCs w:val="32"/>
        </w:rPr>
      </w:pPr>
      <w:r>
        <w:rPr>
          <w:rFonts w:hint="eastAsia" w:ascii="仿宋" w:hAnsi="仿宋" w:eastAsia="仿宋" w:cs="仿宋"/>
          <w:b/>
          <w:i w:val="0"/>
          <w:caps w:val="0"/>
          <w:color w:val="333333"/>
          <w:spacing w:val="0"/>
          <w:sz w:val="32"/>
          <w:szCs w:val="32"/>
          <w:shd w:val="clear" w:fill="FFFFFF"/>
        </w:rPr>
        <w:t>六、其他需要报告的事项</w:t>
      </w:r>
    </w:p>
    <w:p>
      <w:pPr>
        <w:ind w:firstLine="640" w:firstLineChars="200"/>
        <w:rPr>
          <w:rFonts w:hint="eastAsia" w:ascii="仿宋" w:hAnsi="仿宋" w:eastAsia="仿宋" w:cs="仿宋"/>
          <w:sz w:val="32"/>
          <w:szCs w:val="32"/>
          <w:lang w:eastAsia="zh-CN"/>
        </w:rPr>
      </w:pPr>
      <w:r>
        <w:rPr>
          <w:rFonts w:hint="eastAsia" w:ascii="仿宋" w:hAnsi="仿宋" w:eastAsia="仿宋" w:cs="仿宋"/>
          <w:i w:val="0"/>
          <w:caps w:val="0"/>
          <w:color w:val="333333"/>
          <w:spacing w:val="0"/>
          <w:sz w:val="32"/>
          <w:szCs w:val="32"/>
          <w:shd w:val="clear"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97E0"/>
    <w:multiLevelType w:val="singleLevel"/>
    <w:tmpl w:val="132397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0DF0"/>
    <w:rsid w:val="00C70D7A"/>
    <w:rsid w:val="07730EE2"/>
    <w:rsid w:val="08961325"/>
    <w:rsid w:val="0C597669"/>
    <w:rsid w:val="10F268C0"/>
    <w:rsid w:val="112A0563"/>
    <w:rsid w:val="113578DA"/>
    <w:rsid w:val="12311DCD"/>
    <w:rsid w:val="14965E40"/>
    <w:rsid w:val="1BC268E9"/>
    <w:rsid w:val="20604AE3"/>
    <w:rsid w:val="222C169B"/>
    <w:rsid w:val="23123027"/>
    <w:rsid w:val="28AF2D26"/>
    <w:rsid w:val="2EF57D1A"/>
    <w:rsid w:val="2F250FC3"/>
    <w:rsid w:val="322558BF"/>
    <w:rsid w:val="35F46179"/>
    <w:rsid w:val="36D8030B"/>
    <w:rsid w:val="38231D19"/>
    <w:rsid w:val="3DBB0DF0"/>
    <w:rsid w:val="3F8D2EA8"/>
    <w:rsid w:val="401B5839"/>
    <w:rsid w:val="41785B7C"/>
    <w:rsid w:val="487F65BF"/>
    <w:rsid w:val="4A1B383D"/>
    <w:rsid w:val="4A8349E5"/>
    <w:rsid w:val="4D9D086E"/>
    <w:rsid w:val="4DEB293B"/>
    <w:rsid w:val="54F84073"/>
    <w:rsid w:val="67C2138D"/>
    <w:rsid w:val="6C0E32E1"/>
    <w:rsid w:val="6EA17FA0"/>
    <w:rsid w:val="6F337BE0"/>
    <w:rsid w:val="6F5C1352"/>
    <w:rsid w:val="70875734"/>
    <w:rsid w:val="70F51D21"/>
    <w:rsid w:val="71D05F0E"/>
    <w:rsid w:val="741869C1"/>
    <w:rsid w:val="762A5C08"/>
    <w:rsid w:val="764A782A"/>
    <w:rsid w:val="77C21B0D"/>
    <w:rsid w:val="7C3A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2020-02-05T02:59:00Z</dcterms:created>
  <dc:creator>干校六记</dc:creator>
  <cp:lastModifiedBy>Administrator</cp:lastModifiedBy>
  <dcterms:modified xsi:type="dcterms:W3CDTF">2020-02-20T06:51:03Z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