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669C">
      <w:pPr>
        <w:pStyle w:val="2"/>
        <w:jc w:val="left"/>
        <w:rPr>
          <w:rFonts w:ascii="方正公文小标宋" w:eastAsia="方正公文小标宋"/>
          <w:b w:val="0"/>
          <w:sz w:val="84"/>
          <w:szCs w:val="84"/>
          <w:lang w:eastAsia="zh-CN"/>
        </w:rPr>
      </w:pPr>
    </w:p>
    <w:p w14:paraId="263D20BE">
      <w:pPr>
        <w:pStyle w:val="2"/>
        <w:jc w:val="left"/>
        <w:rPr>
          <w:rFonts w:ascii="方正公文小标宋" w:eastAsia="方正公文小标宋"/>
          <w:b w:val="0"/>
          <w:sz w:val="84"/>
          <w:szCs w:val="84"/>
          <w:lang w:eastAsia="zh-CN"/>
        </w:rPr>
      </w:pPr>
    </w:p>
    <w:p w14:paraId="2120CAB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湖南省邵阳市城步苗族自治县儒</w:t>
      </w:r>
    </w:p>
    <w:p w14:paraId="7A320BA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林镇人民政府履行职责事项清单</w:t>
      </w:r>
    </w:p>
    <w:p w14:paraId="5877F127">
      <w:pPr>
        <w:rPr>
          <w:rFonts w:ascii="方正公文小标宋" w:eastAsia="方正公文小标宋"/>
          <w:sz w:val="84"/>
          <w:szCs w:val="84"/>
          <w:lang w:eastAsia="zh-CN"/>
        </w:rPr>
      </w:pPr>
    </w:p>
    <w:p w14:paraId="1D8C2CD9">
      <w:pPr>
        <w:rPr>
          <w:rFonts w:ascii="方正公文小标宋" w:eastAsia="方正公文小标宋"/>
          <w:sz w:val="84"/>
          <w:szCs w:val="84"/>
          <w:lang w:eastAsia="zh-CN"/>
        </w:rPr>
      </w:pPr>
    </w:p>
    <w:p w14:paraId="05C3936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7D88B54">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F069DA8">
          <w:pPr>
            <w:pStyle w:val="7"/>
            <w:numPr>
              <w:numId w:val="0"/>
            </w:numPr>
            <w:tabs>
              <w:tab w:val="right" w:leader="dot" w:pos="14001"/>
            </w:tabs>
            <w:ind w:leftChars="0"/>
            <w:rPr>
              <w:rFonts w:hint="eastAsia" w:eastAsia="方正公文仿宋"/>
              <w:lang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rFonts w:cs="Times New Roman"/>
              <w:szCs w:val="32"/>
            </w:rPr>
            <w:fldChar w:fldCharType="begin"/>
          </w:r>
          <w:r>
            <w:rPr>
              <w:rFonts w:cs="Times New Roman"/>
              <w:szCs w:val="32"/>
            </w:rPr>
            <w:instrText xml:space="preserve"> HYPERLINK \l _Toc12489 </w:instrText>
          </w:r>
          <w:r>
            <w:rPr>
              <w:rFonts w:cs="Times New Roman"/>
              <w:szCs w:val="32"/>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rPr>
              <w:rFonts w:cs="Times New Roman"/>
              <w:szCs w:val="32"/>
            </w:rPr>
            <w:fldChar w:fldCharType="end"/>
          </w:r>
          <w:r>
            <w:rPr>
              <w:rFonts w:hint="eastAsia" w:cs="Times New Roman"/>
              <w:szCs w:val="32"/>
              <w:lang w:eastAsia="zh-CN"/>
            </w:rPr>
            <w:t>（第</w:t>
          </w:r>
          <w:r>
            <w:rPr>
              <w:rFonts w:hint="eastAsia" w:cs="Times New Roman"/>
              <w:szCs w:val="32"/>
              <w:lang w:val="en-US" w:eastAsia="zh-CN"/>
            </w:rPr>
            <w:t>1页</w:t>
          </w:r>
          <w:r>
            <w:rPr>
              <w:rFonts w:hint="eastAsia" w:cs="Times New Roman"/>
              <w:szCs w:val="32"/>
              <w:lang w:eastAsia="zh-CN"/>
            </w:rPr>
            <w:t>）</w:t>
          </w:r>
        </w:p>
        <w:p w14:paraId="1C34E5B3">
          <w:pPr>
            <w:pStyle w:val="7"/>
            <w:numPr>
              <w:numId w:val="0"/>
            </w:numPr>
            <w:tabs>
              <w:tab w:val="right" w:leader="dot" w:pos="14001"/>
            </w:tabs>
            <w:ind w:leftChars="0"/>
            <w:rPr>
              <w:rFonts w:hint="eastAsia" w:eastAsia="方正公文仿宋"/>
              <w:lang w:eastAsia="zh-CN"/>
            </w:rPr>
          </w:pPr>
          <w:r>
            <w:rPr>
              <w:rFonts w:hint="eastAsia" w:cs="Times New Roman"/>
              <w:szCs w:val="32"/>
              <w:lang w:val="en-US" w:eastAsia="zh-CN"/>
            </w:rPr>
            <w:t>2.</w:t>
          </w:r>
          <w:r>
            <w:rPr>
              <w:rFonts w:cs="Times New Roman"/>
              <w:szCs w:val="32"/>
            </w:rPr>
            <w:fldChar w:fldCharType="begin"/>
          </w:r>
          <w:r>
            <w:rPr>
              <w:rFonts w:cs="Times New Roman"/>
              <w:szCs w:val="32"/>
            </w:rPr>
            <w:instrText xml:space="preserve"> HYPERLINK \l _Toc30309 </w:instrText>
          </w:r>
          <w:r>
            <w:rPr>
              <w:rFonts w:cs="Times New Roman"/>
              <w:szCs w:val="32"/>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rPr>
              <w:rFonts w:cs="Times New Roman"/>
              <w:szCs w:val="32"/>
            </w:rPr>
            <w:fldChar w:fldCharType="end"/>
          </w:r>
          <w:r>
            <w:rPr>
              <w:rFonts w:hint="eastAsia" w:cs="Times New Roman"/>
              <w:szCs w:val="32"/>
              <w:lang w:eastAsia="zh-CN"/>
            </w:rPr>
            <w:t>（第</w:t>
          </w:r>
          <w:r>
            <w:rPr>
              <w:rFonts w:hint="eastAsia" w:cs="Times New Roman"/>
              <w:szCs w:val="32"/>
              <w:lang w:val="en-US" w:eastAsia="zh-CN"/>
            </w:rPr>
            <w:t>13页</w:t>
          </w:r>
          <w:r>
            <w:rPr>
              <w:rFonts w:hint="eastAsia" w:cs="Times New Roman"/>
              <w:szCs w:val="32"/>
              <w:lang w:eastAsia="zh-CN"/>
            </w:rPr>
            <w:t>）</w:t>
          </w:r>
        </w:p>
        <w:p w14:paraId="692E9FBB">
          <w:pPr>
            <w:pStyle w:val="7"/>
            <w:numPr>
              <w:numId w:val="0"/>
            </w:numPr>
            <w:tabs>
              <w:tab w:val="right" w:leader="dot" w:pos="14001"/>
            </w:tabs>
            <w:ind w:leftChars="0"/>
            <w:rPr>
              <w:rFonts w:hint="eastAsia" w:eastAsia="方正公文仿宋"/>
              <w:lang w:eastAsia="zh-CN"/>
            </w:rPr>
          </w:pPr>
          <w:r>
            <w:rPr>
              <w:rFonts w:hint="eastAsia" w:cs="Times New Roman"/>
              <w:szCs w:val="32"/>
              <w:lang w:val="en-US" w:eastAsia="zh-CN"/>
            </w:rPr>
            <w:t>3.</w:t>
          </w:r>
          <w:r>
            <w:rPr>
              <w:rFonts w:cs="Times New Roman"/>
              <w:szCs w:val="32"/>
            </w:rPr>
            <w:fldChar w:fldCharType="begin"/>
          </w:r>
          <w:r>
            <w:rPr>
              <w:rFonts w:cs="Times New Roman"/>
              <w:szCs w:val="32"/>
            </w:rPr>
            <w:instrText xml:space="preserve"> HYPERLINK \l _Toc7847 </w:instrText>
          </w:r>
          <w:r>
            <w:rPr>
              <w:rFonts w:cs="Times New Roman"/>
              <w:szCs w:val="32"/>
            </w:rPr>
            <w:fldChar w:fldCharType="separate"/>
          </w:r>
          <w:r>
            <w:rPr>
              <w:rFonts w:hint="eastAsia" w:ascii="Times New Roman" w:hAnsi="Times New Roman" w:eastAsia="方正公文小标宋" w:cs="Times New Roman"/>
              <w:lang w:eastAsia="zh-CN"/>
            </w:rPr>
            <w:t>上级部门收回事项清单</w:t>
          </w:r>
          <w:r>
            <w:rPr>
              <w:rFonts w:cs="Times New Roman"/>
              <w:szCs w:val="32"/>
            </w:rPr>
            <w:fldChar w:fldCharType="end"/>
          </w:r>
          <w:r>
            <w:rPr>
              <w:rFonts w:hint="eastAsia" w:cs="Times New Roman"/>
              <w:szCs w:val="32"/>
              <w:lang w:eastAsia="zh-CN"/>
            </w:rPr>
            <w:t>（第</w:t>
          </w:r>
          <w:r>
            <w:rPr>
              <w:rFonts w:hint="eastAsia" w:cs="Times New Roman"/>
              <w:szCs w:val="32"/>
              <w:lang w:val="en-US" w:eastAsia="zh-CN"/>
            </w:rPr>
            <w:t>48页</w:t>
          </w:r>
          <w:r>
            <w:rPr>
              <w:rFonts w:hint="eastAsia" w:cs="Times New Roman"/>
              <w:szCs w:val="32"/>
              <w:lang w:eastAsia="zh-CN"/>
            </w:rPr>
            <w:t>）</w:t>
          </w:r>
        </w:p>
        <w:p w14:paraId="565B595B">
          <w:pPr>
            <w:pStyle w:val="7"/>
            <w:numPr>
              <w:numId w:val="0"/>
            </w:numPr>
            <w:ind w:leftChars="0"/>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cs="Times New Roman"/>
              <w:szCs w:val="32"/>
            </w:rPr>
            <w:fldChar w:fldCharType="end"/>
          </w:r>
        </w:p>
      </w:sdtContent>
    </w:sdt>
    <w:p w14:paraId="572F6D1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248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6A38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7D8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A5B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2364C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F9E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797B7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88D7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CFC4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5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AFC7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E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14:paraId="1A934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14:paraId="446B7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0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0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14:paraId="55760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0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14:paraId="2773A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14:paraId="404B6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14:paraId="109EB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D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0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2518F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F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14:paraId="31479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A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14:paraId="74842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E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负责落实镇党代表任期制，推动党代表履职，做好党代表联络服务工作</w:t>
            </w:r>
          </w:p>
        </w:tc>
      </w:tr>
      <w:tr w14:paraId="6A113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3E62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9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C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14:paraId="5BDDD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3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落实城市居民小区党建工作，按照“组织体系好、骨干队伍好、物业服务好、治理机制好、阵地保障好、环境美化好”的“六好”标准开展“和美小区”建设</w:t>
            </w:r>
          </w:p>
        </w:tc>
      </w:tr>
      <w:tr w14:paraId="354ED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0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14:paraId="75EE9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7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2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14:paraId="611CB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14:paraId="6AF5F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6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14:paraId="72328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C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6FD5C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按要求选举人大代表，组织召开镇人民代表大会，组织人大代表开展视察调研，强化人大代表履职保障和服务工作，征集和办理人大代表建议</w:t>
            </w:r>
          </w:p>
        </w:tc>
      </w:tr>
      <w:tr w14:paraId="0F9A4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7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D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14:paraId="5B081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1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负责镇工会建设，开展职工文化活动、帮扶救助、权益维护、先进典型培育推荐等工作</w:t>
            </w:r>
          </w:p>
        </w:tc>
      </w:tr>
      <w:tr w14:paraId="0D30B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14:paraId="02324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0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14:paraId="2E101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67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F370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4FE82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E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1650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7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6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14:paraId="62B8B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F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71054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7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14:paraId="67F53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F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14:paraId="453A5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14:paraId="07251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1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14:paraId="2E3707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D0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1CAC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2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312AC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6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14:paraId="72B68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8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负责未成年人保护工作，指导村（社区）加强未成年人保护，摸排孤儿、留守儿童、事实无人抚养的儿童，建立信息台账，做好基本生活保障</w:t>
            </w:r>
          </w:p>
        </w:tc>
      </w:tr>
      <w:tr w14:paraId="7C418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D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1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1EC75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14:paraId="79668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0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667AA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B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C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14:paraId="2ECE9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0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14:paraId="057E8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8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8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14:paraId="7CA90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1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14:paraId="747AE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完善便民服务大厅集中服务模式，指导村（社区）为群众普及“一站式”服务流程，提供“一站式”便民服务，履行法律法规规定、上级依法下放的审批服务事项，提供帮办代办服务</w:t>
            </w:r>
          </w:p>
        </w:tc>
      </w:tr>
      <w:tr w14:paraId="7C7005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5A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0F3E3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A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14:paraId="4CB43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F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14:paraId="66B31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6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负责网格划分和调整、网格员设立，落实民情走访、群防群治等网格化服务管理工作，提升群众安全感、满意度</w:t>
            </w:r>
          </w:p>
        </w:tc>
      </w:tr>
      <w:tr w14:paraId="20597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8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0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14:paraId="4ADB6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8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1B6D8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5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建设符合“五室一中心”标准的社区戒毒（康复）一级站</w:t>
            </w:r>
          </w:p>
        </w:tc>
      </w:tr>
      <w:tr w14:paraId="6C26A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1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14:paraId="42BF6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A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14:paraId="0F8A4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5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14:paraId="21D95C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D45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10EC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7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5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14:paraId="7C105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D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健全村（居）民自治制度，负责指导各村（社区）制定村规民约和居民公约，推进移风易俗</w:t>
            </w:r>
          </w:p>
        </w:tc>
      </w:tr>
      <w:tr w14:paraId="63933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14:paraId="04B61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落实易地扶贫搬迁政策，做好集中安置点的日常管理工作</w:t>
            </w:r>
          </w:p>
        </w:tc>
      </w:tr>
      <w:tr w14:paraId="6E110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B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14:paraId="71597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E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14:paraId="7ACA1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8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14:paraId="265F9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14:paraId="23084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F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7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14:paraId="55591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6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E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14:paraId="47493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9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14:paraId="335F6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F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14:paraId="47C1A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F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14:paraId="5C74E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F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14:paraId="5940E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7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14:paraId="0C236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C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负责村集体“三资”监管，指导各村（社区）管理各类资产、资源、资金</w:t>
            </w:r>
          </w:p>
        </w:tc>
      </w:tr>
      <w:tr w14:paraId="5D3D7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8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负责对清溪村古民居、杨家将社区杨氏官厅等传统古民居的巡查保护</w:t>
            </w:r>
          </w:p>
        </w:tc>
      </w:tr>
      <w:tr w14:paraId="224D6D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F88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5F76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F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14:paraId="413721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833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14:paraId="28BB6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F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632B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主动化解矛盾，做好镇职权范围内信访人员疏导教育、帮扶救助、属地稳控和应急劝返等工作</w:t>
            </w:r>
          </w:p>
        </w:tc>
      </w:tr>
      <w:tr w14:paraId="5C6B6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F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1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19DBC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9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8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14:paraId="6655A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14:paraId="43658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6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14:paraId="619147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5CF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284BC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4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89D9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14:paraId="01F14F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879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02B67C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F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14:paraId="0C92C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14:paraId="5E77D4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875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7C0D9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6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2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14:paraId="12BE4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C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14:paraId="11119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14:paraId="61DA7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F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14:paraId="66474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7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F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14:paraId="227703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F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1EDA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7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14:paraId="449A2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14:paraId="54906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7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14:paraId="3AB73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C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2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14:paraId="66C70C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877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64B92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B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429BAC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3F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
旅游（5项）</w:t>
            </w:r>
          </w:p>
        </w:tc>
      </w:tr>
      <w:tr w14:paraId="16923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挖掘推广优秀传统文化，整合儒林老街、儒林书院、东门古巷千户府（吕家巷）、肖氏隐字联等文化旅游资源，完善基础设施，修缮历史古迹</w:t>
            </w:r>
          </w:p>
        </w:tc>
      </w:tr>
      <w:tr w14:paraId="586217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1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14:paraId="2F3E9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7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10732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F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0EF23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14:paraId="7C2A93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6C9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十四、卫生健康（1项）</w:t>
            </w:r>
          </w:p>
        </w:tc>
      </w:tr>
      <w:tr w14:paraId="56AB5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A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14:paraId="73D415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CED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14:paraId="7342D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A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镇防汛风险隐患点清单，组建抢险救援队伍，开展防汛演练，开展隐患排查，做好汛期值班值守、信息报送，转发气象预警，上报洪涝、积水情况，做好受灾群众转移安置、生产生活恢复工作</w:t>
            </w:r>
          </w:p>
        </w:tc>
      </w:tr>
      <w:tr w14:paraId="21299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C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14:paraId="378DA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A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14:paraId="616E5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F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14:paraId="3C45F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5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D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14:paraId="7D2CCA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7B8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2E6FD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4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9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14:paraId="27BD56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464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260D0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负责档案收集、整理、归档、移交工作，监督和指导村（社区）做好档案工作</w:t>
            </w:r>
          </w:p>
        </w:tc>
      </w:tr>
      <w:tr w14:paraId="780F9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5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7F946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6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14:paraId="0F987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7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14:paraId="6D24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14:paraId="31E61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14:paraId="262705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14:paraId="775B6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F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14:paraId="237BBD1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3030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5300" w:type="dxa"/>
        <w:tblInd w:w="-458" w:type="dxa"/>
        <w:tblLayout w:type="fixed"/>
        <w:tblCellMar>
          <w:top w:w="0" w:type="dxa"/>
          <w:left w:w="108" w:type="dxa"/>
          <w:bottom w:w="0" w:type="dxa"/>
          <w:right w:w="108" w:type="dxa"/>
        </w:tblCellMar>
      </w:tblPr>
      <w:tblGrid>
        <w:gridCol w:w="720"/>
        <w:gridCol w:w="1380"/>
        <w:gridCol w:w="1485"/>
        <w:gridCol w:w="6435"/>
        <w:gridCol w:w="5280"/>
      </w:tblGrid>
      <w:tr w14:paraId="52D8E577">
        <w:tblPrEx>
          <w:tblCellMar>
            <w:top w:w="0" w:type="dxa"/>
            <w:left w:w="108" w:type="dxa"/>
            <w:bottom w:w="0" w:type="dxa"/>
            <w:right w:w="108" w:type="dxa"/>
          </w:tblCellMar>
        </w:tblPrEx>
        <w:trPr>
          <w:cantSplit/>
          <w:trHeight w:val="658" w:hRule="atLeas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FA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7A5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5BF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962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05E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26206D4">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210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0ABB5011">
        <w:tblPrEx>
          <w:tblCellMar>
            <w:top w:w="0" w:type="dxa"/>
            <w:left w:w="108" w:type="dxa"/>
            <w:bottom w:w="0" w:type="dxa"/>
            <w:right w:w="108" w:type="dxa"/>
          </w:tblCellMar>
        </w:tblPrEx>
        <w:trPr>
          <w:cantSplit/>
          <w:trHeight w:val="11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6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14:paraId="0597306D">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7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14:paraId="369563E4">
        <w:tblPrEx>
          <w:tblCellMar>
            <w:top w:w="0" w:type="dxa"/>
            <w:left w:w="108" w:type="dxa"/>
            <w:bottom w:w="0" w:type="dxa"/>
            <w:right w:w="108" w:type="dxa"/>
          </w:tblCellMar>
        </w:tblPrEx>
        <w:trPr>
          <w:cantSplit/>
          <w:trHeight w:val="14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A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4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1484D34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6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抓好村(社区)级组织活动场所和基层党组织活动场所建设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14:paraId="02B8AFC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A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5C765523">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9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14:paraId="51DFE25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7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14:paraId="604AA1F4">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F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C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0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6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9E06FA6">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E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0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14:paraId="65946F0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1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3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14:paraId="3818EB83">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6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F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D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14:paraId="3E0910C3">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67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A296AC9">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14:paraId="702B48D0">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3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B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5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1.加强对镇预算执行情况的内部监督，建立健全内部控制制度；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14:paraId="61085E8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1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A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0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14:paraId="7F35699D">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B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14:paraId="7F92C045">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4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9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14:paraId="06052E93">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0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D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5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14:paraId="7C3F7BE2">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3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9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14:paraId="4960587B">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A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配合上级部门做好本镇的经济指标数据统计、分析、监测、上报</w:t>
            </w:r>
          </w:p>
        </w:tc>
      </w:tr>
      <w:tr w14:paraId="251E4F3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1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14:paraId="5AD1C29A">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F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F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14:paraId="3346AB1C">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F2A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3D3EA570">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C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C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负责村（社区）广播的管理和维护</w:t>
            </w:r>
          </w:p>
        </w:tc>
      </w:tr>
      <w:tr w14:paraId="1112DD36">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D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5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F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14:paraId="36783AF6">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D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14:paraId="1C0020A9">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1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（牵头）县民政局、县市场监管局、县住房城乡建设局、县卫生健康局、县公安局、县消防大队</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1.县民政局负责养老服务机构成立审批、登记备案与业务管理等工作；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2.县市场监管局负责养老服务机构食品安全、特种设备安全监管；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3.县住房城乡建设局负责养老服务机构设施工程建设质量安全的监督管理，依法办理养老服务机构申报的养老服务设施建设工程消防设计审查、消防验收和备案；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养老机构内设医疗机构资质审查，以及内设医疗机构中从事医疗护理、康复治疗的专业技术人员资质的管理，加强对养老机构内设医疗机构依法执业医疗，服务质量安全，采购和使用药品、耗材、医疗器械等相关产品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5.县公安局负责查处向老年人欺诈销售各类产品和服务的违法行为；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6.县消防大队负责指导、督促养老服务机构履行消防工作职责，依法依规对养老服务机构消防工作实施监督检查</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7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1.负责辖区内养老服务机构排查摸底及日常巡查;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2.对辖区内养老服务机构开展运营情况监管、安全隐患排查、信息上报，并根据上级部门整改要求，督促机构进行整改</w:t>
            </w:r>
          </w:p>
        </w:tc>
      </w:tr>
      <w:tr w14:paraId="3DCD6B7C">
        <w:tblPrEx>
          <w:tblCellMar>
            <w:top w:w="0" w:type="dxa"/>
            <w:left w:w="108" w:type="dxa"/>
            <w:bottom w:w="0" w:type="dxa"/>
            <w:right w:w="108" w:type="dxa"/>
          </w:tblCellMar>
        </w:tblPrEx>
        <w:trPr>
          <w:cantSplit/>
          <w:trHeight w:val="14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E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5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14:paraId="3B349E58">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14:paraId="1CF562C9">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3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2.综合协调、指导本镇社会组织做好有关事项的服务管理工作；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14:paraId="5F3680F9">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4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E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3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14:paraId="4FA5E485">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E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9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14:paraId="4064A7AB">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A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7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14:paraId="3F835836">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E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E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9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14:paraId="733DB9B5">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9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F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A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3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14:paraId="560FBB71">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5FD9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08E2406">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3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0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14:paraId="4AD0BD41">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0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B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14:paraId="440C4E17">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14:paraId="0F431E95">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14:paraId="78E3EFAF">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8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（牵头）县教育局、县公安局、县交通运输局、县应急管理局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1.教育部门负责与公安交警、交通、应急等部门联合勘查核定校车运行线路；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2.教育部门负责组织学校开展交通安全教育和校车安全事故应急处置演练，督促学校落实学生上下学交通安全组织管理制度，依据《校车安全管理条例》及省、市有关规定受理校车准入审批；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3.对违反《校车安全管理条例》规定的学校，依照有关规定予以处罚及通报批评</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协助校车管理、禁止违规农用车载学生整治</w:t>
            </w:r>
          </w:p>
        </w:tc>
      </w:tr>
      <w:tr w14:paraId="5137DB40">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305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3B93D6B">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C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14:paraId="1A97F53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1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14:paraId="09E15F3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1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14:paraId="1C6C6FA4">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D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4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8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14:paraId="6EC466D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A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14:paraId="43FAF538">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0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14:paraId="028585E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0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D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65AAFFB3">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4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2D25FF1F">
        <w:tblPrEx>
          <w:tblCellMar>
            <w:top w:w="0" w:type="dxa"/>
            <w:left w:w="108" w:type="dxa"/>
            <w:bottom w:w="0" w:type="dxa"/>
            <w:right w:w="108" w:type="dxa"/>
          </w:tblCellMar>
        </w:tblPrEx>
        <w:trPr>
          <w:cantSplit/>
          <w:trHeight w:val="39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3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14:paraId="5607845B">
        <w:tblPrEx>
          <w:tblCellMar>
            <w:top w:w="0" w:type="dxa"/>
            <w:left w:w="108" w:type="dxa"/>
            <w:bottom w:w="0" w:type="dxa"/>
            <w:right w:w="108" w:type="dxa"/>
          </w:tblCellMar>
        </w:tblPrEx>
        <w:trPr>
          <w:cantSplit/>
          <w:trHeight w:val="20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D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14:paraId="0B017A2A">
        <w:tblPrEx>
          <w:tblCellMar>
            <w:top w:w="0" w:type="dxa"/>
            <w:left w:w="108" w:type="dxa"/>
            <w:bottom w:w="0" w:type="dxa"/>
            <w:right w:w="108" w:type="dxa"/>
          </w:tblCellMar>
        </w:tblPrEx>
        <w:trPr>
          <w:cantSplit/>
          <w:trHeight w:val="20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2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14:paraId="3019ED8D">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E5F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5DF170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D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7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14:paraId="5363E65A">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84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七、社会管理（8项）</w:t>
            </w:r>
          </w:p>
        </w:tc>
      </w:tr>
      <w:tr w14:paraId="7F628AED">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9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14:paraId="5D0C8AC2">
        <w:tblPrEx>
          <w:tblCellMar>
            <w:top w:w="0" w:type="dxa"/>
            <w:left w:w="108" w:type="dxa"/>
            <w:bottom w:w="0" w:type="dxa"/>
            <w:right w:w="108" w:type="dxa"/>
          </w:tblCellMar>
        </w:tblPrEx>
        <w:trPr>
          <w:cantSplit/>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B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A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14:paraId="5E19E946">
        <w:tblPrEx>
          <w:tblCellMar>
            <w:top w:w="0" w:type="dxa"/>
            <w:left w:w="108" w:type="dxa"/>
            <w:bottom w:w="0" w:type="dxa"/>
            <w:right w:w="108" w:type="dxa"/>
          </w:tblCellMar>
        </w:tblPrEx>
        <w:trPr>
          <w:cantSplit/>
          <w:trHeight w:val="10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F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F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8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14:paraId="64002707">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0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B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B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9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14:paraId="7558FA7D">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D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7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B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tr w14:paraId="4BC707FB">
        <w:tblPrEx>
          <w:tblCellMar>
            <w:top w:w="0" w:type="dxa"/>
            <w:left w:w="108" w:type="dxa"/>
            <w:bottom w:w="0" w:type="dxa"/>
            <w:right w:w="108" w:type="dxa"/>
          </w:tblCellMar>
        </w:tblPrEx>
        <w:trPr>
          <w:cantSplit/>
          <w:trHeight w:val="11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1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由镇人民政府对生态护林员进行聘用和统一管理</w:t>
            </w:r>
          </w:p>
        </w:tc>
      </w:tr>
      <w:tr w14:paraId="5885F492">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9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14:paraId="52A2A262">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1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5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2.巡查辖区内学校、其他教育机构办学情况；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4.摸排辖区内幼儿园、托育早教、机构从事托育早教、安全措施落实情况;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1.开展本镇校内外培训市场的巡查;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0AA812C8">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29D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B3C88C8">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B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D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14:paraId="575FE9EC">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4EE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30C702E0">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F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5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14:paraId="66F1BCB4">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6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14:paraId="6BC34FCD">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0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C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0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14:paraId="31A1D8F1">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5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E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D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61117484">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7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2.负责本镇城乡两险征收服务工作</w:t>
            </w:r>
          </w:p>
        </w:tc>
      </w:tr>
      <w:tr w14:paraId="74DA72CF">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6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14:paraId="5D5CBF7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5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4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F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14:paraId="4BB74488">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F55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537B76AF">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F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0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D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14:paraId="3D903308">
        <w:tblPrEx>
          <w:tblCellMar>
            <w:top w:w="0" w:type="dxa"/>
            <w:left w:w="108" w:type="dxa"/>
            <w:bottom w:w="0" w:type="dxa"/>
            <w:right w:w="108" w:type="dxa"/>
          </w:tblCellMar>
        </w:tblPrEx>
        <w:trPr>
          <w:cantSplit/>
          <w:trHeight w:val="47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5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8.负责本镇内恢复耕地的日常监管，防止非法占用耕地、破坏耕地等行为的发生</w:t>
            </w:r>
          </w:p>
        </w:tc>
      </w:tr>
      <w:tr w14:paraId="75D218C1">
        <w:tblPrEx>
          <w:tblCellMar>
            <w:top w:w="0" w:type="dxa"/>
            <w:left w:w="108" w:type="dxa"/>
            <w:bottom w:w="0" w:type="dxa"/>
            <w:right w:w="108" w:type="dxa"/>
          </w:tblCellMar>
        </w:tblPrEx>
        <w:trPr>
          <w:cantSplit/>
          <w:trHeight w:val="29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0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C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2.需提供本镇内土地资源的相关信息，协助确定可用于补充耕地的地块；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4.负责本镇内补充耕地的日常监管，防止非法占用耕地、破坏耕地等行为的发生</w:t>
            </w:r>
          </w:p>
        </w:tc>
      </w:tr>
      <w:tr w14:paraId="1C4C81C7">
        <w:tblPrEx>
          <w:tblCellMar>
            <w:top w:w="0" w:type="dxa"/>
            <w:left w:w="108" w:type="dxa"/>
            <w:bottom w:w="0" w:type="dxa"/>
            <w:right w:w="108" w:type="dxa"/>
          </w:tblCellMar>
        </w:tblPrEx>
        <w:trPr>
          <w:cantSplit/>
          <w:trHeight w:val="28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5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E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14:paraId="5F62C85C">
        <w:tblPrEx>
          <w:tblCellMar>
            <w:top w:w="0" w:type="dxa"/>
            <w:left w:w="108" w:type="dxa"/>
            <w:bottom w:w="0" w:type="dxa"/>
            <w:right w:w="108" w:type="dxa"/>
          </w:tblCellMar>
        </w:tblPrEx>
        <w:trPr>
          <w:cantSplit/>
          <w:trHeight w:val="24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0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14:paraId="08C3F5B6">
        <w:tblPrEx>
          <w:tblCellMar>
            <w:top w:w="0" w:type="dxa"/>
            <w:left w:w="108" w:type="dxa"/>
            <w:bottom w:w="0" w:type="dxa"/>
            <w:right w:w="108" w:type="dxa"/>
          </w:tblCellMar>
        </w:tblPrEx>
        <w:trPr>
          <w:cantSplit/>
          <w:trHeight w:val="2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E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3.组织村级参与管护；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14:paraId="527A7E77">
        <w:tblPrEx>
          <w:tblCellMar>
            <w:top w:w="0" w:type="dxa"/>
            <w:left w:w="108" w:type="dxa"/>
            <w:bottom w:w="0" w:type="dxa"/>
            <w:right w:w="108" w:type="dxa"/>
          </w:tblCellMar>
        </w:tblPrEx>
        <w:trPr>
          <w:cantSplit/>
          <w:trHeight w:val="78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F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1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7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14:paraId="01F115CD">
        <w:tblPrEx>
          <w:tblCellMar>
            <w:top w:w="0" w:type="dxa"/>
            <w:left w:w="108" w:type="dxa"/>
            <w:bottom w:w="0" w:type="dxa"/>
            <w:right w:w="108" w:type="dxa"/>
          </w:tblCellMar>
        </w:tblPrEx>
        <w:trPr>
          <w:cantSplit/>
          <w:trHeight w:val="45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9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5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14:paraId="4EF610B1">
        <w:tblPrEx>
          <w:tblCellMar>
            <w:top w:w="0" w:type="dxa"/>
            <w:left w:w="108" w:type="dxa"/>
            <w:bottom w:w="0" w:type="dxa"/>
            <w:right w:w="108" w:type="dxa"/>
          </w:tblCellMar>
        </w:tblPrEx>
        <w:trPr>
          <w:cantSplit/>
          <w:trHeight w:val="34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4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4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D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3D620C1B">
        <w:tblPrEx>
          <w:tblCellMar>
            <w:top w:w="0" w:type="dxa"/>
            <w:left w:w="108" w:type="dxa"/>
            <w:bottom w:w="0" w:type="dxa"/>
            <w:right w:w="108" w:type="dxa"/>
          </w:tblCellMar>
        </w:tblPrEx>
        <w:trPr>
          <w:cantSplit/>
          <w:trHeight w:val="26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7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7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7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2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14:paraId="5C472A88">
        <w:tblPrEx>
          <w:tblCellMar>
            <w:top w:w="0" w:type="dxa"/>
            <w:left w:w="108" w:type="dxa"/>
            <w:bottom w:w="0" w:type="dxa"/>
            <w:right w:w="108" w:type="dxa"/>
          </w:tblCellMar>
        </w:tblPrEx>
        <w:trPr>
          <w:cantSplit/>
          <w:trHeight w:val="16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7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F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14:paraId="103D2783">
        <w:tblPrEx>
          <w:tblCellMar>
            <w:top w:w="0" w:type="dxa"/>
            <w:left w:w="108" w:type="dxa"/>
            <w:bottom w:w="0" w:type="dxa"/>
            <w:right w:w="108" w:type="dxa"/>
          </w:tblCellMar>
        </w:tblPrEx>
        <w:trPr>
          <w:cantSplit/>
          <w:trHeight w:val="3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F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D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14:paraId="0701A271">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53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十一、生态环保（7项）</w:t>
            </w:r>
          </w:p>
        </w:tc>
      </w:tr>
      <w:tr w14:paraId="79590C35">
        <w:tblPrEx>
          <w:tblCellMar>
            <w:top w:w="0" w:type="dxa"/>
            <w:left w:w="108" w:type="dxa"/>
            <w:bottom w:w="0" w:type="dxa"/>
            <w:right w:w="108" w:type="dxa"/>
          </w:tblCellMar>
        </w:tblPrEx>
        <w:trPr>
          <w:cantSplit/>
          <w:trHeight w:val="24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4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1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1.协助做好本镇的畜禽养殖污染防治工作；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14:paraId="5F8A3B24">
        <w:tblPrEx>
          <w:tblCellMar>
            <w:top w:w="0" w:type="dxa"/>
            <w:left w:w="108" w:type="dxa"/>
            <w:bottom w:w="0" w:type="dxa"/>
            <w:right w:w="108" w:type="dxa"/>
          </w:tblCellMar>
        </w:tblPrEx>
        <w:trPr>
          <w:cantSplit/>
          <w:trHeight w:val="27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1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6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14:paraId="1ECA4836">
        <w:tblPrEx>
          <w:tblCellMar>
            <w:top w:w="0" w:type="dxa"/>
            <w:left w:w="108" w:type="dxa"/>
            <w:bottom w:w="0" w:type="dxa"/>
            <w:right w:w="108" w:type="dxa"/>
          </w:tblCellMar>
        </w:tblPrEx>
        <w:trPr>
          <w:cantSplit/>
          <w:trHeight w:val="24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E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7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4BA6B377">
        <w:tblPrEx>
          <w:tblCellMar>
            <w:top w:w="0" w:type="dxa"/>
            <w:left w:w="108" w:type="dxa"/>
            <w:bottom w:w="0" w:type="dxa"/>
            <w:right w:w="108" w:type="dxa"/>
          </w:tblCellMar>
        </w:tblPrEx>
        <w:trPr>
          <w:cantSplit/>
          <w:trHeight w:val="36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0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1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89F871E">
        <w:tblPrEx>
          <w:tblCellMar>
            <w:top w:w="0" w:type="dxa"/>
            <w:left w:w="108" w:type="dxa"/>
            <w:bottom w:w="0" w:type="dxa"/>
            <w:right w:w="108" w:type="dxa"/>
          </w:tblCellMar>
        </w:tblPrEx>
        <w:trPr>
          <w:cantSplit/>
          <w:trHeight w:val="21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A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5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370A3474">
        <w:tblPrEx>
          <w:tblCellMar>
            <w:top w:w="0" w:type="dxa"/>
            <w:left w:w="108" w:type="dxa"/>
            <w:bottom w:w="0" w:type="dxa"/>
            <w:right w:w="108" w:type="dxa"/>
          </w:tblCellMar>
        </w:tblPrEx>
        <w:trPr>
          <w:cantSplit/>
          <w:trHeight w:val="21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0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4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6C874F15">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E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做好南山国家公园生态保护工作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（牵头）湖南南山国家公园管理局、县自然资源局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5.配合加强国家公园保护管理、法规政策等工作的宣传教育，增强公众的责任意识和保护意识</w:t>
            </w:r>
          </w:p>
        </w:tc>
      </w:tr>
      <w:tr w14:paraId="1EF83ECC">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F37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14:paraId="07D52EB3">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9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3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14:paraId="37733F9F">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B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D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066C4C09">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2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14:paraId="5F7BA3F0">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1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C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A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14:paraId="6CA41435">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6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开展城市危旧房屋摸底调查及管理工作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1.配备城市危旧房屋摸底调查专业技术员；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2.对摸底调查数据及信息抽核；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3.委托、组织第三方公司开展房屋安全鉴定；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4.管控及治理存在安全隐患房屋</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4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1.配合城市危旧房屋摸底调查及信息录入；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2.配合劝离存在安全隐患房屋居住人员</w:t>
            </w:r>
          </w:p>
        </w:tc>
      </w:tr>
      <w:tr w14:paraId="6F2D62B6">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E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0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8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14:paraId="458B8D23">
        <w:tblPrEx>
          <w:tblCellMar>
            <w:top w:w="0" w:type="dxa"/>
            <w:left w:w="108" w:type="dxa"/>
            <w:bottom w:w="0" w:type="dxa"/>
            <w:right w:w="108" w:type="dxa"/>
          </w:tblCellMar>
        </w:tblPrEx>
        <w:trPr>
          <w:cantSplit/>
          <w:trHeight w:val="50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5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14:paraId="258EDC9B">
        <w:tblPrEx>
          <w:tblCellMar>
            <w:top w:w="0" w:type="dxa"/>
            <w:left w:w="108" w:type="dxa"/>
            <w:bottom w:w="0" w:type="dxa"/>
            <w:right w:w="108" w:type="dxa"/>
          </w:tblCellMar>
        </w:tblPrEx>
        <w:trPr>
          <w:cantSplit/>
          <w:trHeight w:val="28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1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6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14:paraId="4C66C118">
        <w:tblPrEx>
          <w:tblCellMar>
            <w:top w:w="0" w:type="dxa"/>
            <w:left w:w="108" w:type="dxa"/>
            <w:bottom w:w="0" w:type="dxa"/>
            <w:right w:w="108" w:type="dxa"/>
          </w:tblCellMar>
        </w:tblPrEx>
        <w:trPr>
          <w:cantSplit/>
          <w:trHeight w:val="2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F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D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14:paraId="28D7E373">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E33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F6ACA09">
        <w:tblPrEx>
          <w:tblCellMar>
            <w:top w:w="0" w:type="dxa"/>
            <w:left w:w="108" w:type="dxa"/>
            <w:bottom w:w="0" w:type="dxa"/>
            <w:right w:w="108" w:type="dxa"/>
          </w:tblCellMar>
        </w:tblPrEx>
        <w:trPr>
          <w:cantSplit/>
          <w:trHeight w:val="29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6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14:paraId="37C5F3B9">
        <w:tblPrEx>
          <w:tblCellMar>
            <w:top w:w="0" w:type="dxa"/>
            <w:left w:w="108" w:type="dxa"/>
            <w:bottom w:w="0" w:type="dxa"/>
            <w:right w:w="108" w:type="dxa"/>
          </w:tblCellMar>
        </w:tblPrEx>
        <w:trPr>
          <w:cantSplit/>
          <w:trHeight w:val="2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2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7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14:paraId="625AB038">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E9A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0009953E">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9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C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0FA7DA8F">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4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9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D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14:paraId="538B15F3">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F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C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14:paraId="1C447EF0">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C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E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14:paraId="13D424C1">
        <w:tblPrEx>
          <w:tblCellMar>
            <w:top w:w="0" w:type="dxa"/>
            <w:left w:w="108" w:type="dxa"/>
            <w:bottom w:w="0" w:type="dxa"/>
            <w:right w:w="108" w:type="dxa"/>
          </w:tblCellMar>
        </w:tblPrEx>
        <w:trPr>
          <w:cantSplit/>
          <w:trHeight w:val="2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3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1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0FAAC104">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B10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0C11F35E">
        <w:tblPrEx>
          <w:tblCellMar>
            <w:top w:w="0" w:type="dxa"/>
            <w:left w:w="108" w:type="dxa"/>
            <w:bottom w:w="0" w:type="dxa"/>
            <w:right w:w="108" w:type="dxa"/>
          </w:tblCellMar>
        </w:tblPrEx>
        <w:trPr>
          <w:cantSplit/>
          <w:trHeight w:val="31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B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3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14:paraId="4826430F">
        <w:tblPrEx>
          <w:tblCellMar>
            <w:top w:w="0" w:type="dxa"/>
            <w:left w:w="108" w:type="dxa"/>
            <w:bottom w:w="0" w:type="dxa"/>
            <w:right w:w="108" w:type="dxa"/>
          </w:tblCellMar>
        </w:tblPrEx>
        <w:trPr>
          <w:cantSplit/>
          <w:trHeight w:val="22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A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59BAF9D">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A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4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14:paraId="6480F8F8">
        <w:tblPrEx>
          <w:tblCellMar>
            <w:top w:w="0" w:type="dxa"/>
            <w:left w:w="108" w:type="dxa"/>
            <w:bottom w:w="0" w:type="dxa"/>
            <w:right w:w="108" w:type="dxa"/>
          </w:tblCellMar>
        </w:tblPrEx>
        <w:trPr>
          <w:cantSplit/>
          <w:trHeight w:val="34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9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D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9902FB2">
        <w:tblPrEx>
          <w:tblCellMar>
            <w:top w:w="0" w:type="dxa"/>
            <w:left w:w="108" w:type="dxa"/>
            <w:bottom w:w="0" w:type="dxa"/>
            <w:right w:w="108" w:type="dxa"/>
          </w:tblCellMar>
        </w:tblPrEx>
        <w:trPr>
          <w:cantSplit/>
          <w:trHeight w:val="2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A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1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5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14:paraId="50996AA4">
        <w:tblPrEx>
          <w:tblCellMar>
            <w:top w:w="0" w:type="dxa"/>
            <w:left w:w="108" w:type="dxa"/>
            <w:bottom w:w="0" w:type="dxa"/>
            <w:right w:w="108" w:type="dxa"/>
          </w:tblCellMar>
        </w:tblPrEx>
        <w:trPr>
          <w:cantSplit/>
          <w:trHeight w:val="80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A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7CC703C">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E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6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3D747EFB">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F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2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0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7C08941B">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E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C520DE9">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A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开展电动车入户、飞线充电隐患整治工作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（牵头）县住房和城乡建设局、县消防救援大队、县公安局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1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1.住建部门督促物业服务企业按照物业合同约定履行物业管理职责；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2.消防救援部门对在高层民用建筑的公共门厅、疏散走道、楼梯间、安全出口停放电动自行车或存在电动自行车充电行为，拒不改正的进行处罚；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3.公安部门依据权限对电动车入户、飞线充电等行为进行处置</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1.督促网格员、物业服务企业开展电动车入户、飞线充电隐患排查，对隐患行为人进行劝解，对拒不改正的上报主管部门；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2.协助相关单位开展联合执法</w:t>
            </w:r>
          </w:p>
        </w:tc>
      </w:tr>
      <w:tr w14:paraId="755B1B38">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5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E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5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1.建立健全燃气安全生产专业委员会工作机制和部门协同监督管理机制，定期召开联席会议，协调解决燃气领域突出问题；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燃气安全监管责任清单，建立隐患排查整治机制，定期组织对燃气设施建立以及燃气储存、充装、运输、经营、使用等环节的安全责任落实和隐患排查整改情况开展安全监督检查，对燃气违法行为实施行政处罚，及时消除隐患</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配合开展燃气（含管道燃气）安全宣传，加强燃气安全巡查，发现燃气安全事故隐患，应及时提醒燃气经营企业或用户并向燃气管理部门报告</w:t>
            </w:r>
          </w:p>
        </w:tc>
      </w:tr>
      <w:tr w14:paraId="496C0AF1">
        <w:tblPrEx>
          <w:tblCellMar>
            <w:top w:w="0" w:type="dxa"/>
            <w:left w:w="108" w:type="dxa"/>
            <w:bottom w:w="0" w:type="dxa"/>
            <w:right w:w="108" w:type="dxa"/>
          </w:tblCellMar>
        </w:tblPrEx>
        <w:trPr>
          <w:cantSplit/>
          <w:trHeight w:val="480" w:hRule="atLeast"/>
        </w:trPr>
        <w:tc>
          <w:tcPr>
            <w:tcW w:w="15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9A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5D685012">
        <w:tblPrEx>
          <w:tblCellMar>
            <w:top w:w="0" w:type="dxa"/>
            <w:left w:w="108" w:type="dxa"/>
            <w:bottom w:w="0" w:type="dxa"/>
            <w:right w:w="108" w:type="dxa"/>
          </w:tblCellMar>
        </w:tblPrEx>
        <w:trPr>
          <w:cantSplit/>
          <w:trHeight w:val="17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E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0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3.及时完成镇本级及指导所辖村（社区）政务服务事项的梳理配置发布工作；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14:paraId="236FEAC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784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78130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341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8FB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8F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0A620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84A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5FD27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5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D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4F02A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4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A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14:paraId="246FA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D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14:paraId="5E2FD1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B2A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D467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E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9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14:paraId="18928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1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14:paraId="7B158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3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14:paraId="472C6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F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0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14:paraId="38E594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DEA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0B0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14:paraId="44F3E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3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14:paraId="6B9B9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9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7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14:paraId="0ABA0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A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D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14:paraId="49822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14:paraId="4C1F8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F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14:paraId="0AEC7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C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14:paraId="06AC4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D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14:paraId="48659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7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14:paraId="19F82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5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14:paraId="68E669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2BF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14:paraId="00173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9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3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E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1BA98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2414B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6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0A22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EAE1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E6A2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9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079FF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14:paraId="49A52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6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5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31203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0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F8DD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6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2E980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288E1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4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8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14:paraId="19BD7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7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56C9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7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D083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D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14:paraId="642CB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14:paraId="71FE6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14:paraId="37E6C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3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14:paraId="14A7C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2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6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105FA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C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55D405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927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7A2B1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E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14:paraId="2A016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B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14:paraId="5AB04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E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14:paraId="54054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6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3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14:paraId="13C30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1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14:paraId="256CD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A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14:paraId="65354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9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1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14:paraId="00370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8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14:paraId="1DB12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2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14:paraId="53639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5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14:paraId="2187E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4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7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14:paraId="77E99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A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14:paraId="672FA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0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14:paraId="55AAE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4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屠宰场的巡检、检疫、出证、检测、监管、消毒及日常管理工作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县农业农村局：由县级部门负责该屠宰场管理工作</w:t>
            </w:r>
          </w:p>
        </w:tc>
      </w:tr>
      <w:tr w14:paraId="2661B4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5D0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14:paraId="38C12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A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14:paraId="26B1D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F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4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05D05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A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4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8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390F9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5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14:paraId="77B19B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66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63C5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5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7ECF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9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317F0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50872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E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E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0D48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D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0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4094E0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48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2111D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1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14:paraId="303A34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E23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14:paraId="11579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5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14:paraId="3B2FF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C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C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14:paraId="70D7E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A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4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3B2A1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6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53323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8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6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56820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5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14:paraId="76CC2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6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5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13201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E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A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3F42F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4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14:paraId="34168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58001F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900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十、自然资源（17项）</w:t>
            </w:r>
          </w:p>
        </w:tc>
      </w:tr>
      <w:tr w14:paraId="69EA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0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B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14:paraId="51798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14:paraId="539C7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B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14:paraId="28F0E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F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4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14:paraId="44649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B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14:paraId="31166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7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14:paraId="33487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C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2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14:paraId="2C656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D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0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14:paraId="568FE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8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E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14:paraId="4318C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C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4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14:paraId="383F0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6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3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14:paraId="45635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1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14:paraId="430BD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0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C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B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14:paraId="2A156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4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14:paraId="12946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在规划区内未取得建设工程规划许可证或者未按照规划许可证内容建设行为的处罚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县城市管理局、行政执法大队：收回该项事项</w:t>
            </w:r>
          </w:p>
        </w:tc>
      </w:tr>
      <w:tr w14:paraId="010FA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A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14:paraId="1729A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2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E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开展规划区禁止竹质竹手架建房工作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县住房和城乡建设局：收回该项事项</w:t>
            </w:r>
          </w:p>
        </w:tc>
      </w:tr>
      <w:tr w14:paraId="7BAAC9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3EF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十一、生态环保（1项）</w:t>
            </w:r>
          </w:p>
        </w:tc>
      </w:tr>
      <w:tr w14:paraId="22DE0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1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14:paraId="61853B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8B3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7D1C1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F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存在安全隐患房屋、有管理单位的房屋建筑的安全隐患排查、管控、整治工作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4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县住房和城乡建设局：给予房屋使用人或房屋所有人整改意见并督促整改到位，有管理单位的房屋建筑由管理单位负责</w:t>
            </w:r>
          </w:p>
        </w:tc>
      </w:tr>
      <w:tr w14:paraId="50B20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14:paraId="3A77F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14:paraId="1CFC0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9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0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14:paraId="0179A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0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E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14:paraId="2130C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14:paraId="7F24E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4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14:paraId="63267E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69A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67C3E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14:paraId="7A01D9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1D1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518EB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D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3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14:paraId="4A031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5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14:paraId="0238B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3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C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14:paraId="00DCF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0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14:paraId="59E3B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4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14:paraId="71DE8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5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B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A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14:paraId="0F54B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A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14:paraId="1A111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4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2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14:paraId="3FB2A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14:paraId="788228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29E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22C89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A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14:paraId="07D2B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1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14:paraId="6B16B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B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619A2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E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14:paraId="14487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C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5F635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14:paraId="1B9A0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14:paraId="1C5B1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6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开展高层建筑消防安全整改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县消防救援大队：按照国家规定和管理权限进行处置</w:t>
            </w:r>
          </w:p>
        </w:tc>
      </w:tr>
      <w:tr w14:paraId="033A26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6D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1AD1B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28D38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B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5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09EDF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经营性自建房经营业态排查、经营户及户主相关信息收集、房屋结构性安全鉴定、对存在隐患的房屋进行管控整改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县市场监督管理局：按照营业执照登记营业范围核查经营业态和经营安全是否符合行业要求，自行收集相关信息</w:t>
            </w:r>
          </w:p>
        </w:tc>
      </w:tr>
      <w:tr w14:paraId="3EE58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A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5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县市场监督管理局：收回该项事项</w:t>
            </w:r>
          </w:p>
        </w:tc>
      </w:tr>
      <w:tr w14:paraId="1A8C9B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44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14:paraId="0BC43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6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14:paraId="41D7D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5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3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14:paraId="21B65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1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14:paraId="71CAB70E">
      <w:pPr>
        <w:pStyle w:val="3"/>
        <w:spacing w:before="0" w:after="0" w:line="240" w:lineRule="auto"/>
        <w:jc w:val="center"/>
        <w:rPr>
          <w:rFonts w:ascii="Times New Roman" w:hAnsi="Times New Roman" w:eastAsia="方正小标宋_GBK" w:cs="Times New Roman"/>
          <w:color w:val="auto"/>
          <w:spacing w:val="7"/>
          <w:lang w:eastAsia="zh-CN"/>
        </w:rPr>
      </w:pPr>
    </w:p>
    <w:p w14:paraId="4FD2678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22B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C0AA41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C0AA41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86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8135C9"/>
    <w:rsid w:val="2C3743FB"/>
    <w:rsid w:val="4AA03036"/>
    <w:rsid w:val="4CB3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34814</Words>
  <Characters>35796</Characters>
  <Lines>1</Lines>
  <Paragraphs>1</Paragraphs>
  <TotalTime>19</TotalTime>
  <ScaleCrop>false</ScaleCrop>
  <LinksUpToDate>false</LinksUpToDate>
  <CharactersWithSpaces>35800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两百斤的孩子</cp:lastModifiedBy>
  <cp:lastPrinted>2025-07-03T08:07:18Z</cp:lastPrinted>
  <dcterms:modified xsi:type="dcterms:W3CDTF">2025-07-03T08:15:55Z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eyJoZGlkIjoiMDU5NGRjNjcyMDJlYjk4ZjA3NzdhOWE3YjQ3MjI3YWUiLCJ1c2VySWQiOiIyNzk5Njg3NzkifQ==</vt:lpwstr>
  </property>
  <property fmtid="{D5CDD505-2E9C-101B-9397-08002B2CF9AE}" pid="3" name="KSOProductBuildVer">
    <vt:lpwstr>2052-12.1.0.21541</vt:lpwstr>
  </property>
  <property fmtid="{D5CDD505-2E9C-101B-9397-08002B2CF9AE}" pid="4" name="ICV">
    <vt:lpwstr>B15CC953F35D4F7BA987079CC6E4EF2E_12</vt:lpwstr>
  </property>
</Properties>
</file>