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879F8">
      <w:pPr>
        <w:pStyle w:val="2"/>
        <w:jc w:val="left"/>
        <w:rPr>
          <w:rFonts w:ascii="方正公文小标宋" w:eastAsia="方正公文小标宋"/>
          <w:b w:val="0"/>
          <w:sz w:val="84"/>
          <w:szCs w:val="84"/>
          <w:lang w:eastAsia="zh-CN"/>
        </w:rPr>
      </w:pPr>
    </w:p>
    <w:p w14:paraId="6D81DB1A">
      <w:pPr>
        <w:pStyle w:val="2"/>
        <w:jc w:val="left"/>
        <w:rPr>
          <w:rFonts w:ascii="方正公文小标宋" w:eastAsia="方正公文小标宋"/>
          <w:b w:val="0"/>
          <w:sz w:val="84"/>
          <w:szCs w:val="84"/>
          <w:lang w:eastAsia="zh-CN"/>
        </w:rPr>
      </w:pPr>
    </w:p>
    <w:p w14:paraId="019E168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湖南省邵阳市城步苗族自治县兰</w:t>
      </w:r>
    </w:p>
    <w:p w14:paraId="7EB415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蓉乡人民政府履行职责事项清单</w:t>
      </w:r>
    </w:p>
    <w:p w14:paraId="7A08E9B4">
      <w:pPr>
        <w:rPr>
          <w:rFonts w:ascii="方正公文小标宋" w:eastAsia="方正公文小标宋"/>
          <w:sz w:val="84"/>
          <w:szCs w:val="84"/>
          <w:lang w:eastAsia="zh-CN"/>
        </w:rPr>
      </w:pPr>
    </w:p>
    <w:p w14:paraId="451EF315">
      <w:pPr>
        <w:rPr>
          <w:rFonts w:ascii="方正公文小标宋" w:eastAsia="方正公文小标宋"/>
          <w:sz w:val="84"/>
          <w:szCs w:val="84"/>
          <w:lang w:eastAsia="zh-CN"/>
        </w:rPr>
      </w:pPr>
    </w:p>
    <w:p w14:paraId="7E74F72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64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664C9D3">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bookmarkStart w:id="12" w:name="_GoBack"/>
          <w:bookmarkEnd w:id="12"/>
          <w:r>
            <w:rPr>
              <w:rFonts w:ascii="Times New Roman" w:hAnsi="Times New Roman" w:eastAsia="方正公文小标宋" w:cs="Times New Roman"/>
              <w:b w:val="0"/>
              <w:bCs w:val="0"/>
              <w:snapToGrid/>
              <w:color w:val="auto"/>
              <w:kern w:val="0"/>
              <w:sz w:val="44"/>
              <w:szCs w:val="44"/>
              <w:lang w:val="zh-CN" w:eastAsia="zh-CN" w:bidi="ar-SA"/>
            </w:rPr>
            <w:t>目</w:t>
          </w:r>
          <w:r>
            <w:rPr>
              <w:rFonts w:hint="eastAsia" w:ascii="Times New Roman" w:hAnsi="Times New Roman" w:eastAsia="方正公文小标宋" w:cs="Times New Roman"/>
              <w:b w:val="0"/>
              <w:bCs w:val="0"/>
              <w:snapToGrid/>
              <w:color w:val="auto"/>
              <w:kern w:val="0"/>
              <w:sz w:val="44"/>
              <w:szCs w:val="44"/>
              <w:lang w:val="en-US" w:eastAsia="zh-CN" w:bidi="ar-SA"/>
            </w:rPr>
            <w:t xml:space="preserve"> </w:t>
          </w:r>
          <w:r>
            <w:rPr>
              <w:rFonts w:ascii="Times New Roman" w:hAnsi="Times New Roman" w:eastAsia="方正公文小标宋" w:cs="Times New Roman"/>
              <w:b w:val="0"/>
              <w:bCs w:val="0"/>
              <w:snapToGrid/>
              <w:color w:val="auto"/>
              <w:kern w:val="0"/>
              <w:sz w:val="44"/>
              <w:szCs w:val="44"/>
              <w:lang w:val="zh-CN" w:eastAsia="zh-CN" w:bidi="ar-SA"/>
            </w:rPr>
            <w:t>录</w:t>
          </w:r>
        </w:p>
        <w:p w14:paraId="10456110">
          <w:pPr>
            <w:pStyle w:val="7"/>
            <w:numPr>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_Toc22209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_Toc22209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C1256F3">
          <w:pPr>
            <w:pStyle w:val="7"/>
            <w:numPr>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_Toc19866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_Toc19866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5A67C71A">
          <w:pPr>
            <w:pStyle w:val="7"/>
            <w:numPr>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_Toc25049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_Toc25049 \h </w:instrText>
          </w:r>
          <w:r>
            <w:fldChar w:fldCharType="separate"/>
          </w:r>
          <w:r>
            <w:t>47</w:t>
          </w:r>
          <w:r>
            <w:fldChar w:fldCharType="end"/>
          </w:r>
          <w:r>
            <w:rPr>
              <w:rFonts w:ascii="Times New Roman" w:hAnsi="Times New Roman" w:eastAsia="方正小标宋_GBK" w:cs="Times New Roman"/>
              <w:color w:val="auto"/>
              <w:spacing w:val="7"/>
              <w:szCs w:val="44"/>
              <w:lang w:eastAsia="zh-CN"/>
            </w:rPr>
            <w:fldChar w:fldCharType="end"/>
          </w:r>
        </w:p>
        <w:p w14:paraId="1346007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6B90ACB">
      <w:pPr>
        <w:rPr>
          <w:lang w:eastAsia="zh-CN"/>
        </w:rPr>
      </w:pPr>
    </w:p>
    <w:p w14:paraId="074C597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4C0E6A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220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7AF5C8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BA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6C43">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4774C4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1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577E2E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8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80B07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E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795EC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E062F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4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681D0F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3E1AAD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C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061EC0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4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5A8A35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B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14:paraId="588BBC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301B8A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9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7F6FDB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E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38F67F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B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5C5775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负责落实乡党代表任期制，推动党代表履职，做好党代表联络服务工作</w:t>
            </w:r>
          </w:p>
        </w:tc>
      </w:tr>
      <w:tr w14:paraId="39595E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1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1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5D529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负责村干部的选配、管理、培训、关怀和后备力量培育等相关工作</w:t>
            </w:r>
          </w:p>
        </w:tc>
      </w:tr>
      <w:tr w14:paraId="607804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4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694234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0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14:paraId="4F93B3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A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57B532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4BBBDC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155876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9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按要求选举人大代表，组织召开乡人民代表大会，组织人大代表开展视察调研，强化人大代表履职保障和服务工作，征集和办理人大代表建议</w:t>
            </w:r>
          </w:p>
        </w:tc>
      </w:tr>
      <w:tr w14:paraId="7FFD1E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14:paraId="57C665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E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负责乡工会建设，开展职工文化活动、帮扶救助、权益维护、先进典型培育推荐等工作</w:t>
            </w:r>
          </w:p>
        </w:tc>
      </w:tr>
      <w:tr w14:paraId="2EE3B8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9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118937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61FCFC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F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发挥兰蓉乡“湖南省抓党建促乡村振兴示范乡镇”的示范作用，进一步提升基层党建工作水平</w:t>
            </w:r>
          </w:p>
        </w:tc>
      </w:tr>
      <w:tr w14:paraId="2B4BF96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B51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10F0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4101D4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F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9609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14:paraId="00732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24B4D9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4B4B4F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5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14:paraId="599F0B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开展人口普查、经济普查、农业普查等重大国情国力的统计调查工作，指导村开展普查、调查工作</w:t>
            </w:r>
          </w:p>
        </w:tc>
      </w:tr>
      <w:tr w14:paraId="47EDB8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7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48AAD0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3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扶持企业发展，帮助城步鹏达电子厂扩大生产规模</w:t>
            </w:r>
          </w:p>
        </w:tc>
      </w:tr>
      <w:tr w14:paraId="7F3231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0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6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助推新寨村硅矿的勘探、开采、生产加工及销售工作</w:t>
            </w:r>
          </w:p>
        </w:tc>
      </w:tr>
      <w:tr w14:paraId="3D2E4F6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6B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67764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7F2C3A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6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2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6DA4DB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14:paraId="099404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B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3867D9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4680DD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3CE93B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3A4722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61E352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0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14:paraId="39C788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A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2F32B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3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14:paraId="675ACF7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086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5B186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F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6BE02A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38A00A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715A2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D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34C784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4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7FAF22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9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7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6A4EA7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负责涉及本乡行政复议案件的答复和行政诉讼案件的应诉工作</w:t>
            </w:r>
          </w:p>
        </w:tc>
      </w:tr>
      <w:tr w14:paraId="4412336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419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五、乡村振兴（21项）</w:t>
            </w:r>
          </w:p>
        </w:tc>
      </w:tr>
      <w:tr w14:paraId="057D54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4C0802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健全村民自治制度，负责指导各村制定村规民约，推进移风易俗</w:t>
            </w:r>
          </w:p>
        </w:tc>
      </w:tr>
      <w:tr w14:paraId="0964A1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A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1C6829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754955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B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28DDEF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8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7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16A81D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0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6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0E65DD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E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2EA776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0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14:paraId="3F116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4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0352BD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9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4C62EC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D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A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312C97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0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4E2A02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0C2CC9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负责村集体“三资”监管，指导各村管理各类资产、资源、资金</w:t>
            </w:r>
          </w:p>
        </w:tc>
      </w:tr>
      <w:tr w14:paraId="435986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5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负责新寨村迴龙桥的巡查保护</w:t>
            </w:r>
          </w:p>
        </w:tc>
      </w:tr>
      <w:tr w14:paraId="57A37F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7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支持水源富民楠竹加工厂的申报、建设等工作</w:t>
            </w:r>
          </w:p>
        </w:tc>
      </w:tr>
      <w:tr w14:paraId="1DBC70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F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推进水源村文旅基地规划、建设、宣传推广等工作</w:t>
            </w:r>
          </w:p>
        </w:tc>
      </w:tr>
      <w:tr w14:paraId="79A8B9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D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发展高山延季果蔬、高山峒茶、山羊养殖等特色产业</w:t>
            </w:r>
          </w:p>
        </w:tc>
      </w:tr>
      <w:tr w14:paraId="5172F2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5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开展秋月梨品改扩建工作，实施秋月梨基地电商推广及仓储用房建设项目，建设秋月梨深加工生产线，发展冷链物流等</w:t>
            </w:r>
          </w:p>
        </w:tc>
      </w:tr>
      <w:tr w14:paraId="10ED0D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4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开展第二轮土地承包到期后再延长30年试点工作</w:t>
            </w:r>
          </w:p>
        </w:tc>
      </w:tr>
      <w:tr w14:paraId="47301D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C5D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6E169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594CD27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BA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14:paraId="7EAF61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3EA404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1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主动化解矛盾，做好乡职权范围内信访人员疏导教育、帮扶救助、属地稳控和应急劝返等工作</w:t>
            </w:r>
          </w:p>
        </w:tc>
      </w:tr>
      <w:tr w14:paraId="6CDFEA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1C307D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B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0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负责安全生产宣传教育和日常巡查，指导企业、村落实安全生产责任，发现隐患及时上报</w:t>
            </w:r>
          </w:p>
        </w:tc>
      </w:tr>
      <w:tr w14:paraId="1AA124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04781C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E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05314DB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49B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4E6BB2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0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4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6FC908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8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609674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42D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45280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A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14032A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4613552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06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十、生态环保（6项）</w:t>
            </w:r>
          </w:p>
        </w:tc>
      </w:tr>
      <w:tr w14:paraId="40D264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364D2F35">
        <w:tblPrEx>
          <w:tblCellMar>
            <w:top w:w="0" w:type="dxa"/>
            <w:left w:w="108" w:type="dxa"/>
            <w:bottom w:w="0" w:type="dxa"/>
            <w:right w:w="108" w:type="dxa"/>
          </w:tblCellMar>
        </w:tblPrEx>
        <w:trPr>
          <w:cantSplit/>
          <w:trHeight w:val="67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A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74166A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9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2196FF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480448D9">
        <w:tblPrEx>
          <w:tblCellMar>
            <w:top w:w="0" w:type="dxa"/>
            <w:left w:w="108" w:type="dxa"/>
            <w:bottom w:w="0" w:type="dxa"/>
            <w:right w:w="108" w:type="dxa"/>
          </w:tblCellMar>
        </w:tblPrEx>
        <w:trPr>
          <w:cantSplit/>
          <w:trHeight w:val="61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6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09C82221">
        <w:tblPrEx>
          <w:tblCellMar>
            <w:top w:w="0" w:type="dxa"/>
            <w:left w:w="108" w:type="dxa"/>
            <w:bottom w:w="0" w:type="dxa"/>
            <w:right w:w="108" w:type="dxa"/>
          </w:tblCellMar>
        </w:tblPrEx>
        <w:trPr>
          <w:cantSplit/>
          <w:trHeight w:val="61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5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争创市级生态文明建设示范乡</w:t>
            </w:r>
          </w:p>
        </w:tc>
      </w:tr>
      <w:tr w14:paraId="6FB6D4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25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26BEF2C7">
        <w:tblPrEx>
          <w:tblCellMar>
            <w:top w:w="0" w:type="dxa"/>
            <w:left w:w="108" w:type="dxa"/>
            <w:bottom w:w="0" w:type="dxa"/>
            <w:right w:w="108" w:type="dxa"/>
          </w:tblCellMar>
        </w:tblPrEx>
        <w:trPr>
          <w:cantSplit/>
          <w:trHeight w:val="65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6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05DAA44F">
        <w:tblPrEx>
          <w:tblCellMar>
            <w:top w:w="0" w:type="dxa"/>
            <w:left w:w="108" w:type="dxa"/>
            <w:bottom w:w="0" w:type="dxa"/>
            <w:right w:w="108" w:type="dxa"/>
          </w:tblCellMar>
        </w:tblPrEx>
        <w:trPr>
          <w:cantSplit/>
          <w:trHeight w:val="8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1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0F94DD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2862B9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4181D01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137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5A69D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8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2B55D1E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75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38817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18DB69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293D5B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E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14:paraId="1C79B6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0D7AAC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E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7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负责苗拳苗狮传承推广工作，开展苗拳苗狮基地一体化建设</w:t>
            </w:r>
          </w:p>
        </w:tc>
      </w:tr>
      <w:tr w14:paraId="3F6738F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13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四</w:t>
            </w:r>
            <w:r>
              <w:rPr>
                <w:rStyle w:val="16"/>
                <w:rFonts w:hint="eastAsia" w:ascii="Times New Roman" w:hAnsi="方正公文黑体" w:eastAsia="方正公文黑体"/>
                <w:color w:val="auto"/>
                <w:lang w:bidi="ar"/>
              </w:rPr>
              <w:t>、卫生健康（2项）</w:t>
            </w:r>
          </w:p>
        </w:tc>
      </w:tr>
      <w:tr w14:paraId="5A8A15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0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3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51A31A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E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做好爱国卫生工作，巩固市级卫生乡创建成果</w:t>
            </w:r>
          </w:p>
        </w:tc>
      </w:tr>
      <w:tr w14:paraId="1084487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7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五</w:t>
            </w:r>
            <w:r>
              <w:rPr>
                <w:rStyle w:val="16"/>
                <w:rFonts w:hint="eastAsia" w:ascii="Times New Roman" w:hAnsi="方正公文黑体" w:eastAsia="方正公文黑体"/>
                <w:color w:val="auto"/>
                <w:lang w:bidi="ar"/>
              </w:rPr>
              <w:t>、应急管理及消防（5项）</w:t>
            </w:r>
          </w:p>
        </w:tc>
      </w:tr>
      <w:tr w14:paraId="48A61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14:paraId="07082A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F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7F0036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B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F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3C825C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1806C3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640EF98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D7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六</w:t>
            </w:r>
            <w:r>
              <w:rPr>
                <w:rStyle w:val="16"/>
                <w:rFonts w:hint="eastAsia" w:ascii="Times New Roman" w:hAnsi="方正公文黑体" w:eastAsia="方正公文黑体"/>
                <w:color w:val="auto"/>
                <w:lang w:bidi="ar"/>
              </w:rPr>
              <w:t>、市场监管（1项）</w:t>
            </w:r>
          </w:p>
        </w:tc>
      </w:tr>
      <w:tr w14:paraId="21AD76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53DEB48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F4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eastAsia="zh-CN" w:bidi="ar"/>
              </w:rPr>
              <w:t>七</w:t>
            </w:r>
            <w:r>
              <w:rPr>
                <w:rStyle w:val="16"/>
                <w:rFonts w:hint="eastAsia" w:ascii="Times New Roman" w:hAnsi="方正公文黑体" w:eastAsia="方正公文黑体"/>
                <w:color w:val="auto"/>
                <w:lang w:bidi="ar"/>
              </w:rPr>
              <w:t>、综合政务（8项）</w:t>
            </w:r>
          </w:p>
        </w:tc>
      </w:tr>
      <w:tr w14:paraId="1C7A6A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14:paraId="43033F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7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0FBC9C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1CCAC1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5AA201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285B11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0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012E6C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1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68D0E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6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7E2A307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986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515"/>
        <w:gridCol w:w="1635"/>
        <w:gridCol w:w="5625"/>
        <w:gridCol w:w="4543"/>
      </w:tblGrid>
      <w:tr w14:paraId="3B568E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8A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35E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FDD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0FE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86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4FE34E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6C3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436BC9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3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7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5F7A83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8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6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4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2F7B6C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9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F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52F0BC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5122E8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C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7FB493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5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E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13F9E1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9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14:paraId="48B4FF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1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D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4AF225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3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326F42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5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58E5F3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0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A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8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78EDB4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2F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07942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B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14:paraId="5DB172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9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A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1.加强对乡预算执行情况的内部监督，建立健全内部控制制度；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5.负责乡本级、村级项目及专项资金监管</w:t>
            </w:r>
          </w:p>
        </w:tc>
      </w:tr>
      <w:tr w14:paraId="773EE2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8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6ED48661">
        <w:tblPrEx>
          <w:tblCellMar>
            <w:top w:w="0" w:type="dxa"/>
            <w:left w:w="108" w:type="dxa"/>
            <w:bottom w:w="0" w:type="dxa"/>
            <w:right w:w="108" w:type="dxa"/>
          </w:tblCellMar>
        </w:tblPrEx>
        <w:trPr>
          <w:cantSplit/>
          <w:trHeight w:val="15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E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F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59958F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9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2D8439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0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2843B0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8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6571EC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6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14:paraId="77D04B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6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E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1385E6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6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由乡牵头组织实施的政府投资项目涉税征缴工作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3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64D91B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D3A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507618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8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C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1.建立健全医疗保障基金使用监督管理机制和基金监督管理执法体制；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2.加强医疗保障基金使用监督管理能力建设，对违法案件实施查处；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3.牵头负责医保政策宣传</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2.配合做好医疗保障基金宣传工作</w:t>
            </w:r>
          </w:p>
        </w:tc>
      </w:tr>
      <w:tr w14:paraId="46EBF1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14:paraId="56BAB2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030180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5D874D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6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E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4FD84C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A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1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3C067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2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3FBD51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A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53FFF3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B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C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E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39CE4F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2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3DA53B5A">
        <w:tblPrEx>
          <w:tblCellMar>
            <w:top w:w="0" w:type="dxa"/>
            <w:left w:w="108" w:type="dxa"/>
            <w:bottom w:w="0" w:type="dxa"/>
            <w:right w:w="108" w:type="dxa"/>
          </w:tblCellMar>
        </w:tblPrEx>
        <w:trPr>
          <w:cantSplit/>
          <w:trHeight w:val="20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9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368845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4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14:paraId="3F7EB6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5AEA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F432575">
        <w:tblPrEx>
          <w:tblCellMar>
            <w:top w:w="0" w:type="dxa"/>
            <w:left w:w="108" w:type="dxa"/>
            <w:bottom w:w="0" w:type="dxa"/>
            <w:right w:w="108" w:type="dxa"/>
          </w:tblCellMar>
        </w:tblPrEx>
        <w:trPr>
          <w:cantSplit/>
          <w:trHeight w:val="14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1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04B6A912">
        <w:tblPrEx>
          <w:tblCellMar>
            <w:top w:w="0" w:type="dxa"/>
            <w:left w:w="108" w:type="dxa"/>
            <w:bottom w:w="0" w:type="dxa"/>
            <w:right w:w="108" w:type="dxa"/>
          </w:tblCellMar>
        </w:tblPrEx>
        <w:trPr>
          <w:cantSplit/>
          <w:trHeight w:val="1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7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9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577B32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5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8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8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B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0E8B3C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2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6D07E9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999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18A2F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4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2551AA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1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64E5CE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6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04472E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222A65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1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0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17B9BD5D">
        <w:tblPrEx>
          <w:tblCellMar>
            <w:top w:w="0" w:type="dxa"/>
            <w:left w:w="108" w:type="dxa"/>
            <w:bottom w:w="0" w:type="dxa"/>
            <w:right w:w="108" w:type="dxa"/>
          </w:tblCellMar>
        </w:tblPrEx>
        <w:trPr>
          <w:cantSplit/>
          <w:trHeight w:val="15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4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292C3276">
        <w:tblPrEx>
          <w:tblCellMar>
            <w:top w:w="0" w:type="dxa"/>
            <w:left w:w="108" w:type="dxa"/>
            <w:bottom w:w="0" w:type="dxa"/>
            <w:right w:w="108" w:type="dxa"/>
          </w:tblCellMar>
        </w:tblPrEx>
        <w:trPr>
          <w:cantSplit/>
          <w:trHeight w:val="17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5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0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1DBE01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E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6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1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2EFDEF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B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2862D0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2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8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2FD17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446226B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33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EADA6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D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E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727CC52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6C4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55B7BF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D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E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22C3F7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3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07D66EB7">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8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1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065598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A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0812BD06">
        <w:tblPrEx>
          <w:tblCellMar>
            <w:top w:w="0" w:type="dxa"/>
            <w:left w:w="108" w:type="dxa"/>
            <w:bottom w:w="0" w:type="dxa"/>
            <w:right w:w="108" w:type="dxa"/>
          </w:tblCellMar>
        </w:tblPrEx>
        <w:trPr>
          <w:cantSplit/>
          <w:trHeight w:val="48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8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协助上级部门调解、处理本乡和跨乡镇的土地、山林、水利权属及用水纠纷</w:t>
            </w:r>
          </w:p>
        </w:tc>
      </w:tr>
      <w:tr w14:paraId="472C8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6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2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14:paraId="3A6AFC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F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6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14:paraId="0D0456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D7A8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E2221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1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5CCC81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6A1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B72E6F8">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F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3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2A897425">
        <w:tblPrEx>
          <w:tblCellMar>
            <w:top w:w="0" w:type="dxa"/>
            <w:left w:w="108" w:type="dxa"/>
            <w:bottom w:w="0" w:type="dxa"/>
            <w:right w:w="108" w:type="dxa"/>
          </w:tblCellMar>
        </w:tblPrEx>
        <w:trPr>
          <w:cantSplit/>
          <w:trHeight w:val="12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E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5F1485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B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F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28CC92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5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0A0A3AE2">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4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6177B159">
        <w:tblPrEx>
          <w:tblCellMar>
            <w:top w:w="0" w:type="dxa"/>
            <w:left w:w="108" w:type="dxa"/>
            <w:bottom w:w="0" w:type="dxa"/>
            <w:right w:w="108" w:type="dxa"/>
          </w:tblCellMar>
        </w:tblPrEx>
        <w:trPr>
          <w:cantSplit/>
          <w:trHeight w:val="1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3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3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2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2.负责本乡城乡两险征收服务工作</w:t>
            </w:r>
          </w:p>
        </w:tc>
      </w:tr>
      <w:tr w14:paraId="5794C2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B1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2577E1BF">
        <w:tblPrEx>
          <w:tblCellMar>
            <w:top w:w="0" w:type="dxa"/>
            <w:left w:w="108" w:type="dxa"/>
            <w:bottom w:w="0" w:type="dxa"/>
            <w:right w:w="108" w:type="dxa"/>
          </w:tblCellMar>
        </w:tblPrEx>
        <w:trPr>
          <w:cantSplit/>
          <w:trHeight w:val="25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1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A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5A2BED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14:paraId="6A3C6B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5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E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2.需提供本乡内土地资源的相关信息，协助确定可用于补充耕地的地块；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4.负责本乡内补充耕地的日常监管，防止非法占用耕地、破坏耕地等行为的发生</w:t>
            </w:r>
          </w:p>
        </w:tc>
      </w:tr>
      <w:tr w14:paraId="1DF2D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3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3F5A1A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8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131DB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开展废弃矿山生态修复后的管护工作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1CA6641F">
        <w:tblPrEx>
          <w:tblCellMar>
            <w:top w:w="0" w:type="dxa"/>
            <w:left w:w="108" w:type="dxa"/>
            <w:bottom w:w="0" w:type="dxa"/>
            <w:right w:w="108" w:type="dxa"/>
          </w:tblCellMar>
        </w:tblPrEx>
        <w:trPr>
          <w:cantSplit/>
          <w:trHeight w:val="66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0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6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E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568F35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8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0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6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381A9A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9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351550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D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5D813219">
        <w:tblPrEx>
          <w:tblCellMar>
            <w:top w:w="0" w:type="dxa"/>
            <w:left w:w="108" w:type="dxa"/>
            <w:bottom w:w="0" w:type="dxa"/>
            <w:right w:w="108" w:type="dxa"/>
          </w:tblCellMar>
        </w:tblPrEx>
        <w:trPr>
          <w:cantSplit/>
          <w:trHeight w:val="1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8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7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14:paraId="66534B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0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0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14:paraId="2A3573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75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7AE520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6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开展南山国家公园生态保护工作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湖南南山国家公园管理局、县自然资源局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5.配合加强国家公园保护管理、法规政策等工作的宣传教育，增强公众的责任意识和保护意识</w:t>
            </w:r>
          </w:p>
        </w:tc>
      </w:tr>
      <w:tr w14:paraId="08942A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3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A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45752E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0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A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7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15FE23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4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3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3AC22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4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3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6708867B">
        <w:tblPrEx>
          <w:tblCellMar>
            <w:top w:w="0" w:type="dxa"/>
            <w:left w:w="108" w:type="dxa"/>
            <w:bottom w:w="0" w:type="dxa"/>
            <w:right w:w="108" w:type="dxa"/>
          </w:tblCellMar>
        </w:tblPrEx>
        <w:trPr>
          <w:cantSplit/>
          <w:trHeight w:val="22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D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5484C5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9D7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14:paraId="4D5212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4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79586C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A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B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635EC6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7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0CA934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3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375A2F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F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69BF54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6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219075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3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B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C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26CDE0D2">
        <w:tblPrEx>
          <w:tblCellMar>
            <w:top w:w="0" w:type="dxa"/>
            <w:left w:w="108" w:type="dxa"/>
            <w:bottom w:w="0" w:type="dxa"/>
            <w:right w:w="108" w:type="dxa"/>
          </w:tblCellMar>
        </w:tblPrEx>
        <w:trPr>
          <w:cantSplit/>
          <w:trHeight w:val="1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2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14:paraId="234C49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B7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十三、城乡建设*（1项）</w:t>
            </w:r>
          </w:p>
        </w:tc>
      </w:tr>
      <w:tr w14:paraId="52911ED7">
        <w:tblPrEx>
          <w:tblCellMar>
            <w:top w:w="0" w:type="dxa"/>
            <w:left w:w="108" w:type="dxa"/>
            <w:bottom w:w="0" w:type="dxa"/>
            <w:right w:w="108" w:type="dxa"/>
          </w:tblCellMar>
        </w:tblPrEx>
        <w:trPr>
          <w:cantSplit/>
          <w:trHeight w:val="23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南山国家公园连接路（兰蓉至白毛坪）工程、X162城步苗族自治县清溪—兰蓉公路工程项目推进工作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（牵头）县发展和改革局、县交通运输局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1.县发展和改革局负责项目的审批、核准及备案工作，确定项目的可行性和合规性；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2.县交通运输局负责项目的前期规划、申报，协调相关部门推进项目建设，对项目施工过程进行监督管理</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1.负责宣传项目意义、规划和实施计划；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2.协调做好土地征收、房屋拆迁等工作；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3.维护施工现场秩序，及时化解施工过程中与村民产生的矛盾纠纷，协助处理施工过程中的突发事件</w:t>
            </w:r>
          </w:p>
        </w:tc>
      </w:tr>
      <w:tr w14:paraId="1A10BB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62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517EEF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C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2BC33EFC">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A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F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1DBDBC6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213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十五、卫生健康（5项）</w:t>
            </w:r>
          </w:p>
        </w:tc>
      </w:tr>
      <w:tr w14:paraId="5FC2C7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6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603981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6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B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14:paraId="63ABBB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7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6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9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A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542DC4F9">
        <w:tblPrEx>
          <w:tblCellMar>
            <w:top w:w="0" w:type="dxa"/>
            <w:left w:w="108" w:type="dxa"/>
            <w:bottom w:w="0" w:type="dxa"/>
            <w:right w:w="108" w:type="dxa"/>
          </w:tblCellMar>
        </w:tblPrEx>
        <w:trPr>
          <w:cantSplit/>
          <w:trHeight w:val="1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B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1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2DD20350">
        <w:tblPrEx>
          <w:tblCellMar>
            <w:top w:w="0" w:type="dxa"/>
            <w:left w:w="108" w:type="dxa"/>
            <w:bottom w:w="0" w:type="dxa"/>
            <w:right w:w="108" w:type="dxa"/>
          </w:tblCellMar>
        </w:tblPrEx>
        <w:trPr>
          <w:cantSplit/>
          <w:trHeight w:val="24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C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w:t>
            </w:r>
          </w:p>
        </w:tc>
      </w:tr>
      <w:tr w14:paraId="11102DD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16D4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14:paraId="52BA45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E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62D73D12">
        <w:tblPrEx>
          <w:tblCellMar>
            <w:top w:w="0" w:type="dxa"/>
            <w:left w:w="108" w:type="dxa"/>
            <w:bottom w:w="0" w:type="dxa"/>
            <w:right w:w="108" w:type="dxa"/>
          </w:tblCellMar>
        </w:tblPrEx>
        <w:trPr>
          <w:cantSplit/>
          <w:trHeight w:val="22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6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5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67958A12">
        <w:tblPrEx>
          <w:tblCellMar>
            <w:top w:w="0" w:type="dxa"/>
            <w:left w:w="108" w:type="dxa"/>
            <w:bottom w:w="0" w:type="dxa"/>
            <w:right w:w="108" w:type="dxa"/>
          </w:tblCellMar>
        </w:tblPrEx>
        <w:trPr>
          <w:cantSplit/>
          <w:trHeight w:val="1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C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5EB933FF">
        <w:tblPrEx>
          <w:tblCellMar>
            <w:top w:w="0" w:type="dxa"/>
            <w:left w:w="108" w:type="dxa"/>
            <w:bottom w:w="0" w:type="dxa"/>
            <w:right w:w="108" w:type="dxa"/>
          </w:tblCellMar>
        </w:tblPrEx>
        <w:trPr>
          <w:cantSplit/>
          <w:trHeight w:val="2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2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A5A9801">
        <w:tblPrEx>
          <w:tblCellMar>
            <w:top w:w="0" w:type="dxa"/>
            <w:left w:w="108" w:type="dxa"/>
            <w:bottom w:w="0" w:type="dxa"/>
            <w:right w:w="108" w:type="dxa"/>
          </w:tblCellMar>
        </w:tblPrEx>
        <w:trPr>
          <w:cantSplit/>
          <w:trHeight w:val="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F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67974A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8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7A791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1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C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23F2AC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A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A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DED45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5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25D1F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EA6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3CE67C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A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C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470FD2F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04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9FB586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5FF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0B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02E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4EF81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D1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B577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4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7BDA5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2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3614C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3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2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73E862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7DE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CFB0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76070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1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9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0EEB9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7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479A2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A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B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1FCCF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7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互联网直播、短视频传播从业人员登记备案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县网信办：负责互联网直播、短视频传播从业人员登记备案</w:t>
            </w:r>
          </w:p>
        </w:tc>
      </w:tr>
      <w:tr w14:paraId="72F40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1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防范化解金融风险考核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县财政局：取消该项工作考核</w:t>
            </w:r>
          </w:p>
        </w:tc>
      </w:tr>
      <w:tr w14:paraId="0B6B6B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D7E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6A36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0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4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20CAC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78182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D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580D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0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58FAB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14:paraId="036A3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0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5C659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F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1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5F4F9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9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49A3E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9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25099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16605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2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县就业服务中心：收回该项工作</w:t>
            </w:r>
          </w:p>
        </w:tc>
      </w:tr>
      <w:tr w14:paraId="09E086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28E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四、平安法治（21项）</w:t>
            </w:r>
          </w:p>
        </w:tc>
      </w:tr>
      <w:tr w14:paraId="64CE5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6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4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52BB7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A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00E89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D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4A14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0713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C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EFBF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F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4E575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5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7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6CD32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A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5259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F1BA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5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213E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B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3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0686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7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51208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349C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1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226B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7CE9E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1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2D290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D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6460A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C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14F23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1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41A6C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7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0C332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7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开展湖南禁毒答题王APP答题活动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县委政法委员会：取消开展湖南禁毒答题王APP答题活动</w:t>
            </w:r>
          </w:p>
        </w:tc>
      </w:tr>
      <w:tr w14:paraId="687EA9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FF9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06E3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C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C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27600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B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05133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7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14:paraId="65843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2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6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489AD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07DD9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2A1CD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0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1FB18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F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24407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4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7298A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6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0C41F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0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15D52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67A62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39E648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B15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建设（4项）</w:t>
            </w:r>
          </w:p>
        </w:tc>
      </w:tr>
      <w:tr w14:paraId="23A14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E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A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县委宣传部：收回该事项</w:t>
            </w:r>
          </w:p>
        </w:tc>
      </w:tr>
      <w:tr w14:paraId="3BAE7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0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3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7B44A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0A708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4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县委社会工作部：收回该事项</w:t>
            </w:r>
          </w:p>
        </w:tc>
      </w:tr>
      <w:tr w14:paraId="4C10C9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1C8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5E7D9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B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E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2AA75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D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20648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1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6EB60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9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149C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5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1C8684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56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6DC7F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E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C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县委统一战线工作部：收回该事项</w:t>
            </w:r>
          </w:p>
        </w:tc>
      </w:tr>
      <w:tr w14:paraId="55065B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E94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5CA9D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27206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4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E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75638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6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45FEA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4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43186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F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6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342A0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7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248F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01F8C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B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9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F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3A61B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8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3031F2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08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0321C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C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C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48217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D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县自然资源局：收回该事项</w:t>
            </w:r>
          </w:p>
        </w:tc>
      </w:tr>
      <w:tr w14:paraId="7B12C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2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2B98B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A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5552C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2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68E04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1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县农业农村局：收回该事项</w:t>
            </w:r>
          </w:p>
        </w:tc>
      </w:tr>
      <w:tr w14:paraId="45A7F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5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县林业局、农业农村局：收回该事项</w:t>
            </w:r>
          </w:p>
        </w:tc>
      </w:tr>
      <w:tr w14:paraId="033E7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E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县林业局：收回该事项</w:t>
            </w:r>
          </w:p>
        </w:tc>
      </w:tr>
      <w:tr w14:paraId="2805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F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3F039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4EDEC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1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555A1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A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54EB75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40B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6AEED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5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2B52D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0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2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14:paraId="36B86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40BCE1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57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A53D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9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39D68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2488D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6ED58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7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6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4BBCD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0BAFD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3FF907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8A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1C5A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B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14:paraId="6331F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F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对未核定公布为文物保护单位的不可移动文物保护工作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县文化旅游广电体育局：负责对未核定公布为文化保护单位的不可移动文物保护工作</w:t>
            </w:r>
          </w:p>
        </w:tc>
      </w:tr>
      <w:tr w14:paraId="6FC798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DE7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C078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0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460B2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6BC08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7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4403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4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0DD1E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C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08F98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6CABD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8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2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8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28876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E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0E510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78EFDB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13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十五、应急管理及消防（6项）</w:t>
            </w:r>
          </w:p>
        </w:tc>
      </w:tr>
      <w:tr w14:paraId="18248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A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9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3E31C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51597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B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14:paraId="3B75F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县应急管理局：收回该事项</w:t>
            </w:r>
          </w:p>
        </w:tc>
      </w:tr>
      <w:tr w14:paraId="58BDD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6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1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县消防救援大队：收回该事项</w:t>
            </w:r>
          </w:p>
        </w:tc>
      </w:tr>
      <w:tr w14:paraId="3DD0A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7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20B7D0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876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77FEB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B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35151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2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02E704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0D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14:paraId="324F0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9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65FD8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B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7D0E1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D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3B3E9432">
      <w:pPr>
        <w:pStyle w:val="3"/>
        <w:spacing w:before="0" w:after="0" w:line="240" w:lineRule="auto"/>
        <w:jc w:val="center"/>
        <w:rPr>
          <w:rFonts w:ascii="Times New Roman" w:hAnsi="Times New Roman" w:eastAsia="方正小标宋_GBK" w:cs="Times New Roman"/>
          <w:color w:val="auto"/>
          <w:spacing w:val="7"/>
          <w:lang w:eastAsia="zh-CN"/>
        </w:rPr>
      </w:pPr>
    </w:p>
    <w:p w14:paraId="441B259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5A1E981-7C90-4F97-959D-897A6839DB4B}"/>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B19EB4AC-3722-430F-BCB5-5AC5F2653689}"/>
  </w:font>
  <w:font w:name="方正公文仿宋">
    <w:altName w:val="仿宋"/>
    <w:panose1 w:val="02000000000000000000"/>
    <w:charset w:val="86"/>
    <w:family w:val="auto"/>
    <w:pitch w:val="default"/>
    <w:sig w:usb0="00000000" w:usb1="00000000" w:usb2="00000010" w:usb3="00000000" w:csb0="00040000" w:csb1="00000000"/>
    <w:embedRegular r:id="rId3" w:fontKey="{2BD71D0A-B824-4267-808D-EDE977803EAE}"/>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3EB5F2C-5EE4-4E0B-BCF0-1414F06F2FD9}"/>
  </w:font>
  <w:font w:name="方正小标宋_GBK">
    <w:panose1 w:val="03000509000000000000"/>
    <w:charset w:val="86"/>
    <w:family w:val="script"/>
    <w:pitch w:val="default"/>
    <w:sig w:usb0="00000001" w:usb1="080E0000" w:usb2="00000000" w:usb3="00000000" w:csb0="00040000" w:csb1="00000000"/>
    <w:embedRegular r:id="rId5" w:fontKey="{66D01C61-08FD-4206-BCD9-6915B421CCC4}"/>
  </w:font>
  <w:font w:name="方正公文黑体">
    <w:altName w:val="黑体"/>
    <w:panose1 w:val="02000000000000000000"/>
    <w:charset w:val="86"/>
    <w:family w:val="auto"/>
    <w:pitch w:val="default"/>
    <w:sig w:usb0="00000000" w:usb1="00000000" w:usb2="00000010" w:usb3="00000000" w:csb0="00040000" w:csb1="00000000"/>
    <w:embedRegular r:id="rId6" w:fontKey="{B96383E6-724C-4E60-9759-B9EB84DCC9BA}"/>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DA3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810C78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810C78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EB7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5539AD"/>
    <w:rsid w:val="37B336EE"/>
    <w:rsid w:val="7A9C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33133</Words>
  <Characters>34081</Characters>
  <Lines>1</Lines>
  <Paragraphs>1</Paragraphs>
  <TotalTime>52</TotalTime>
  <ScaleCrop>false</ScaleCrop>
  <LinksUpToDate>false</LinksUpToDate>
  <CharactersWithSpaces>34085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桃</cp:lastModifiedBy>
  <dcterms:modified xsi:type="dcterms:W3CDTF">2025-07-03T01:48:38Z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eyJoZGlkIjoiZTU4MmQ2N2Q0ZTlmNmMxMGE3YTY5ZjBmY2ZmYWQ5MjQiLCJ1c2VySWQiOiIyNjgyOTMwODIifQ==</vt:lpwstr>
  </property>
  <property fmtid="{D5CDD505-2E9C-101B-9397-08002B2CF9AE}" pid="3" name="KSOProductBuildVer">
    <vt:lpwstr>2052-12.1.0.21541</vt:lpwstr>
  </property>
  <property fmtid="{D5CDD505-2E9C-101B-9397-08002B2CF9AE}" pid="4" name="ICV">
    <vt:lpwstr>9071180FA94A46A6B12BA87411AB818B_13</vt:lpwstr>
  </property>
</Properties>
</file>