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eastAsia="仿宋_GB2312"/>
          <w:sz w:val="32"/>
          <w:szCs w:val="32"/>
        </w:rPr>
      </w:pPr>
      <w:r>
        <w:rPr>
          <w:rFonts w:eastAsia="仿宋_GB2312"/>
          <w:sz w:val="32"/>
          <w:szCs w:val="32"/>
        </w:rPr>
        <w:t>附件</w:t>
      </w:r>
    </w:p>
    <w:p>
      <w:pPr>
        <w:shd w:val="clear" w:color="auto" w:fill="FFFFFF"/>
        <w:spacing w:before="156" w:beforeLines="50" w:after="156" w:afterLines="50" w:line="560" w:lineRule="exact"/>
        <w:jc w:val="center"/>
        <w:rPr>
          <w:rFonts w:eastAsia="方正小标宋简体"/>
          <w:sz w:val="42"/>
          <w:szCs w:val="42"/>
        </w:rPr>
      </w:pPr>
      <w:bookmarkStart w:id="0" w:name="_GoBack"/>
      <w:r>
        <w:rPr>
          <w:rFonts w:eastAsia="方正小标宋简体"/>
          <w:bCs/>
          <w:color w:val="000000"/>
          <w:kern w:val="0"/>
          <w:sz w:val="42"/>
          <w:szCs w:val="42"/>
        </w:rPr>
        <w:t>湖南省发展和改革委行政处罚裁量权基准</w:t>
      </w:r>
    </w:p>
    <w:bookmarkEnd w:id="0"/>
    <w:tbl>
      <w:tblPr>
        <w:tblStyle w:val="3"/>
        <w:tblW w:w="0" w:type="auto"/>
        <w:jc w:val="center"/>
        <w:tblLayout w:type="fixed"/>
        <w:tblCellMar>
          <w:top w:w="0" w:type="dxa"/>
          <w:left w:w="108" w:type="dxa"/>
          <w:bottom w:w="0" w:type="dxa"/>
          <w:right w:w="108" w:type="dxa"/>
        </w:tblCellMar>
      </w:tblPr>
      <w:tblGrid>
        <w:gridCol w:w="646"/>
        <w:gridCol w:w="2067"/>
        <w:gridCol w:w="7963"/>
        <w:gridCol w:w="1119"/>
        <w:gridCol w:w="3186"/>
      </w:tblGrid>
      <w:tr>
        <w:tblPrEx>
          <w:tblCellMar>
            <w:top w:w="0" w:type="dxa"/>
            <w:left w:w="108" w:type="dxa"/>
            <w:bottom w:w="0" w:type="dxa"/>
            <w:right w:w="108" w:type="dxa"/>
          </w:tblCellMar>
        </w:tblPrEx>
        <w:trPr>
          <w:trHeight w:val="532" w:hRule="atLeast"/>
          <w:tblHeader/>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黑体"/>
                <w:bCs/>
                <w:color w:val="000000"/>
                <w:kern w:val="0"/>
                <w:sz w:val="20"/>
                <w:szCs w:val="20"/>
              </w:rPr>
            </w:pPr>
            <w:r>
              <w:rPr>
                <w:rFonts w:eastAsia="黑体"/>
                <w:bCs/>
                <w:color w:val="000000"/>
                <w:kern w:val="0"/>
                <w:sz w:val="20"/>
                <w:szCs w:val="20"/>
              </w:rPr>
              <w:t>序号</w:t>
            </w:r>
          </w:p>
        </w:tc>
        <w:tc>
          <w:tcPr>
            <w:tcW w:w="20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黑体"/>
                <w:bCs/>
                <w:color w:val="000000"/>
                <w:kern w:val="0"/>
                <w:sz w:val="20"/>
                <w:szCs w:val="20"/>
              </w:rPr>
            </w:pPr>
            <w:r>
              <w:rPr>
                <w:rFonts w:eastAsia="黑体"/>
                <w:bCs/>
                <w:color w:val="000000"/>
                <w:kern w:val="0"/>
                <w:sz w:val="20"/>
                <w:szCs w:val="20"/>
              </w:rPr>
              <w:t>违法行为</w:t>
            </w:r>
          </w:p>
        </w:tc>
        <w:tc>
          <w:tcPr>
            <w:tcW w:w="79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黑体"/>
                <w:bCs/>
                <w:color w:val="000000"/>
                <w:kern w:val="0"/>
                <w:sz w:val="20"/>
                <w:szCs w:val="20"/>
              </w:rPr>
            </w:pPr>
            <w:r>
              <w:rPr>
                <w:rFonts w:eastAsia="黑体"/>
                <w:bCs/>
                <w:color w:val="000000"/>
                <w:kern w:val="0"/>
                <w:sz w:val="20"/>
                <w:szCs w:val="20"/>
              </w:rPr>
              <w:t>行政处罚依据</w:t>
            </w:r>
          </w:p>
        </w:tc>
        <w:tc>
          <w:tcPr>
            <w:tcW w:w="111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黑体"/>
                <w:bCs/>
                <w:color w:val="000000"/>
                <w:kern w:val="0"/>
                <w:sz w:val="20"/>
                <w:szCs w:val="20"/>
              </w:rPr>
            </w:pPr>
            <w:r>
              <w:rPr>
                <w:rFonts w:eastAsia="黑体"/>
                <w:bCs/>
                <w:color w:val="000000"/>
                <w:kern w:val="0"/>
                <w:sz w:val="20"/>
                <w:szCs w:val="20"/>
              </w:rPr>
              <w:t>裁量情形</w:t>
            </w:r>
          </w:p>
        </w:tc>
        <w:tc>
          <w:tcPr>
            <w:tcW w:w="31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黑体"/>
                <w:bCs/>
                <w:color w:val="000000"/>
                <w:kern w:val="0"/>
                <w:sz w:val="20"/>
                <w:szCs w:val="20"/>
              </w:rPr>
            </w:pPr>
            <w:r>
              <w:rPr>
                <w:rFonts w:eastAsia="黑体"/>
                <w:bCs/>
                <w:color w:val="000000"/>
                <w:kern w:val="0"/>
                <w:sz w:val="20"/>
                <w:szCs w:val="20"/>
              </w:rPr>
              <w:t>裁量基准</w:t>
            </w:r>
          </w:p>
        </w:tc>
      </w:tr>
      <w:tr>
        <w:tblPrEx>
          <w:tblCellMar>
            <w:top w:w="0" w:type="dxa"/>
            <w:left w:w="108" w:type="dxa"/>
            <w:bottom w:w="0" w:type="dxa"/>
            <w:right w:w="108" w:type="dxa"/>
          </w:tblCellMar>
        </w:tblPrEx>
        <w:trPr>
          <w:trHeight w:val="412" w:hRule="atLeast"/>
          <w:jc w:val="center"/>
        </w:trPr>
        <w:tc>
          <w:tcPr>
            <w:tcW w:w="1498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szCs w:val="20"/>
              </w:rPr>
            </w:pPr>
            <w:r>
              <w:rPr>
                <w:b/>
                <w:bCs/>
                <w:color w:val="000000"/>
                <w:kern w:val="0"/>
                <w:sz w:val="20"/>
                <w:szCs w:val="20"/>
              </w:rPr>
              <w:t>第一节 招投标领域违法行为裁量</w:t>
            </w:r>
          </w:p>
        </w:tc>
      </w:tr>
      <w:tr>
        <w:tblPrEx>
          <w:tblCellMar>
            <w:top w:w="0" w:type="dxa"/>
            <w:left w:w="108" w:type="dxa"/>
            <w:bottom w:w="0" w:type="dxa"/>
            <w:right w:w="108" w:type="dxa"/>
          </w:tblCellMar>
        </w:tblPrEx>
        <w:trPr>
          <w:trHeight w:val="356"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违法收取投标保证金、履约保证金或者不按规定退还投标保证金的处罚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 xml:space="preserve">《招标投标法实施条例》     </w:t>
            </w:r>
          </w:p>
          <w:p>
            <w:pPr>
              <w:widowControl/>
              <w:spacing w:line="240" w:lineRule="exact"/>
              <w:jc w:val="left"/>
              <w:rPr>
                <w:color w:val="000000"/>
                <w:kern w:val="0"/>
                <w:sz w:val="20"/>
                <w:szCs w:val="20"/>
              </w:rPr>
            </w:pPr>
            <w:r>
              <w:rPr>
                <w:color w:val="000000"/>
                <w:kern w:val="0"/>
                <w:sz w:val="20"/>
                <w:szCs w:val="20"/>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处2万元以下的罚款。</w:t>
            </w:r>
          </w:p>
        </w:tc>
      </w:tr>
      <w:tr>
        <w:tblPrEx>
          <w:tblCellMar>
            <w:top w:w="0" w:type="dxa"/>
            <w:left w:w="108" w:type="dxa"/>
            <w:bottom w:w="0" w:type="dxa"/>
            <w:right w:w="108" w:type="dxa"/>
          </w:tblCellMar>
        </w:tblPrEx>
        <w:trPr>
          <w:trHeight w:val="356"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处2-4万元的罚款。</w:t>
            </w:r>
          </w:p>
        </w:tc>
      </w:tr>
      <w:tr>
        <w:tblPrEx>
          <w:tblCellMar>
            <w:top w:w="0" w:type="dxa"/>
            <w:left w:w="108" w:type="dxa"/>
            <w:bottom w:w="0" w:type="dxa"/>
            <w:right w:w="108" w:type="dxa"/>
          </w:tblCellMar>
        </w:tblPrEx>
        <w:trPr>
          <w:trHeight w:val="90"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处4-5万元的罚款。</w:t>
            </w:r>
          </w:p>
        </w:tc>
      </w:tr>
      <w:tr>
        <w:tblPrEx>
          <w:tblCellMar>
            <w:top w:w="0" w:type="dxa"/>
            <w:left w:w="108" w:type="dxa"/>
            <w:bottom w:w="0" w:type="dxa"/>
            <w:right w:w="108" w:type="dxa"/>
          </w:tblCellMar>
        </w:tblPrEx>
        <w:trPr>
          <w:trHeight w:val="418"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中标人无正当理由不与招标人订立合同，在签订合同时提出附加条件或不按招标文件要求提交履约保证金的处罚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《招标投标法实施条例》</w:t>
            </w:r>
          </w:p>
          <w:p>
            <w:pPr>
              <w:widowControl/>
              <w:spacing w:line="240" w:lineRule="exact"/>
              <w:jc w:val="left"/>
              <w:rPr>
                <w:color w:val="000000"/>
                <w:kern w:val="0"/>
                <w:sz w:val="20"/>
                <w:szCs w:val="20"/>
              </w:rPr>
            </w:pPr>
            <w:r>
              <w:rPr>
                <w:color w:val="000000"/>
                <w:kern w:val="0"/>
                <w:sz w:val="20"/>
                <w:szCs w:val="20"/>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处中标项目金额3‰以下的罚款。</w:t>
            </w:r>
          </w:p>
        </w:tc>
      </w:tr>
      <w:tr>
        <w:tblPrEx>
          <w:tblCellMar>
            <w:top w:w="0" w:type="dxa"/>
            <w:left w:w="108" w:type="dxa"/>
            <w:bottom w:w="0" w:type="dxa"/>
            <w:right w:w="108" w:type="dxa"/>
          </w:tblCellMar>
        </w:tblPrEx>
        <w:trPr>
          <w:trHeight w:val="433"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处中标项目金额3-6‰的罚款。</w:t>
            </w:r>
          </w:p>
        </w:tc>
      </w:tr>
      <w:tr>
        <w:tblPrEx>
          <w:tblCellMar>
            <w:top w:w="0" w:type="dxa"/>
            <w:left w:w="108" w:type="dxa"/>
            <w:bottom w:w="0" w:type="dxa"/>
            <w:right w:w="108" w:type="dxa"/>
          </w:tblCellMar>
        </w:tblPrEx>
        <w:trPr>
          <w:trHeight w:val="749"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处中标项目金额6-10‰的罚款。</w:t>
            </w:r>
          </w:p>
        </w:tc>
      </w:tr>
      <w:tr>
        <w:tblPrEx>
          <w:tblCellMar>
            <w:top w:w="0" w:type="dxa"/>
            <w:left w:w="108" w:type="dxa"/>
            <w:bottom w:w="0" w:type="dxa"/>
            <w:right w:w="108" w:type="dxa"/>
          </w:tblCellMar>
        </w:tblPrEx>
        <w:trPr>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3</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工业项目招标代理机构泄密、与招标人、投标人串通以及其它违规行为的处罚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1.《招标投标法》</w:t>
            </w:r>
          </w:p>
          <w:p>
            <w:pPr>
              <w:widowControl/>
              <w:spacing w:line="240" w:lineRule="exact"/>
              <w:jc w:val="left"/>
              <w:rPr>
                <w:color w:val="000000"/>
                <w:kern w:val="0"/>
                <w:sz w:val="20"/>
                <w:szCs w:val="20"/>
              </w:rPr>
            </w:pPr>
            <w:r>
              <w:rPr>
                <w:color w:val="000000"/>
                <w:kern w:val="0"/>
                <w:sz w:val="20"/>
                <w:szCs w:val="20"/>
              </w:rPr>
              <w:t>第五十条（第一款）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widowControl/>
              <w:spacing w:line="240" w:lineRule="exact"/>
              <w:jc w:val="left"/>
              <w:rPr>
                <w:color w:val="000000"/>
                <w:kern w:val="0"/>
                <w:sz w:val="20"/>
                <w:szCs w:val="20"/>
              </w:rPr>
            </w:pPr>
            <w:r>
              <w:rPr>
                <w:color w:val="000000"/>
                <w:kern w:val="0"/>
                <w:sz w:val="20"/>
                <w:szCs w:val="20"/>
              </w:rPr>
              <w:t>2.《工程建设项目施工招标投标办法》</w:t>
            </w:r>
          </w:p>
          <w:p>
            <w:pPr>
              <w:widowControl/>
              <w:spacing w:line="240" w:lineRule="exact"/>
              <w:jc w:val="left"/>
              <w:rPr>
                <w:color w:val="000000"/>
                <w:kern w:val="0"/>
                <w:sz w:val="20"/>
                <w:szCs w:val="20"/>
              </w:rPr>
            </w:pPr>
            <w:r>
              <w:rPr>
                <w:color w:val="000000"/>
                <w:kern w:val="0"/>
                <w:sz w:val="20"/>
                <w:szCs w:val="20"/>
              </w:rPr>
              <w:t>第六十九条（第一款）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暂停其一定时期内参与相关领域的招标代理业务，资格认定部门可暂停直至取消招标代理资格；构成犯罪的，由司法部门依法追究刑事责任。给他人造成损失的，依法承担赔偿责任。</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处5-11万元罚款，对单位直接负责的主管人员和其他直接责任人员处单位罚款数额5-6%的罚款。有违法所得的，并处没收违法所。</w:t>
            </w:r>
          </w:p>
        </w:tc>
      </w:tr>
      <w:tr>
        <w:tblPrEx>
          <w:tblCellMar>
            <w:top w:w="0" w:type="dxa"/>
            <w:left w:w="108" w:type="dxa"/>
            <w:bottom w:w="0" w:type="dxa"/>
            <w:right w:w="108" w:type="dxa"/>
          </w:tblCellMar>
        </w:tblPrEx>
        <w:trPr>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处11-18万元罚款，对单位直接负责的主管人员和其他直接责任人员处单位罚款数额6-8%的罚款。有违法所得的，并处没收违法所得。</w:t>
            </w:r>
          </w:p>
        </w:tc>
      </w:tr>
      <w:tr>
        <w:tblPrEx>
          <w:tblCellMar>
            <w:top w:w="0" w:type="dxa"/>
            <w:left w:w="108" w:type="dxa"/>
            <w:bottom w:w="0" w:type="dxa"/>
            <w:right w:w="108" w:type="dxa"/>
          </w:tblCellMar>
        </w:tblPrEx>
        <w:trPr>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4"/>
                <w:kern w:val="0"/>
                <w:sz w:val="20"/>
                <w:szCs w:val="20"/>
              </w:rPr>
            </w:pPr>
            <w:r>
              <w:rPr>
                <w:color w:val="000000"/>
                <w:spacing w:val="-4"/>
                <w:kern w:val="0"/>
                <w:sz w:val="20"/>
                <w:szCs w:val="20"/>
              </w:rPr>
              <w:t>处18-25万元罚款，对单位直接负责的主管人员和其他直接责任人员处单位罚款数额8-10%的罚款。有违法所得的，并处没收违法所得。禁止其一年至二年内代理依法必须进行招标的项目并予以公告。</w:t>
            </w:r>
          </w:p>
        </w:tc>
      </w:tr>
      <w:tr>
        <w:tblPrEx>
          <w:tblCellMar>
            <w:top w:w="0" w:type="dxa"/>
            <w:left w:w="108" w:type="dxa"/>
            <w:bottom w:w="0" w:type="dxa"/>
            <w:right w:w="108" w:type="dxa"/>
          </w:tblCellMar>
        </w:tblPrEx>
        <w:trPr>
          <w:trHeight w:val="2310" w:hRule="atLeast"/>
          <w:jc w:val="center"/>
        </w:trPr>
        <w:tc>
          <w:tcPr>
            <w:tcW w:w="64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4</w:t>
            </w:r>
          </w:p>
        </w:tc>
        <w:tc>
          <w:tcPr>
            <w:tcW w:w="2067"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工业项目投标中，出让或者出租资格、资质证书供他人投标的处罚</w:t>
            </w:r>
          </w:p>
        </w:tc>
        <w:tc>
          <w:tcPr>
            <w:tcW w:w="7963"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《招标投标法实施条例》</w:t>
            </w:r>
          </w:p>
          <w:p>
            <w:pPr>
              <w:widowControl/>
              <w:spacing w:line="240" w:lineRule="exact"/>
              <w:jc w:val="left"/>
              <w:rPr>
                <w:color w:val="000000"/>
                <w:kern w:val="0"/>
                <w:sz w:val="20"/>
                <w:szCs w:val="20"/>
              </w:rPr>
            </w:pPr>
            <w:r>
              <w:rPr>
                <w:color w:val="000000"/>
                <w:kern w:val="0"/>
                <w:sz w:val="20"/>
                <w:szCs w:val="20"/>
              </w:rPr>
              <w:t>第六十九条 出让或者出租资格、资质证书供他人投标的，依照法律、行政法规的规定给予行政处罚；构成犯罪的，依法追究刑事责任。</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给予行政处罚；构成犯罪的，依法追究刑事责任。</w:t>
            </w:r>
          </w:p>
        </w:tc>
      </w:tr>
      <w:tr>
        <w:tblPrEx>
          <w:tblCellMar>
            <w:top w:w="0" w:type="dxa"/>
            <w:left w:w="108" w:type="dxa"/>
            <w:bottom w:w="0" w:type="dxa"/>
            <w:right w:w="108" w:type="dxa"/>
          </w:tblCellMar>
        </w:tblPrEx>
        <w:trPr>
          <w:trHeight w:val="1626"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5</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依法必须招标的工业项目招标人无正当理由不发中标通知书，不按规定确定中标人，无正当理由改变中标结果或不与中标人订立合同，在订立合同时向中标人提出附加条件的处罚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1.《招标投标法实施条例》</w:t>
            </w:r>
          </w:p>
          <w:p>
            <w:pPr>
              <w:widowControl/>
              <w:spacing w:line="240" w:lineRule="exact"/>
              <w:jc w:val="left"/>
              <w:rPr>
                <w:color w:val="000000"/>
                <w:kern w:val="0"/>
                <w:sz w:val="20"/>
                <w:szCs w:val="20"/>
              </w:rPr>
            </w:pPr>
            <w:r>
              <w:rPr>
                <w:color w:val="000000"/>
                <w:kern w:val="0"/>
                <w:sz w:val="20"/>
                <w:szCs w:val="20"/>
              </w:rPr>
              <w:t>第七十三条 依法必须进行招标的项目的招标人有下列情形之一的，由有关行政监督部门责令改正，可以处中标项目金额 10‰以下的罚款；给他人造成损失的，依法承担赔偿责任；对单位直接负责的主管人员和其他直接责任人员依法给予处分：</w:t>
            </w:r>
          </w:p>
          <w:p>
            <w:pPr>
              <w:widowControl/>
              <w:spacing w:line="240" w:lineRule="exact"/>
              <w:jc w:val="left"/>
              <w:rPr>
                <w:color w:val="000000"/>
                <w:kern w:val="0"/>
                <w:sz w:val="20"/>
                <w:szCs w:val="20"/>
              </w:rPr>
            </w:pPr>
            <w:r>
              <w:rPr>
                <w:color w:val="000000"/>
                <w:kern w:val="0"/>
                <w:sz w:val="20"/>
                <w:szCs w:val="20"/>
              </w:rPr>
              <w:t>（一）无正当理由不发出中标通知书；</w:t>
            </w:r>
          </w:p>
          <w:p>
            <w:pPr>
              <w:widowControl/>
              <w:spacing w:line="240" w:lineRule="exact"/>
              <w:jc w:val="left"/>
              <w:rPr>
                <w:color w:val="000000"/>
                <w:kern w:val="0"/>
                <w:sz w:val="20"/>
                <w:szCs w:val="20"/>
              </w:rPr>
            </w:pPr>
            <w:r>
              <w:rPr>
                <w:color w:val="000000"/>
                <w:kern w:val="0"/>
                <w:sz w:val="20"/>
                <w:szCs w:val="20"/>
              </w:rPr>
              <w:t>（二）不按照规定确定中标人；</w:t>
            </w:r>
          </w:p>
          <w:p>
            <w:pPr>
              <w:widowControl/>
              <w:spacing w:line="240" w:lineRule="exact"/>
              <w:jc w:val="left"/>
              <w:rPr>
                <w:color w:val="000000"/>
                <w:kern w:val="0"/>
                <w:sz w:val="20"/>
                <w:szCs w:val="20"/>
              </w:rPr>
            </w:pPr>
            <w:r>
              <w:rPr>
                <w:color w:val="000000"/>
                <w:kern w:val="0"/>
                <w:sz w:val="20"/>
                <w:szCs w:val="20"/>
              </w:rPr>
              <w:t>（三）中标通知书发出后无正当理由改变中标结果；</w:t>
            </w:r>
          </w:p>
          <w:p>
            <w:pPr>
              <w:widowControl/>
              <w:spacing w:line="240" w:lineRule="exact"/>
              <w:jc w:val="left"/>
              <w:rPr>
                <w:color w:val="000000"/>
                <w:kern w:val="0"/>
                <w:sz w:val="20"/>
                <w:szCs w:val="20"/>
              </w:rPr>
            </w:pPr>
            <w:r>
              <w:rPr>
                <w:color w:val="000000"/>
                <w:kern w:val="0"/>
                <w:sz w:val="20"/>
                <w:szCs w:val="20"/>
              </w:rPr>
              <w:t>（四）无正当理由不与中标人订立合同；</w:t>
            </w:r>
          </w:p>
          <w:p>
            <w:pPr>
              <w:widowControl/>
              <w:spacing w:line="240" w:lineRule="exact"/>
              <w:jc w:val="left"/>
              <w:rPr>
                <w:color w:val="000000"/>
                <w:kern w:val="0"/>
                <w:sz w:val="20"/>
                <w:szCs w:val="20"/>
              </w:rPr>
            </w:pPr>
            <w:r>
              <w:rPr>
                <w:color w:val="000000"/>
                <w:kern w:val="0"/>
                <w:sz w:val="20"/>
                <w:szCs w:val="20"/>
              </w:rPr>
              <w:t>（五）在订立合同时向中标人提出附加条件。</w:t>
            </w:r>
          </w:p>
          <w:p>
            <w:pPr>
              <w:widowControl/>
              <w:spacing w:line="240" w:lineRule="exact"/>
              <w:jc w:val="left"/>
              <w:rPr>
                <w:color w:val="000000"/>
                <w:kern w:val="0"/>
                <w:sz w:val="20"/>
                <w:szCs w:val="20"/>
              </w:rPr>
            </w:pPr>
            <w:r>
              <w:rPr>
                <w:color w:val="000000"/>
                <w:kern w:val="0"/>
                <w:sz w:val="20"/>
                <w:szCs w:val="20"/>
              </w:rPr>
              <w:t>2.《工程建设项目货物招标投标办法》</w:t>
            </w:r>
          </w:p>
          <w:p>
            <w:pPr>
              <w:widowControl/>
              <w:spacing w:line="240" w:lineRule="exact"/>
              <w:jc w:val="left"/>
              <w:rPr>
                <w:color w:val="000000"/>
                <w:kern w:val="0"/>
                <w:sz w:val="20"/>
                <w:szCs w:val="20"/>
              </w:rPr>
            </w:pPr>
            <w:r>
              <w:rPr>
                <w:color w:val="000000"/>
                <w:kern w:val="0"/>
                <w:sz w:val="20"/>
                <w:szCs w:val="20"/>
              </w:rPr>
              <w:t>第五十八条（第一款第（一）项）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widowControl/>
              <w:spacing w:line="240" w:lineRule="exact"/>
              <w:jc w:val="left"/>
              <w:rPr>
                <w:color w:val="000000"/>
                <w:kern w:val="0"/>
                <w:sz w:val="20"/>
                <w:szCs w:val="20"/>
              </w:rPr>
            </w:pPr>
            <w:r>
              <w:rPr>
                <w:color w:val="000000"/>
                <w:kern w:val="0"/>
                <w:sz w:val="20"/>
                <w:szCs w:val="20"/>
              </w:rPr>
              <w:t>（一）无正当理由不发出中标通知书。</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处中标项目金额3‰以下的罚款。</w:t>
            </w:r>
          </w:p>
        </w:tc>
      </w:tr>
      <w:tr>
        <w:tblPrEx>
          <w:tblCellMar>
            <w:top w:w="0" w:type="dxa"/>
            <w:left w:w="108" w:type="dxa"/>
            <w:bottom w:w="0" w:type="dxa"/>
            <w:right w:w="108" w:type="dxa"/>
          </w:tblCellMar>
        </w:tblPrEx>
        <w:trPr>
          <w:trHeight w:val="1535"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处中标项目金额3-6‰的罚款。</w:t>
            </w:r>
          </w:p>
        </w:tc>
      </w:tr>
      <w:tr>
        <w:tblPrEx>
          <w:tblCellMar>
            <w:top w:w="0" w:type="dxa"/>
            <w:left w:w="108" w:type="dxa"/>
            <w:bottom w:w="0" w:type="dxa"/>
            <w:right w:w="108" w:type="dxa"/>
          </w:tblCellMar>
        </w:tblPrEx>
        <w:trPr>
          <w:trHeight w:val="2834"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处中标项目金额6-10‰的罚款。</w:t>
            </w:r>
          </w:p>
        </w:tc>
      </w:tr>
      <w:tr>
        <w:tblPrEx>
          <w:tblCellMar>
            <w:top w:w="0" w:type="dxa"/>
            <w:left w:w="108" w:type="dxa"/>
            <w:bottom w:w="0" w:type="dxa"/>
            <w:right w:w="108" w:type="dxa"/>
          </w:tblCellMar>
        </w:tblPrEx>
        <w:trPr>
          <w:trHeight w:val="2043"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6</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依法必须进行招标的工业项目招标人违法与投标人进行实质性内容谈判；与中标人不按招投标文件订立合同或订立背离合同实质性内容的协议的处罚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1.《招标投标法》</w:t>
            </w:r>
          </w:p>
          <w:p>
            <w:pPr>
              <w:widowControl/>
              <w:spacing w:line="240" w:lineRule="exact"/>
              <w:jc w:val="left"/>
              <w:rPr>
                <w:color w:val="000000"/>
                <w:kern w:val="0"/>
                <w:sz w:val="20"/>
                <w:szCs w:val="20"/>
              </w:rPr>
            </w:pPr>
            <w:r>
              <w:rPr>
                <w:color w:val="000000"/>
                <w:kern w:val="0"/>
                <w:sz w:val="20"/>
                <w:szCs w:val="20"/>
              </w:rPr>
              <w:t>第五十九条 招标人与中标人不按照招标文件和中标人的投标文件订立合同的，或者招标人、中标人订立背离合同实质性内容的协议的，责令改正；可以处中标项目金额千分之五以上千分之十以下的罚款。</w:t>
            </w:r>
          </w:p>
          <w:p>
            <w:pPr>
              <w:widowControl/>
              <w:spacing w:line="240" w:lineRule="exact"/>
              <w:jc w:val="left"/>
              <w:rPr>
                <w:color w:val="000000"/>
                <w:kern w:val="0"/>
                <w:sz w:val="20"/>
                <w:szCs w:val="20"/>
              </w:rPr>
            </w:pPr>
            <w:r>
              <w:rPr>
                <w:color w:val="000000"/>
                <w:kern w:val="0"/>
                <w:sz w:val="20"/>
                <w:szCs w:val="20"/>
              </w:rPr>
              <w:t>2.《招标投标法实施条例》</w:t>
            </w:r>
          </w:p>
          <w:p>
            <w:pPr>
              <w:widowControl/>
              <w:spacing w:line="240" w:lineRule="exact"/>
              <w:jc w:val="left"/>
              <w:rPr>
                <w:color w:val="000000"/>
                <w:kern w:val="0"/>
                <w:sz w:val="20"/>
                <w:szCs w:val="20"/>
              </w:rPr>
            </w:pPr>
            <w:r>
              <w:rPr>
                <w:color w:val="000000"/>
                <w:kern w:val="0"/>
                <w:sz w:val="20"/>
                <w:szCs w:val="20"/>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widowControl/>
              <w:spacing w:line="240" w:lineRule="exact"/>
              <w:jc w:val="left"/>
              <w:rPr>
                <w:color w:val="000000"/>
                <w:kern w:val="0"/>
                <w:sz w:val="20"/>
                <w:szCs w:val="20"/>
              </w:rPr>
            </w:pPr>
            <w:r>
              <w:rPr>
                <w:color w:val="000000"/>
                <w:kern w:val="0"/>
                <w:sz w:val="20"/>
                <w:szCs w:val="20"/>
              </w:rPr>
              <w:t>3.《工程建设项目勘察设计招标投标办法》</w:t>
            </w:r>
          </w:p>
          <w:p>
            <w:pPr>
              <w:widowControl/>
              <w:spacing w:line="240" w:lineRule="exact"/>
              <w:jc w:val="left"/>
              <w:rPr>
                <w:color w:val="000000"/>
                <w:kern w:val="0"/>
                <w:sz w:val="20"/>
                <w:szCs w:val="20"/>
              </w:rPr>
            </w:pPr>
            <w:r>
              <w:rPr>
                <w:color w:val="000000"/>
                <w:kern w:val="0"/>
                <w:sz w:val="20"/>
                <w:szCs w:val="20"/>
              </w:rPr>
              <w:t>第五十五条 招标人与中标人不按照招标文件和中标人的投标文件订立合同，责令改正，可以处中标项目金额千分之五以上千分之十以下的罚款。</w:t>
            </w:r>
          </w:p>
          <w:p>
            <w:pPr>
              <w:widowControl/>
              <w:spacing w:line="240" w:lineRule="exact"/>
              <w:jc w:val="left"/>
              <w:rPr>
                <w:color w:val="000000"/>
                <w:kern w:val="0"/>
                <w:sz w:val="20"/>
                <w:szCs w:val="20"/>
              </w:rPr>
            </w:pPr>
            <w:r>
              <w:rPr>
                <w:color w:val="000000"/>
                <w:kern w:val="0"/>
                <w:sz w:val="20"/>
                <w:szCs w:val="20"/>
              </w:rPr>
              <w:t>4.《评标委员会和评标方法暂行规定》</w:t>
            </w:r>
          </w:p>
          <w:p>
            <w:pPr>
              <w:widowControl/>
              <w:spacing w:line="240" w:lineRule="exact"/>
              <w:jc w:val="left"/>
              <w:rPr>
                <w:color w:val="000000"/>
                <w:kern w:val="0"/>
                <w:sz w:val="20"/>
                <w:szCs w:val="20"/>
              </w:rPr>
            </w:pPr>
            <w:r>
              <w:rPr>
                <w:color w:val="000000"/>
                <w:kern w:val="0"/>
                <w:sz w:val="20"/>
                <w:szCs w:val="20"/>
              </w:rPr>
              <w:t>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pPr>
              <w:widowControl/>
              <w:spacing w:line="240" w:lineRule="exact"/>
              <w:jc w:val="left"/>
              <w:rPr>
                <w:color w:val="000000"/>
                <w:kern w:val="0"/>
                <w:sz w:val="20"/>
                <w:szCs w:val="20"/>
              </w:rPr>
            </w:pPr>
            <w:r>
              <w:rPr>
                <w:color w:val="000000"/>
                <w:kern w:val="0"/>
                <w:sz w:val="20"/>
                <w:szCs w:val="20"/>
              </w:rPr>
              <w:t>5.《工程建设项目施工招标投标办法》</w:t>
            </w:r>
          </w:p>
          <w:p>
            <w:pPr>
              <w:widowControl/>
              <w:spacing w:line="240" w:lineRule="exact"/>
              <w:jc w:val="left"/>
              <w:rPr>
                <w:color w:val="000000"/>
                <w:kern w:val="0"/>
                <w:sz w:val="20"/>
                <w:szCs w:val="20"/>
              </w:rPr>
            </w:pPr>
            <w:r>
              <w:rPr>
                <w:color w:val="000000"/>
                <w:kern w:val="0"/>
                <w:sz w:val="20"/>
                <w:szCs w:val="20"/>
              </w:rPr>
              <w:t>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处中标项目金额5-6‰的罚款。</w:t>
            </w:r>
          </w:p>
        </w:tc>
      </w:tr>
      <w:tr>
        <w:tblPrEx>
          <w:tblCellMar>
            <w:top w:w="0" w:type="dxa"/>
            <w:left w:w="108" w:type="dxa"/>
            <w:bottom w:w="0" w:type="dxa"/>
            <w:right w:w="108" w:type="dxa"/>
          </w:tblCellMar>
        </w:tblPrEx>
        <w:trPr>
          <w:trHeight w:val="2553"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处中标项目金额6-8‰的罚款。</w:t>
            </w:r>
          </w:p>
        </w:tc>
      </w:tr>
      <w:tr>
        <w:tblPrEx>
          <w:tblCellMar>
            <w:top w:w="0" w:type="dxa"/>
            <w:left w:w="108" w:type="dxa"/>
            <w:bottom w:w="0" w:type="dxa"/>
            <w:right w:w="108" w:type="dxa"/>
          </w:tblCellMar>
        </w:tblPrEx>
        <w:trPr>
          <w:trHeight w:val="3499"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处中标项目金额8-10‰的罚款。</w:t>
            </w:r>
          </w:p>
        </w:tc>
      </w:tr>
      <w:tr>
        <w:tblPrEx>
          <w:tblCellMar>
            <w:top w:w="0" w:type="dxa"/>
            <w:left w:w="108" w:type="dxa"/>
            <w:bottom w:w="0" w:type="dxa"/>
            <w:right w:w="108" w:type="dxa"/>
          </w:tblCellMar>
        </w:tblPrEx>
        <w:trPr>
          <w:trHeight w:val="1314"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7</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依法必须招标的省级工业项目，招标人不按照规定组建评标委员会或者违法确定、更换评标委员会成员的处罚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1.《招标投标法实施条例》</w:t>
            </w:r>
          </w:p>
          <w:p>
            <w:pPr>
              <w:widowControl/>
              <w:spacing w:line="240" w:lineRule="exact"/>
              <w:jc w:val="left"/>
              <w:rPr>
                <w:color w:val="000000"/>
                <w:kern w:val="0"/>
                <w:sz w:val="20"/>
                <w:szCs w:val="20"/>
              </w:rPr>
            </w:pPr>
            <w:r>
              <w:rPr>
                <w:color w:val="000000"/>
                <w:kern w:val="0"/>
                <w:sz w:val="20"/>
                <w:szCs w:val="20"/>
              </w:rPr>
              <w:t>第七十条（第一款） 依法必须进行招标的项目的招标人不按照规定组建评标委员会，或者确定、更换评标委员会成员违反招标投标法和本条例规定的，由有关行政监督部门责令改正，可以处 10 万元以下的罚款，对单位直接负责的主管人员和其他直接责任人员依法给予处分。</w:t>
            </w:r>
          </w:p>
          <w:p>
            <w:pPr>
              <w:widowControl/>
              <w:spacing w:line="240" w:lineRule="exact"/>
              <w:jc w:val="left"/>
              <w:rPr>
                <w:color w:val="000000"/>
                <w:kern w:val="0"/>
                <w:sz w:val="20"/>
                <w:szCs w:val="20"/>
              </w:rPr>
            </w:pPr>
            <w:r>
              <w:rPr>
                <w:color w:val="000000"/>
                <w:kern w:val="0"/>
                <w:sz w:val="20"/>
                <w:szCs w:val="20"/>
              </w:rPr>
              <w:t>2.《评标专家和评标专家库管理暂行办法》</w:t>
            </w:r>
          </w:p>
          <w:p>
            <w:pPr>
              <w:widowControl/>
              <w:spacing w:line="240" w:lineRule="exact"/>
              <w:jc w:val="left"/>
              <w:rPr>
                <w:color w:val="000000"/>
                <w:kern w:val="0"/>
                <w:sz w:val="20"/>
                <w:szCs w:val="20"/>
              </w:rPr>
            </w:pPr>
            <w:r>
              <w:rPr>
                <w:color w:val="000000"/>
                <w:kern w:val="0"/>
                <w:sz w:val="20"/>
                <w:szCs w:val="20"/>
              </w:rPr>
              <w:t>第十七条 依法必须进行招标的项目的招标人不按照规定组建评标委员会，或者确定、更换评标委员会成员违反《招标投标法》和《招标投标法实施条例》规定的，由有关行政监督部门责令改正，可以处十万元以下的罚款，对单位直接负责的主管人员和其他直接责任人员依法给予处分；违法确定或者更换的评标委员会成员作出的评审结论无效，依法重新进行评审。</w:t>
            </w:r>
          </w:p>
          <w:p>
            <w:pPr>
              <w:widowControl/>
              <w:spacing w:line="240" w:lineRule="exact"/>
              <w:jc w:val="left"/>
              <w:rPr>
                <w:color w:val="000000"/>
                <w:kern w:val="0"/>
                <w:sz w:val="20"/>
                <w:szCs w:val="20"/>
              </w:rPr>
            </w:pPr>
            <w:r>
              <w:rPr>
                <w:color w:val="000000"/>
                <w:kern w:val="0"/>
                <w:sz w:val="20"/>
                <w:szCs w:val="20"/>
              </w:rPr>
              <w:t>政府投资项目的招标人或其委托的招标代理机构不遵守本办法第五条的规定，不从政府或者政府有关部门组建的评标专家库中抽取专家的，评标无效；情节严重的，由政府有关部门依法给予警告。</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处3万元以下的罚款。</w:t>
            </w:r>
          </w:p>
        </w:tc>
      </w:tr>
      <w:tr>
        <w:tblPrEx>
          <w:tblCellMar>
            <w:top w:w="0" w:type="dxa"/>
            <w:left w:w="108" w:type="dxa"/>
            <w:bottom w:w="0" w:type="dxa"/>
            <w:right w:w="108" w:type="dxa"/>
          </w:tblCellMar>
        </w:tblPrEx>
        <w:trPr>
          <w:trHeight w:val="1314"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处3-6万元的罚款。</w:t>
            </w:r>
          </w:p>
        </w:tc>
      </w:tr>
      <w:tr>
        <w:tblPrEx>
          <w:tblCellMar>
            <w:top w:w="0" w:type="dxa"/>
            <w:left w:w="108" w:type="dxa"/>
            <w:bottom w:w="0" w:type="dxa"/>
            <w:right w:w="108" w:type="dxa"/>
          </w:tblCellMar>
        </w:tblPrEx>
        <w:trPr>
          <w:trHeight w:val="1344"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处6-10万元的罚款，对政府投资项目的招标人或其委托的招标代理机构依法给与警告。</w:t>
            </w:r>
          </w:p>
        </w:tc>
      </w:tr>
      <w:tr>
        <w:tblPrEx>
          <w:tblCellMar>
            <w:top w:w="0" w:type="dxa"/>
            <w:left w:w="108" w:type="dxa"/>
            <w:bottom w:w="0" w:type="dxa"/>
            <w:right w:w="108" w:type="dxa"/>
          </w:tblCellMar>
        </w:tblPrEx>
        <w:trPr>
          <w:trHeight w:val="1290"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8</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从事节能咨询、设计、评估、检测、审计、认证等服务的机构提供虚假信息的处罚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《节约能源法》</w:t>
            </w:r>
          </w:p>
          <w:p>
            <w:pPr>
              <w:widowControl/>
              <w:spacing w:line="240" w:lineRule="exact"/>
              <w:jc w:val="left"/>
              <w:rPr>
                <w:color w:val="000000"/>
                <w:kern w:val="0"/>
                <w:sz w:val="20"/>
                <w:szCs w:val="20"/>
              </w:rPr>
            </w:pPr>
            <w:r>
              <w:rPr>
                <w:color w:val="000000"/>
                <w:kern w:val="0"/>
                <w:sz w:val="20"/>
                <w:szCs w:val="20"/>
              </w:rPr>
              <w:t>第七十六条 从事节能咨询、设计、评估、检测、审计、认证等服务的机构提供虚假信息的，由管理节能工作的部门责令改正，没收违法所得，并处五万元以上十万元以下罚款。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6"/>
                <w:kern w:val="0"/>
                <w:sz w:val="20"/>
                <w:szCs w:val="20"/>
              </w:rPr>
            </w:pPr>
            <w:r>
              <w:rPr>
                <w:color w:val="000000"/>
                <w:spacing w:val="-6"/>
                <w:kern w:val="0"/>
                <w:sz w:val="20"/>
                <w:szCs w:val="20"/>
              </w:rPr>
              <w:t>从轻处罚：违法所得在10万元以下的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没收违法所得，并处5万元以上6万元以下罚款。</w:t>
            </w:r>
          </w:p>
        </w:tc>
      </w:tr>
      <w:tr>
        <w:tblPrEx>
          <w:tblCellMar>
            <w:top w:w="0" w:type="dxa"/>
            <w:left w:w="108" w:type="dxa"/>
            <w:bottom w:w="0" w:type="dxa"/>
            <w:right w:w="108" w:type="dxa"/>
          </w:tblCellMar>
        </w:tblPrEx>
        <w:trPr>
          <w:trHeight w:val="1553"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6"/>
                <w:kern w:val="0"/>
                <w:sz w:val="20"/>
                <w:szCs w:val="20"/>
              </w:rPr>
            </w:pPr>
            <w:r>
              <w:rPr>
                <w:color w:val="000000"/>
                <w:spacing w:val="-6"/>
                <w:kern w:val="0"/>
                <w:sz w:val="20"/>
                <w:szCs w:val="20"/>
              </w:rPr>
              <w:t>一般处罚：违法所得在10万元以上20万元以下的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没收违法所得，并处6万元以上8万元以下罚款。</w:t>
            </w:r>
          </w:p>
        </w:tc>
      </w:tr>
      <w:tr>
        <w:tblPrEx>
          <w:tblCellMar>
            <w:top w:w="0" w:type="dxa"/>
            <w:left w:w="108" w:type="dxa"/>
            <w:bottom w:w="0" w:type="dxa"/>
            <w:right w:w="108" w:type="dxa"/>
          </w:tblCellMar>
        </w:tblPrEx>
        <w:trPr>
          <w:trHeight w:val="1362"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6"/>
                <w:kern w:val="0"/>
                <w:sz w:val="20"/>
                <w:szCs w:val="20"/>
              </w:rPr>
            </w:pPr>
            <w:r>
              <w:rPr>
                <w:color w:val="000000"/>
                <w:spacing w:val="-6"/>
                <w:kern w:val="0"/>
                <w:sz w:val="20"/>
                <w:szCs w:val="20"/>
              </w:rPr>
              <w:t>从重处罚：违法所得在20万元以上的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没收违法所得，并处8万元以上10万元以下罚款。</w:t>
            </w:r>
          </w:p>
        </w:tc>
      </w:tr>
      <w:tr>
        <w:tblPrEx>
          <w:tblCellMar>
            <w:top w:w="0" w:type="dxa"/>
            <w:left w:w="108" w:type="dxa"/>
            <w:bottom w:w="0" w:type="dxa"/>
            <w:right w:w="108" w:type="dxa"/>
          </w:tblCellMar>
        </w:tblPrEx>
        <w:trPr>
          <w:trHeight w:val="719"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9</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工业项目招标人限制或排斥潜在投标人的处罚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1.《招标投标法》</w:t>
            </w:r>
          </w:p>
          <w:p>
            <w:pPr>
              <w:widowControl/>
              <w:spacing w:line="240" w:lineRule="exact"/>
              <w:jc w:val="left"/>
              <w:rPr>
                <w:color w:val="000000"/>
                <w:kern w:val="0"/>
                <w:sz w:val="20"/>
                <w:szCs w:val="20"/>
              </w:rPr>
            </w:pPr>
            <w:r>
              <w:rPr>
                <w:color w:val="000000"/>
                <w:kern w:val="0"/>
                <w:sz w:val="20"/>
                <w:szCs w:val="20"/>
              </w:rPr>
              <w:t>第五十二条（第一款） 依法必须进行招标的项目的招标人向他人透露已获取招标文件的潜在投标人的名称、数量或者可能影响公平竞争的有关招标投标的其他情况的，或者泄露标底的，给予警告，可以并处一万元以上十万元以下的罚款。</w:t>
            </w:r>
          </w:p>
          <w:p>
            <w:pPr>
              <w:widowControl/>
              <w:spacing w:line="240" w:lineRule="exact"/>
              <w:jc w:val="left"/>
              <w:rPr>
                <w:color w:val="000000"/>
                <w:kern w:val="0"/>
                <w:sz w:val="20"/>
                <w:szCs w:val="20"/>
              </w:rPr>
            </w:pPr>
            <w:r>
              <w:rPr>
                <w:color w:val="000000"/>
                <w:kern w:val="0"/>
                <w:sz w:val="20"/>
                <w:szCs w:val="20"/>
              </w:rPr>
              <w:t>2.《工程建设项目施工招标投标办法》</w:t>
            </w:r>
          </w:p>
          <w:p>
            <w:pPr>
              <w:widowControl/>
              <w:spacing w:line="240" w:lineRule="exact"/>
              <w:jc w:val="left"/>
              <w:rPr>
                <w:color w:val="000000"/>
                <w:kern w:val="0"/>
                <w:sz w:val="20"/>
                <w:szCs w:val="20"/>
              </w:rPr>
            </w:pPr>
            <w:r>
              <w:rPr>
                <w:color w:val="000000"/>
                <w:kern w:val="0"/>
                <w:sz w:val="20"/>
                <w:szCs w:val="20"/>
              </w:rPr>
              <w:t>第七十一条（第一款）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给予警告。</w:t>
            </w:r>
          </w:p>
        </w:tc>
      </w:tr>
      <w:tr>
        <w:tblPrEx>
          <w:tblCellMar>
            <w:top w:w="0" w:type="dxa"/>
            <w:left w:w="108" w:type="dxa"/>
            <w:bottom w:w="0" w:type="dxa"/>
            <w:right w:w="108" w:type="dxa"/>
          </w:tblCellMar>
        </w:tblPrEx>
        <w:trPr>
          <w:trHeight w:val="720"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警告，并处1-5万元的罚款。</w:t>
            </w:r>
          </w:p>
        </w:tc>
      </w:tr>
      <w:tr>
        <w:tblPrEx>
          <w:tblCellMar>
            <w:top w:w="0" w:type="dxa"/>
            <w:left w:w="108" w:type="dxa"/>
            <w:bottom w:w="0" w:type="dxa"/>
            <w:right w:w="108" w:type="dxa"/>
          </w:tblCellMar>
        </w:tblPrEx>
        <w:trPr>
          <w:trHeight w:val="720"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警告，并处5-10万元的罚款。</w:t>
            </w:r>
          </w:p>
        </w:tc>
      </w:tr>
      <w:tr>
        <w:tblPrEx>
          <w:tblCellMar>
            <w:top w:w="0" w:type="dxa"/>
            <w:left w:w="108" w:type="dxa"/>
            <w:bottom w:w="0" w:type="dxa"/>
            <w:right w:w="108" w:type="dxa"/>
          </w:tblCellMar>
        </w:tblPrEx>
        <w:trPr>
          <w:trHeight w:val="1935"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10</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依法必须招标的工业项目招标人违法确定中标人的处罚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1.《招标投标法》</w:t>
            </w:r>
          </w:p>
          <w:p>
            <w:pPr>
              <w:widowControl/>
              <w:spacing w:line="240" w:lineRule="exact"/>
              <w:jc w:val="left"/>
              <w:rPr>
                <w:color w:val="000000"/>
                <w:kern w:val="0"/>
                <w:sz w:val="20"/>
                <w:szCs w:val="20"/>
              </w:rPr>
            </w:pPr>
            <w:r>
              <w:rPr>
                <w:color w:val="000000"/>
                <w:kern w:val="0"/>
                <w:sz w:val="20"/>
                <w:szCs w:val="20"/>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w:t>
            </w:r>
          </w:p>
          <w:p>
            <w:pPr>
              <w:widowControl/>
              <w:spacing w:line="240" w:lineRule="exact"/>
              <w:jc w:val="left"/>
              <w:rPr>
                <w:color w:val="000000"/>
                <w:kern w:val="0"/>
                <w:sz w:val="20"/>
                <w:szCs w:val="20"/>
              </w:rPr>
            </w:pPr>
            <w:r>
              <w:rPr>
                <w:color w:val="000000"/>
                <w:kern w:val="0"/>
                <w:sz w:val="20"/>
                <w:szCs w:val="20"/>
              </w:rPr>
              <w:t>2.《招标投标法实施条例》</w:t>
            </w:r>
          </w:p>
          <w:p>
            <w:pPr>
              <w:widowControl/>
              <w:spacing w:line="240" w:lineRule="exact"/>
              <w:jc w:val="left"/>
              <w:rPr>
                <w:color w:val="000000"/>
                <w:kern w:val="0"/>
                <w:sz w:val="20"/>
                <w:szCs w:val="20"/>
              </w:rPr>
            </w:pPr>
            <w:r>
              <w:rPr>
                <w:color w:val="000000"/>
                <w:kern w:val="0"/>
                <w:sz w:val="20"/>
                <w:szCs w:val="20"/>
              </w:rPr>
              <w:t>第七十三条（第二项） 依法必须进行招标的项目的招标人有下列情形之一的，由有关行政监督部门责令改正，可以处中标项目金额 10‰以下的罚款；给他人造成损失的，依法承担赔偿责任；对单位直接负责的主管人员和其他直接责任人员依法给予处分：</w:t>
            </w:r>
          </w:p>
          <w:p>
            <w:pPr>
              <w:widowControl/>
              <w:spacing w:line="240" w:lineRule="exact"/>
              <w:jc w:val="left"/>
              <w:rPr>
                <w:color w:val="000000"/>
                <w:kern w:val="0"/>
                <w:sz w:val="20"/>
                <w:szCs w:val="20"/>
              </w:rPr>
            </w:pPr>
            <w:r>
              <w:rPr>
                <w:color w:val="000000"/>
                <w:kern w:val="0"/>
                <w:sz w:val="20"/>
                <w:szCs w:val="20"/>
              </w:rPr>
              <w:t>（二）不按照规定确定中标人。</w:t>
            </w:r>
          </w:p>
          <w:p>
            <w:pPr>
              <w:widowControl/>
              <w:spacing w:line="240" w:lineRule="exact"/>
              <w:jc w:val="left"/>
              <w:rPr>
                <w:color w:val="000000"/>
                <w:kern w:val="0"/>
                <w:sz w:val="20"/>
                <w:szCs w:val="20"/>
              </w:rPr>
            </w:pPr>
            <w:r>
              <w:rPr>
                <w:color w:val="000000"/>
                <w:kern w:val="0"/>
                <w:sz w:val="20"/>
                <w:szCs w:val="20"/>
              </w:rPr>
              <w:t>3.《工程建设项目施工招标投标办法》</w:t>
            </w:r>
          </w:p>
          <w:p>
            <w:pPr>
              <w:widowControl/>
              <w:spacing w:line="240" w:lineRule="exact"/>
              <w:jc w:val="left"/>
              <w:rPr>
                <w:color w:val="000000"/>
                <w:kern w:val="0"/>
                <w:sz w:val="20"/>
                <w:szCs w:val="20"/>
              </w:rPr>
            </w:pPr>
            <w:r>
              <w:rPr>
                <w:color w:val="000000"/>
                <w:kern w:val="0"/>
                <w:sz w:val="20"/>
                <w:szCs w:val="20"/>
              </w:rPr>
              <w:t>第八十条（第二项）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widowControl/>
              <w:spacing w:line="240" w:lineRule="exact"/>
              <w:jc w:val="left"/>
              <w:rPr>
                <w:color w:val="000000"/>
                <w:kern w:val="0"/>
                <w:sz w:val="20"/>
                <w:szCs w:val="20"/>
              </w:rPr>
            </w:pPr>
            <w:r>
              <w:rPr>
                <w:color w:val="000000"/>
                <w:kern w:val="0"/>
                <w:sz w:val="20"/>
                <w:szCs w:val="20"/>
              </w:rPr>
              <w:t>（二）不按照规定确定中标人。</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在评标委员会依法推荐的中标候选人以外确定中标人的，依法必须进行招标的项目在所有投标被评标委员会否决后自行确定中标人的，处中标项目金额5-6‰的罚款，其他不按规定确定中标人的，处中标项目金额3‰以下的罚款。</w:t>
            </w:r>
          </w:p>
        </w:tc>
      </w:tr>
      <w:tr>
        <w:tblPrEx>
          <w:tblCellMar>
            <w:top w:w="0" w:type="dxa"/>
            <w:left w:w="108" w:type="dxa"/>
            <w:bottom w:w="0" w:type="dxa"/>
            <w:right w:w="108" w:type="dxa"/>
          </w:tblCellMar>
        </w:tblPrEx>
        <w:trPr>
          <w:trHeight w:val="2055"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在评标委员会依法推荐的中标候选人以外确定中标人的，依法必须进行招标的项目在所有投标被评标委员会否决后自行确定中标人的，处中标项目金额6-8‰的罚款，其他不按规定确定中标人的，处中标项目金额3-6‰的罚款。</w:t>
            </w:r>
          </w:p>
        </w:tc>
      </w:tr>
      <w:tr>
        <w:tblPrEx>
          <w:tblCellMar>
            <w:top w:w="0" w:type="dxa"/>
            <w:left w:w="108" w:type="dxa"/>
            <w:bottom w:w="0" w:type="dxa"/>
            <w:right w:w="108" w:type="dxa"/>
          </w:tblCellMar>
        </w:tblPrEx>
        <w:trPr>
          <w:trHeight w:val="2040"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在评标委员会依法推荐的中标候选人以外确定中标人的，依法必须进行招标的项目在所有投标被评标委员会否决后自行确定中标人的，处中标项目金额8-10‰的罚款，其他不按规定确定中标人的，处中标项目金额6-10‰的罚款。</w:t>
            </w:r>
          </w:p>
        </w:tc>
      </w:tr>
      <w:tr>
        <w:tblPrEx>
          <w:tblCellMar>
            <w:top w:w="0" w:type="dxa"/>
            <w:left w:w="108" w:type="dxa"/>
            <w:bottom w:w="0" w:type="dxa"/>
            <w:right w:w="108" w:type="dxa"/>
          </w:tblCellMar>
        </w:tblPrEx>
        <w:trPr>
          <w:trHeight w:val="1355"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11</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工业项目中标人违法转让、分包中标项目，不按照与招标人订立的合同履行义务的处罚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1.《招标投标法》</w:t>
            </w:r>
          </w:p>
          <w:p>
            <w:pPr>
              <w:widowControl/>
              <w:spacing w:line="240" w:lineRule="exact"/>
              <w:jc w:val="left"/>
              <w:rPr>
                <w:color w:val="000000"/>
                <w:kern w:val="0"/>
                <w:sz w:val="20"/>
                <w:szCs w:val="20"/>
              </w:rPr>
            </w:pPr>
            <w:r>
              <w:rPr>
                <w:color w:val="000000"/>
                <w:kern w:val="0"/>
                <w:sz w:val="20"/>
                <w:szCs w:val="20"/>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w:t>
            </w:r>
          </w:p>
          <w:p>
            <w:pPr>
              <w:widowControl/>
              <w:spacing w:line="240" w:lineRule="exact"/>
              <w:jc w:val="left"/>
              <w:rPr>
                <w:color w:val="000000"/>
                <w:kern w:val="0"/>
                <w:sz w:val="20"/>
                <w:szCs w:val="20"/>
              </w:rPr>
            </w:pPr>
            <w:r>
              <w:rPr>
                <w:color w:val="000000"/>
                <w:kern w:val="0"/>
                <w:sz w:val="20"/>
                <w:szCs w:val="20"/>
              </w:rPr>
              <w:t>2.《招标投标法实施条例》</w:t>
            </w:r>
          </w:p>
          <w:p>
            <w:pPr>
              <w:widowControl/>
              <w:spacing w:line="240" w:lineRule="exact"/>
              <w:jc w:val="left"/>
              <w:rPr>
                <w:color w:val="000000"/>
                <w:kern w:val="0"/>
                <w:sz w:val="20"/>
                <w:szCs w:val="20"/>
              </w:rPr>
            </w:pPr>
            <w:r>
              <w:rPr>
                <w:color w:val="000000"/>
                <w:kern w:val="0"/>
                <w:sz w:val="20"/>
                <w:szCs w:val="20"/>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 5‰以上 10‰以下的罚款；有违法所得的，并处没收违法所得；可以责令停业整顿。</w:t>
            </w:r>
          </w:p>
          <w:p>
            <w:pPr>
              <w:widowControl/>
              <w:spacing w:line="240" w:lineRule="exact"/>
              <w:jc w:val="left"/>
              <w:rPr>
                <w:color w:val="000000"/>
                <w:kern w:val="0"/>
                <w:sz w:val="20"/>
                <w:szCs w:val="20"/>
              </w:rPr>
            </w:pPr>
            <w:r>
              <w:rPr>
                <w:color w:val="000000"/>
                <w:kern w:val="0"/>
                <w:sz w:val="20"/>
                <w:szCs w:val="20"/>
              </w:rPr>
              <w:t>3.《工程建设项目施工招标投标办法》</w:t>
            </w:r>
          </w:p>
          <w:p>
            <w:pPr>
              <w:widowControl/>
              <w:spacing w:line="240" w:lineRule="exact"/>
              <w:jc w:val="left"/>
              <w:rPr>
                <w:color w:val="000000"/>
                <w:kern w:val="0"/>
                <w:sz w:val="20"/>
                <w:szCs w:val="20"/>
              </w:rPr>
            </w:pPr>
            <w:r>
              <w:rPr>
                <w:color w:val="000000"/>
                <w:kern w:val="0"/>
                <w:sz w:val="20"/>
                <w:szCs w:val="20"/>
              </w:rPr>
              <w:t>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处转让、分包项目金额5-6‰的罚款；有违法所得的，并处没收违法所得。</w:t>
            </w:r>
          </w:p>
        </w:tc>
      </w:tr>
      <w:tr>
        <w:tblPrEx>
          <w:tblCellMar>
            <w:top w:w="0" w:type="dxa"/>
            <w:left w:w="108" w:type="dxa"/>
            <w:bottom w:w="0" w:type="dxa"/>
            <w:right w:w="108" w:type="dxa"/>
          </w:tblCellMar>
        </w:tblPrEx>
        <w:trPr>
          <w:trHeight w:val="1355"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处转让、分包项目金额6-8‰的罚款；有违法所得的，并处没收违法所得。</w:t>
            </w:r>
          </w:p>
        </w:tc>
      </w:tr>
      <w:tr>
        <w:tblPrEx>
          <w:tblCellMar>
            <w:top w:w="0" w:type="dxa"/>
            <w:left w:w="108" w:type="dxa"/>
            <w:bottom w:w="0" w:type="dxa"/>
            <w:right w:w="108" w:type="dxa"/>
          </w:tblCellMar>
        </w:tblPrEx>
        <w:trPr>
          <w:trHeight w:val="1103"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处转让、分包项目金额8-10‰的罚款；有违法所得的，并处没收违法所得。责令停业整顿。</w:t>
            </w:r>
          </w:p>
        </w:tc>
      </w:tr>
      <w:tr>
        <w:tblPrEx>
          <w:tblCellMar>
            <w:top w:w="0" w:type="dxa"/>
            <w:left w:w="108" w:type="dxa"/>
            <w:bottom w:w="0" w:type="dxa"/>
            <w:right w:w="108" w:type="dxa"/>
          </w:tblCellMar>
        </w:tblPrEx>
        <w:trPr>
          <w:trHeight w:val="2114"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12</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工业项目投标人串标或以行贿手段谋取中标；以他人名义投标或以其他方式骗取中标的处罚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 《招标投标法》</w:t>
            </w:r>
          </w:p>
          <w:p>
            <w:pPr>
              <w:widowControl/>
              <w:spacing w:line="240" w:lineRule="exact"/>
              <w:jc w:val="left"/>
              <w:rPr>
                <w:color w:val="000000"/>
                <w:kern w:val="0"/>
                <w:sz w:val="20"/>
                <w:szCs w:val="20"/>
              </w:rPr>
            </w:pPr>
            <w:r>
              <w:rPr>
                <w:color w:val="000000"/>
                <w:kern w:val="0"/>
                <w:sz w:val="20"/>
                <w:szCs w:val="20"/>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widowControl/>
              <w:spacing w:line="240" w:lineRule="exact"/>
              <w:jc w:val="left"/>
              <w:rPr>
                <w:color w:val="000000"/>
                <w:kern w:val="0"/>
                <w:sz w:val="20"/>
                <w:szCs w:val="20"/>
              </w:rPr>
            </w:pPr>
            <w:r>
              <w:rPr>
                <w:color w:val="000000"/>
                <w:kern w:val="0"/>
                <w:sz w:val="20"/>
                <w:szCs w:val="20"/>
              </w:rPr>
              <w:t>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widowControl/>
              <w:spacing w:line="220" w:lineRule="exact"/>
              <w:jc w:val="left"/>
              <w:rPr>
                <w:color w:val="000000"/>
                <w:kern w:val="0"/>
                <w:sz w:val="20"/>
                <w:szCs w:val="20"/>
              </w:rPr>
            </w:pPr>
            <w:r>
              <w:rPr>
                <w:color w:val="000000"/>
                <w:kern w:val="0"/>
                <w:sz w:val="20"/>
                <w:szCs w:val="20"/>
              </w:rPr>
              <w:t>2.《招标投标法实施条例》</w:t>
            </w:r>
          </w:p>
          <w:p>
            <w:pPr>
              <w:widowControl/>
              <w:spacing w:line="220" w:lineRule="exact"/>
              <w:jc w:val="left"/>
              <w:rPr>
                <w:color w:val="000000"/>
                <w:kern w:val="0"/>
                <w:sz w:val="20"/>
                <w:szCs w:val="20"/>
              </w:rPr>
            </w:pPr>
            <w:r>
              <w:rPr>
                <w:color w:val="000000"/>
                <w:kern w:val="0"/>
                <w:sz w:val="20"/>
                <w:szCs w:val="20"/>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widowControl/>
              <w:spacing w:line="220" w:lineRule="exact"/>
              <w:jc w:val="left"/>
              <w:rPr>
                <w:color w:val="000000"/>
                <w:kern w:val="0"/>
                <w:sz w:val="20"/>
                <w:szCs w:val="20"/>
              </w:rPr>
            </w:pPr>
            <w:r>
              <w:rPr>
                <w:color w:val="000000"/>
                <w:kern w:val="0"/>
                <w:sz w:val="20"/>
                <w:szCs w:val="20"/>
              </w:rPr>
              <w:t>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w:t>
            </w:r>
          </w:p>
          <w:p>
            <w:pPr>
              <w:widowControl/>
              <w:spacing w:line="220" w:lineRule="exact"/>
              <w:jc w:val="left"/>
              <w:rPr>
                <w:color w:val="000000"/>
                <w:kern w:val="0"/>
                <w:sz w:val="20"/>
                <w:szCs w:val="20"/>
              </w:rPr>
            </w:pPr>
            <w:r>
              <w:rPr>
                <w:color w:val="000000"/>
                <w:kern w:val="0"/>
                <w:sz w:val="20"/>
                <w:szCs w:val="20"/>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widowControl/>
              <w:spacing w:line="220" w:lineRule="exact"/>
              <w:jc w:val="left"/>
              <w:rPr>
                <w:color w:val="000000"/>
                <w:kern w:val="0"/>
                <w:sz w:val="20"/>
                <w:szCs w:val="20"/>
              </w:rPr>
            </w:pPr>
            <w:r>
              <w:rPr>
                <w:color w:val="000000"/>
                <w:kern w:val="0"/>
                <w:sz w:val="20"/>
                <w:szCs w:val="20"/>
              </w:rPr>
              <w:t>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p>
          <w:p>
            <w:pPr>
              <w:widowControl/>
              <w:spacing w:line="220" w:lineRule="exact"/>
              <w:jc w:val="left"/>
              <w:rPr>
                <w:color w:val="000000"/>
                <w:kern w:val="0"/>
                <w:sz w:val="20"/>
                <w:szCs w:val="20"/>
              </w:rPr>
            </w:pPr>
            <w:r>
              <w:rPr>
                <w:color w:val="000000"/>
                <w:kern w:val="0"/>
                <w:sz w:val="20"/>
                <w:szCs w:val="20"/>
              </w:rPr>
              <w:t xml:space="preserve">3.《工程建设项目施工招标投标办法》        </w:t>
            </w:r>
          </w:p>
          <w:p>
            <w:pPr>
              <w:widowControl/>
              <w:spacing w:line="220" w:lineRule="exact"/>
              <w:jc w:val="left"/>
              <w:rPr>
                <w:color w:val="000000"/>
                <w:kern w:val="0"/>
                <w:sz w:val="20"/>
                <w:szCs w:val="20"/>
              </w:rPr>
            </w:pPr>
            <w:r>
              <w:rPr>
                <w:color w:val="000000"/>
                <w:kern w:val="0"/>
                <w:sz w:val="20"/>
                <w:szCs w:val="20"/>
              </w:rPr>
              <w:t>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pPr>
              <w:widowControl/>
              <w:spacing w:line="220" w:lineRule="exact"/>
              <w:jc w:val="left"/>
              <w:rPr>
                <w:color w:val="000000"/>
                <w:kern w:val="0"/>
                <w:sz w:val="20"/>
                <w:szCs w:val="20"/>
              </w:rPr>
            </w:pPr>
            <w:r>
              <w:rPr>
                <w:color w:val="000000"/>
                <w:kern w:val="0"/>
                <w:sz w:val="20"/>
                <w:szCs w:val="20"/>
              </w:rPr>
              <w:t>第七十五条 投标人以他人名义投标或者以其他方式弄虚作假，骗取中标的，中标无效，给招标人造成损失的，依法承担赔偿责任；构成犯罪的，依法追究刑事责任。</w:t>
            </w:r>
          </w:p>
          <w:p>
            <w:pPr>
              <w:widowControl/>
              <w:spacing w:line="220" w:lineRule="exact"/>
              <w:jc w:val="left"/>
              <w:rPr>
                <w:color w:val="000000"/>
                <w:kern w:val="0"/>
                <w:sz w:val="20"/>
                <w:szCs w:val="20"/>
              </w:rPr>
            </w:pPr>
            <w:r>
              <w:rPr>
                <w:color w:val="000000"/>
                <w:kern w:val="0"/>
                <w:sz w:val="20"/>
                <w:szCs w:val="20"/>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w:t>
            </w:r>
          </w:p>
          <w:p>
            <w:pPr>
              <w:widowControl/>
              <w:spacing w:line="220" w:lineRule="exact"/>
              <w:jc w:val="left"/>
              <w:rPr>
                <w:color w:val="000000"/>
                <w:kern w:val="0"/>
                <w:sz w:val="20"/>
                <w:szCs w:val="20"/>
              </w:rPr>
            </w:pPr>
            <w:r>
              <w:rPr>
                <w:color w:val="000000"/>
                <w:kern w:val="0"/>
                <w:sz w:val="20"/>
                <w:szCs w:val="20"/>
              </w:rPr>
              <w:t>4.《工程建设项目勘察设计招标投标办法》</w:t>
            </w:r>
          </w:p>
          <w:p>
            <w:pPr>
              <w:widowControl/>
              <w:spacing w:line="220" w:lineRule="exact"/>
              <w:jc w:val="left"/>
              <w:rPr>
                <w:color w:val="000000"/>
                <w:kern w:val="0"/>
                <w:sz w:val="20"/>
                <w:szCs w:val="20"/>
              </w:rPr>
            </w:pPr>
            <w:r>
              <w:rPr>
                <w:color w:val="000000"/>
                <w:kern w:val="0"/>
                <w:sz w:val="20"/>
                <w:szCs w:val="20"/>
              </w:rPr>
              <w:t>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5-6‰的罚款，对单位直接负责的主管人员和其他直接责任人员处单位罚款数额5-6%的罚款；有违法所得的，并处没收违法所得。投标人未中标的，对单位的罚款金额按照招标项目合同金额依照招标投标法规定的比例计算。</w:t>
            </w:r>
          </w:p>
        </w:tc>
      </w:tr>
      <w:tr>
        <w:tblPrEx>
          <w:tblCellMar>
            <w:top w:w="0" w:type="dxa"/>
            <w:left w:w="108" w:type="dxa"/>
            <w:bottom w:w="0" w:type="dxa"/>
            <w:right w:w="108" w:type="dxa"/>
          </w:tblCellMar>
        </w:tblPrEx>
        <w:trPr>
          <w:trHeight w:val="2235"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6-8‰的罚款，对单位直接负责的主管人员和其他直接责任人员处单位罚款数额6-8%的罚款；有违法所得的，并处没收违法所得。投标人未中标的，对单位的罚款金额按照招标项目合同金额依照招标投标法规定的比例计算。</w:t>
            </w:r>
          </w:p>
        </w:tc>
      </w:tr>
      <w:tr>
        <w:tblPrEx>
          <w:tblCellMar>
            <w:top w:w="0" w:type="dxa"/>
            <w:left w:w="108" w:type="dxa"/>
            <w:bottom w:w="0" w:type="dxa"/>
            <w:right w:w="108" w:type="dxa"/>
          </w:tblCellMar>
        </w:tblPrEx>
        <w:trPr>
          <w:trHeight w:val="8285"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中标项目金额8-10‰的罚款，对单位直接负责的主管人员和其他直接责任人员处单位罚款数额8-10%的罚款；有违法所得的，并处没收违法所得。投标人未中标的，对单位的罚款金额按照招标项目合同金额依照招标投标法规定的比例计算。取消其一年至二年内参加依法必须进行招标的项目的投标资格并予以公告。</w:t>
            </w:r>
          </w:p>
        </w:tc>
      </w:tr>
      <w:tr>
        <w:tblPrEx>
          <w:tblCellMar>
            <w:top w:w="0" w:type="dxa"/>
            <w:left w:w="108" w:type="dxa"/>
            <w:bottom w:w="0" w:type="dxa"/>
            <w:right w:w="108" w:type="dxa"/>
          </w:tblCellMar>
        </w:tblPrEx>
        <w:trPr>
          <w:trHeight w:val="704"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13</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工业项目招标人透露招投标相关情况及泄露标底处罚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1.《招标投标法》</w:t>
            </w:r>
          </w:p>
          <w:p>
            <w:pPr>
              <w:widowControl/>
              <w:spacing w:line="240" w:lineRule="exact"/>
              <w:jc w:val="left"/>
              <w:rPr>
                <w:color w:val="000000"/>
                <w:kern w:val="0"/>
                <w:sz w:val="20"/>
                <w:szCs w:val="20"/>
              </w:rPr>
            </w:pPr>
            <w:r>
              <w:rPr>
                <w:color w:val="000000"/>
                <w:kern w:val="0"/>
                <w:sz w:val="20"/>
                <w:szCs w:val="20"/>
              </w:rPr>
              <w:t>第五十二条（第一款） 依法必须进行招标的项目的招标人向他人透露已获取招标文件的潜在投标人的名称、数量或者可能影响公平竞争的有关招标投标的其他情况的，或者泄露标底的，给予警告，可以并处一万元以上十万元以下的罚款。</w:t>
            </w:r>
          </w:p>
          <w:p>
            <w:pPr>
              <w:widowControl/>
              <w:spacing w:line="240" w:lineRule="exact"/>
              <w:jc w:val="left"/>
              <w:rPr>
                <w:color w:val="000000"/>
                <w:kern w:val="0"/>
                <w:sz w:val="20"/>
                <w:szCs w:val="20"/>
              </w:rPr>
            </w:pPr>
            <w:r>
              <w:rPr>
                <w:color w:val="000000"/>
                <w:kern w:val="0"/>
                <w:sz w:val="20"/>
                <w:szCs w:val="20"/>
              </w:rPr>
              <w:t>2.《工程建设项目施工招标投标办法》</w:t>
            </w:r>
          </w:p>
          <w:p>
            <w:pPr>
              <w:widowControl/>
              <w:spacing w:line="240" w:lineRule="exact"/>
              <w:jc w:val="left"/>
              <w:rPr>
                <w:color w:val="000000"/>
                <w:kern w:val="0"/>
                <w:sz w:val="20"/>
                <w:szCs w:val="20"/>
              </w:rPr>
            </w:pPr>
            <w:r>
              <w:rPr>
                <w:color w:val="000000"/>
                <w:kern w:val="0"/>
                <w:sz w:val="20"/>
                <w:szCs w:val="20"/>
              </w:rPr>
              <w:t>第七十一条（第一款）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给予警告。</w:t>
            </w:r>
          </w:p>
        </w:tc>
      </w:tr>
      <w:tr>
        <w:tblPrEx>
          <w:tblCellMar>
            <w:top w:w="0" w:type="dxa"/>
            <w:left w:w="108" w:type="dxa"/>
            <w:bottom w:w="0" w:type="dxa"/>
            <w:right w:w="108" w:type="dxa"/>
          </w:tblCellMar>
        </w:tblPrEx>
        <w:trPr>
          <w:trHeight w:val="719"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给予警告，并处1-5万元的罚款。</w:t>
            </w:r>
          </w:p>
        </w:tc>
      </w:tr>
      <w:tr>
        <w:tblPrEx>
          <w:tblCellMar>
            <w:top w:w="0" w:type="dxa"/>
            <w:left w:w="108" w:type="dxa"/>
            <w:bottom w:w="0" w:type="dxa"/>
            <w:right w:w="108" w:type="dxa"/>
          </w:tblCellMar>
        </w:tblPrEx>
        <w:trPr>
          <w:trHeight w:val="749"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警告，并处5-10万元的罚款。</w:t>
            </w:r>
          </w:p>
        </w:tc>
      </w:tr>
      <w:tr>
        <w:tblPrEx>
          <w:tblCellMar>
            <w:top w:w="0" w:type="dxa"/>
            <w:left w:w="108" w:type="dxa"/>
            <w:bottom w:w="0" w:type="dxa"/>
            <w:right w:w="108" w:type="dxa"/>
          </w:tblCellMar>
        </w:tblPrEx>
        <w:trPr>
          <w:trHeight w:val="756"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14-1</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工业项目评标委员会成员及与评标相关工作人员收受投标人的财务或者其他好处的处罚（工业项目评标委员会成员及与评标相关工作人员评标违法行为的）</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《招标投标法》</w:t>
            </w:r>
          </w:p>
          <w:p>
            <w:pPr>
              <w:widowControl/>
              <w:spacing w:line="240" w:lineRule="exact"/>
              <w:jc w:val="left"/>
              <w:rPr>
                <w:color w:val="000000"/>
                <w:kern w:val="0"/>
                <w:sz w:val="20"/>
                <w:szCs w:val="20"/>
              </w:rPr>
            </w:pPr>
            <w:r>
              <w:rPr>
                <w:color w:val="000000"/>
                <w:kern w:val="0"/>
                <w:sz w:val="20"/>
                <w:szCs w:val="20"/>
              </w:rPr>
              <w:t>第五十六条 评标委员会成员收受投标人的财务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警告，没收收受财务，可以处3千-2万的罚款，取消评标委员会成员的资格。</w:t>
            </w:r>
          </w:p>
        </w:tc>
      </w:tr>
      <w:tr>
        <w:tblPrEx>
          <w:tblCellMar>
            <w:top w:w="0" w:type="dxa"/>
            <w:left w:w="108" w:type="dxa"/>
            <w:bottom w:w="0" w:type="dxa"/>
            <w:right w:w="108" w:type="dxa"/>
          </w:tblCellMar>
        </w:tblPrEx>
        <w:trPr>
          <w:trHeight w:val="891"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警告，没收收受财务，处2万-3.5万的罚款，取消评标委员会成员的资格。</w:t>
            </w:r>
          </w:p>
        </w:tc>
      </w:tr>
      <w:tr>
        <w:tblPrEx>
          <w:tblCellMar>
            <w:top w:w="0" w:type="dxa"/>
            <w:left w:w="108" w:type="dxa"/>
            <w:bottom w:w="0" w:type="dxa"/>
            <w:right w:w="108" w:type="dxa"/>
          </w:tblCellMar>
        </w:tblPrEx>
        <w:trPr>
          <w:trHeight w:val="876"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警告，没收收受财务，处3.5万-5万的罚款，取消评标委员会成员的资格。</w:t>
            </w:r>
          </w:p>
        </w:tc>
      </w:tr>
      <w:tr>
        <w:tblPrEx>
          <w:tblCellMar>
            <w:top w:w="0" w:type="dxa"/>
            <w:left w:w="108" w:type="dxa"/>
            <w:bottom w:w="0" w:type="dxa"/>
            <w:right w:w="108" w:type="dxa"/>
          </w:tblCellMar>
        </w:tblPrEx>
        <w:trPr>
          <w:trHeight w:val="3495" w:hRule="atLeast"/>
          <w:jc w:val="center"/>
        </w:trPr>
        <w:tc>
          <w:tcPr>
            <w:tcW w:w="646"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14-2</w:t>
            </w:r>
          </w:p>
        </w:tc>
        <w:tc>
          <w:tcPr>
            <w:tcW w:w="2067"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工业项目评标委员会成员及与评标相关工作人员其他评标违法行为的处罚（工业项目评标委员会成员及与评标相关工作人员评标违法行为的）</w:t>
            </w:r>
          </w:p>
        </w:tc>
        <w:tc>
          <w:tcPr>
            <w:tcW w:w="7963"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《招标投标法实施条例》</w:t>
            </w:r>
          </w:p>
          <w:p>
            <w:pPr>
              <w:widowControl/>
              <w:spacing w:line="240" w:lineRule="exact"/>
              <w:jc w:val="left"/>
              <w:rPr>
                <w:color w:val="000000"/>
                <w:kern w:val="0"/>
                <w:sz w:val="20"/>
                <w:szCs w:val="20"/>
              </w:rPr>
            </w:pPr>
            <w:r>
              <w:rPr>
                <w:color w:val="000000"/>
                <w:kern w:val="0"/>
                <w:sz w:val="20"/>
                <w:szCs w:val="20"/>
              </w:rPr>
              <w:t>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评标委员会不得暗示或者诱导投标人作出澄清、说明，不得接受投标人主动提出的澄清、说明。</w:t>
            </w:r>
          </w:p>
          <w:p>
            <w:pPr>
              <w:widowControl/>
              <w:spacing w:line="240" w:lineRule="exact"/>
              <w:jc w:val="left"/>
              <w:rPr>
                <w:color w:val="000000"/>
                <w:kern w:val="0"/>
                <w:sz w:val="20"/>
                <w:szCs w:val="20"/>
              </w:rPr>
            </w:pPr>
            <w:r>
              <w:rPr>
                <w:color w:val="000000"/>
                <w:kern w:val="0"/>
                <w:sz w:val="20"/>
                <w:szCs w:val="20"/>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由有关行政监督部门责令改正；情节严重的，禁止其在一定期限内参加依法必须进行招标的项目的评标；情节特别严重的，取消其担任评标委员会成员的资格。</w:t>
            </w:r>
          </w:p>
        </w:tc>
      </w:tr>
      <w:tr>
        <w:tblPrEx>
          <w:tblCellMar>
            <w:top w:w="0" w:type="dxa"/>
            <w:left w:w="108" w:type="dxa"/>
            <w:bottom w:w="0" w:type="dxa"/>
            <w:right w:w="108" w:type="dxa"/>
          </w:tblCellMar>
        </w:tblPrEx>
        <w:trPr>
          <w:trHeight w:val="928"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15-1</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工业项目的招标人擅自邀标，违规接受投标文件的处罚（工业项目的招标人擅自邀标，违规发布招投标文件，违规接受投标文件的）</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《招标投标法实施条例》</w:t>
            </w:r>
          </w:p>
          <w:p>
            <w:pPr>
              <w:widowControl/>
              <w:spacing w:line="240" w:lineRule="exact"/>
              <w:jc w:val="left"/>
              <w:rPr>
                <w:color w:val="000000"/>
                <w:kern w:val="0"/>
                <w:sz w:val="20"/>
                <w:szCs w:val="20"/>
              </w:rPr>
            </w:pPr>
            <w:r>
              <w:rPr>
                <w:color w:val="000000"/>
                <w:kern w:val="0"/>
                <w:sz w:val="20"/>
                <w:szCs w:val="20"/>
              </w:rPr>
              <w:t>第六十四条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处4万以下的罚款。</w:t>
            </w:r>
          </w:p>
        </w:tc>
      </w:tr>
      <w:tr>
        <w:tblPrEx>
          <w:tblCellMar>
            <w:top w:w="0" w:type="dxa"/>
            <w:left w:w="108" w:type="dxa"/>
            <w:bottom w:w="0" w:type="dxa"/>
            <w:right w:w="108" w:type="dxa"/>
          </w:tblCellMar>
        </w:tblPrEx>
        <w:trPr>
          <w:trHeight w:val="974"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处4-7万的罚款。</w:t>
            </w:r>
          </w:p>
        </w:tc>
      </w:tr>
      <w:tr>
        <w:tblPrEx>
          <w:tblCellMar>
            <w:top w:w="0" w:type="dxa"/>
            <w:left w:w="108" w:type="dxa"/>
            <w:bottom w:w="0" w:type="dxa"/>
            <w:right w:w="108" w:type="dxa"/>
          </w:tblCellMar>
        </w:tblPrEx>
        <w:trPr>
          <w:trHeight w:val="1274"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处7-10万的罚款。</w:t>
            </w:r>
          </w:p>
        </w:tc>
      </w:tr>
      <w:tr>
        <w:tblPrEx>
          <w:tblCellMar>
            <w:top w:w="0" w:type="dxa"/>
            <w:left w:w="108" w:type="dxa"/>
            <w:bottom w:w="0" w:type="dxa"/>
            <w:right w:w="108" w:type="dxa"/>
          </w:tblCellMar>
        </w:tblPrEx>
        <w:trPr>
          <w:trHeight w:val="2094" w:hRule="atLeast"/>
          <w:jc w:val="center"/>
        </w:trPr>
        <w:tc>
          <w:tcPr>
            <w:tcW w:w="64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15-2</w:t>
            </w:r>
          </w:p>
        </w:tc>
        <w:tc>
          <w:tcPr>
            <w:tcW w:w="2067"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工业项目的招标人违规发布招投标文件（工业项目的招标人擅自邀标，违规发布招投标文件，违规接受投标文件的）</w:t>
            </w:r>
          </w:p>
        </w:tc>
        <w:tc>
          <w:tcPr>
            <w:tcW w:w="7963"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《湖南省实施〈中华人民共和国招标投标法〉办法》</w:t>
            </w:r>
          </w:p>
          <w:p>
            <w:pPr>
              <w:widowControl/>
              <w:spacing w:line="240" w:lineRule="exact"/>
              <w:jc w:val="left"/>
              <w:rPr>
                <w:color w:val="000000"/>
                <w:kern w:val="0"/>
                <w:sz w:val="20"/>
                <w:szCs w:val="20"/>
              </w:rPr>
            </w:pPr>
            <w:r>
              <w:rPr>
                <w:color w:val="000000"/>
                <w:kern w:val="0"/>
                <w:sz w:val="20"/>
                <w:szCs w:val="20"/>
              </w:rPr>
              <w:t>第四十二条 违反本办法第十九条规定，发布招标公告不符合要求的，由有关行政监督部门责令改正；未发布招标公告而招标的，招标无效，并对单位直接负责的主管人员和其他责任人员依法给予行政处分。</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由有关行政监督部门责令改正；未发布招标公告而招标的，招标无效，并对单位直接负责的主管人员和其他责任人员依法给予行政处分。</w:t>
            </w:r>
          </w:p>
        </w:tc>
      </w:tr>
      <w:tr>
        <w:tblPrEx>
          <w:tblCellMar>
            <w:top w:w="0" w:type="dxa"/>
            <w:left w:w="108" w:type="dxa"/>
            <w:bottom w:w="0" w:type="dxa"/>
            <w:right w:w="108" w:type="dxa"/>
          </w:tblCellMar>
        </w:tblPrEx>
        <w:trPr>
          <w:trHeight w:val="718"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16</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依法必须招标的工业项目规避招标的处罚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《招标投标法》</w:t>
            </w:r>
          </w:p>
          <w:p>
            <w:pPr>
              <w:widowControl/>
              <w:spacing w:line="240" w:lineRule="exact"/>
              <w:jc w:val="left"/>
              <w:rPr>
                <w:color w:val="000000"/>
                <w:kern w:val="0"/>
                <w:sz w:val="20"/>
                <w:szCs w:val="20"/>
              </w:rPr>
            </w:pPr>
            <w:r>
              <w:rPr>
                <w:color w:val="000000"/>
                <w:kern w:val="0"/>
                <w:sz w:val="20"/>
                <w:szCs w:val="20"/>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处项目合同金额5-6‰的罚款。</w:t>
            </w:r>
          </w:p>
        </w:tc>
      </w:tr>
      <w:tr>
        <w:tblPrEx>
          <w:tblCellMar>
            <w:top w:w="0" w:type="dxa"/>
            <w:left w:w="108" w:type="dxa"/>
            <w:bottom w:w="0" w:type="dxa"/>
            <w:right w:w="108" w:type="dxa"/>
          </w:tblCellMar>
        </w:tblPrEx>
        <w:trPr>
          <w:trHeight w:val="883"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处项目合同金额6-8‰的罚款。</w:t>
            </w:r>
          </w:p>
        </w:tc>
      </w:tr>
      <w:tr>
        <w:tblPrEx>
          <w:tblCellMar>
            <w:top w:w="0" w:type="dxa"/>
            <w:left w:w="108" w:type="dxa"/>
            <w:bottom w:w="0" w:type="dxa"/>
            <w:right w:w="108" w:type="dxa"/>
          </w:tblCellMar>
        </w:tblPrEx>
        <w:trPr>
          <w:trHeight w:val="1183"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处项目合同金额8-10‰的罚款。</w:t>
            </w:r>
          </w:p>
        </w:tc>
      </w:tr>
      <w:tr>
        <w:tblPrEx>
          <w:tblCellMar>
            <w:top w:w="0" w:type="dxa"/>
            <w:left w:w="108" w:type="dxa"/>
            <w:bottom w:w="0" w:type="dxa"/>
            <w:right w:w="108" w:type="dxa"/>
          </w:tblCellMar>
        </w:tblPrEx>
        <w:trPr>
          <w:trHeight w:val="590" w:hRule="atLeast"/>
          <w:jc w:val="center"/>
        </w:trPr>
        <w:tc>
          <w:tcPr>
            <w:tcW w:w="1498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szCs w:val="20"/>
              </w:rPr>
            </w:pPr>
            <w:r>
              <w:rPr>
                <w:b/>
                <w:bCs/>
                <w:color w:val="000000"/>
                <w:kern w:val="0"/>
                <w:sz w:val="20"/>
                <w:szCs w:val="20"/>
              </w:rPr>
              <w:t>第二节  节能和循环经济领域违法行为裁量</w:t>
            </w:r>
          </w:p>
        </w:tc>
      </w:tr>
      <w:tr>
        <w:tblPrEx>
          <w:tblCellMar>
            <w:top w:w="0" w:type="dxa"/>
            <w:left w:w="108" w:type="dxa"/>
            <w:bottom w:w="0" w:type="dxa"/>
            <w:right w:w="108" w:type="dxa"/>
          </w:tblCellMar>
        </w:tblPrEx>
        <w:trPr>
          <w:trHeight w:val="1106"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17</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违规无偿向本单位职工提供能源或者对能源消费实行包费制的处罚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《节约能源法》</w:t>
            </w:r>
          </w:p>
          <w:p>
            <w:pPr>
              <w:widowControl/>
              <w:spacing w:line="240" w:lineRule="exact"/>
              <w:jc w:val="left"/>
              <w:rPr>
                <w:color w:val="000000"/>
                <w:kern w:val="0"/>
                <w:sz w:val="20"/>
                <w:szCs w:val="20"/>
              </w:rPr>
            </w:pPr>
            <w:r>
              <w:rPr>
                <w:color w:val="000000"/>
                <w:kern w:val="0"/>
                <w:sz w:val="20"/>
                <w:szCs w:val="20"/>
              </w:rPr>
              <w:t>第七十七条 违反本法规定，无偿向本单位职工提供能源或者对能源消费实行包费制的，由管理节能工作的部门责令限期改正；逾期不改正的，处五万元以上二十万元以下罚款。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6"/>
                <w:kern w:val="0"/>
                <w:sz w:val="20"/>
                <w:szCs w:val="20"/>
              </w:rPr>
            </w:pPr>
            <w:r>
              <w:rPr>
                <w:color w:val="000000"/>
                <w:spacing w:val="-6"/>
                <w:kern w:val="0"/>
                <w:sz w:val="20"/>
                <w:szCs w:val="20"/>
              </w:rPr>
              <w:t>从轻处罚：总能源包费在20万元以下的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处5万元以上10万元以下罚款。</w:t>
            </w:r>
          </w:p>
        </w:tc>
      </w:tr>
      <w:tr>
        <w:tblPrEx>
          <w:tblCellMar>
            <w:top w:w="0" w:type="dxa"/>
            <w:left w:w="108" w:type="dxa"/>
            <w:bottom w:w="0" w:type="dxa"/>
            <w:right w:w="108" w:type="dxa"/>
          </w:tblCellMar>
        </w:tblPrEx>
        <w:trPr>
          <w:trHeight w:val="1545"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6"/>
                <w:kern w:val="0"/>
                <w:sz w:val="20"/>
                <w:szCs w:val="20"/>
              </w:rPr>
            </w:pPr>
            <w:r>
              <w:rPr>
                <w:color w:val="000000"/>
                <w:spacing w:val="-6"/>
                <w:kern w:val="0"/>
                <w:sz w:val="20"/>
                <w:szCs w:val="20"/>
              </w:rPr>
              <w:t>一般处罚：总能源包费在20万元以上100万元以下的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处10万元以上15万元以下罚款。</w:t>
            </w:r>
          </w:p>
        </w:tc>
      </w:tr>
      <w:tr>
        <w:tblPrEx>
          <w:tblCellMar>
            <w:top w:w="0" w:type="dxa"/>
            <w:left w:w="108" w:type="dxa"/>
            <w:bottom w:w="0" w:type="dxa"/>
            <w:right w:w="108" w:type="dxa"/>
          </w:tblCellMar>
        </w:tblPrEx>
        <w:trPr>
          <w:trHeight w:val="2159"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6"/>
                <w:kern w:val="0"/>
                <w:sz w:val="20"/>
                <w:szCs w:val="20"/>
              </w:rPr>
            </w:pPr>
            <w:r>
              <w:rPr>
                <w:color w:val="000000"/>
                <w:spacing w:val="-6"/>
                <w:kern w:val="0"/>
                <w:sz w:val="20"/>
                <w:szCs w:val="20"/>
              </w:rPr>
              <w:t>从重处罚：总能源包费在100万元以上或者无偿向本单位职工提供能源</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处15万元以上20万元以下罚款。</w:t>
            </w:r>
          </w:p>
        </w:tc>
      </w:tr>
      <w:tr>
        <w:tblPrEx>
          <w:tblCellMar>
            <w:top w:w="0" w:type="dxa"/>
            <w:left w:w="108" w:type="dxa"/>
            <w:bottom w:w="0" w:type="dxa"/>
            <w:right w:w="108" w:type="dxa"/>
          </w:tblCellMar>
        </w:tblPrEx>
        <w:trPr>
          <w:trHeight w:val="1163" w:hRule="atLeast"/>
          <w:jc w:val="center"/>
        </w:trPr>
        <w:tc>
          <w:tcPr>
            <w:tcW w:w="64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18</w:t>
            </w:r>
          </w:p>
        </w:tc>
        <w:tc>
          <w:tcPr>
            <w:tcW w:w="2067"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使用国家明令淘汰的用能设备或者生产工艺的处罚</w:t>
            </w:r>
          </w:p>
        </w:tc>
        <w:tc>
          <w:tcPr>
            <w:tcW w:w="7963"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《节约能源法》</w:t>
            </w:r>
          </w:p>
          <w:p>
            <w:pPr>
              <w:widowControl/>
              <w:spacing w:line="240" w:lineRule="exact"/>
              <w:jc w:val="left"/>
              <w:rPr>
                <w:color w:val="000000"/>
                <w:kern w:val="0"/>
                <w:sz w:val="20"/>
                <w:szCs w:val="20"/>
              </w:rPr>
            </w:pPr>
            <w:r>
              <w:rPr>
                <w:color w:val="000000"/>
                <w:kern w:val="0"/>
                <w:sz w:val="20"/>
                <w:szCs w:val="20"/>
              </w:rPr>
              <w:t>第七十一条 使用国家明令淘汰的用能设备或者生产工艺的，由管理节能工作的部门责令停止使用，没收国家明令淘汰的用能设备。</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没收国家明令淘汰的用能设备。</w:t>
            </w:r>
          </w:p>
        </w:tc>
      </w:tr>
      <w:tr>
        <w:tblPrEx>
          <w:tblCellMar>
            <w:top w:w="0" w:type="dxa"/>
            <w:left w:w="108" w:type="dxa"/>
            <w:bottom w:w="0" w:type="dxa"/>
            <w:right w:w="108" w:type="dxa"/>
          </w:tblCellMar>
        </w:tblPrEx>
        <w:trPr>
          <w:trHeight w:val="1656" w:hRule="atLeast"/>
          <w:jc w:val="center"/>
        </w:trPr>
        <w:tc>
          <w:tcPr>
            <w:tcW w:w="64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19</w:t>
            </w:r>
          </w:p>
        </w:tc>
        <w:tc>
          <w:tcPr>
            <w:tcW w:w="2067"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经营燃气管网、热力管网的企业不准许符合入网技术标准的燃气、热力入网的处罚</w:t>
            </w:r>
          </w:p>
        </w:tc>
        <w:tc>
          <w:tcPr>
            <w:tcW w:w="7963"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《可再生能源法》</w:t>
            </w:r>
          </w:p>
          <w:p>
            <w:pPr>
              <w:widowControl/>
              <w:spacing w:line="240" w:lineRule="exact"/>
              <w:jc w:val="left"/>
              <w:rPr>
                <w:color w:val="000000"/>
                <w:kern w:val="0"/>
                <w:sz w:val="20"/>
                <w:szCs w:val="20"/>
              </w:rPr>
            </w:pPr>
            <w:r>
              <w:rPr>
                <w:color w:val="000000"/>
                <w:kern w:val="0"/>
                <w:sz w:val="20"/>
                <w:szCs w:val="20"/>
              </w:rPr>
              <w:t>第三十条 违反本法第十六条第二款规定，经营燃气管网、热力管网的企业不准许符合入网技术标准的燃气、热力入网，造成燃气、热力生产企业经济损失的，应当承担赔偿责任，并由省级人民政府管理能源工作的部门责令限期改正；拒不改正的，处以燃气、热力生产企业经济损失额一倍以下的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处经济损失1倍以下的罚款。</w:t>
            </w:r>
          </w:p>
        </w:tc>
      </w:tr>
      <w:tr>
        <w:tblPrEx>
          <w:tblCellMar>
            <w:top w:w="0" w:type="dxa"/>
            <w:left w:w="108" w:type="dxa"/>
            <w:bottom w:w="0" w:type="dxa"/>
            <w:right w:w="108" w:type="dxa"/>
          </w:tblCellMar>
        </w:tblPrEx>
        <w:trPr>
          <w:trHeight w:val="2681"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20-1</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重点用能单位未按照规定报送能源利用状况报告或者报告内容不实，经责令限期改正逾期不改正的行为（重点用能单位未履行节能管理义务的）</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《节约能源法》</w:t>
            </w:r>
          </w:p>
          <w:p>
            <w:pPr>
              <w:widowControl/>
              <w:spacing w:line="240" w:lineRule="exact"/>
              <w:jc w:val="left"/>
              <w:rPr>
                <w:color w:val="000000"/>
                <w:kern w:val="0"/>
                <w:sz w:val="20"/>
                <w:szCs w:val="20"/>
              </w:rPr>
            </w:pPr>
            <w:r>
              <w:rPr>
                <w:color w:val="000000"/>
                <w:kern w:val="0"/>
                <w:sz w:val="20"/>
                <w:szCs w:val="20"/>
              </w:rPr>
              <w:t>第八十二条 重点用能单位未按照本法规定报送能源利用状况报告或者报告内容不实的，由管理节能工作的部门责令限期改正；逾期不改正的，处一万元以上五万元以下罚款。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4"/>
                <w:kern w:val="0"/>
                <w:sz w:val="20"/>
                <w:szCs w:val="20"/>
              </w:rPr>
            </w:pPr>
            <w:r>
              <w:rPr>
                <w:color w:val="000000"/>
                <w:spacing w:val="-4"/>
                <w:kern w:val="0"/>
                <w:sz w:val="20"/>
                <w:szCs w:val="20"/>
              </w:rPr>
              <w:t>从轻处罚：经责令限期改正，改正期限内报送的能源利用状况报告不全面</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处1万元以上2万元以下罚款。</w:t>
            </w:r>
          </w:p>
        </w:tc>
      </w:tr>
      <w:tr>
        <w:tblPrEx>
          <w:tblCellMar>
            <w:top w:w="0" w:type="dxa"/>
            <w:left w:w="108" w:type="dxa"/>
            <w:bottom w:w="0" w:type="dxa"/>
            <w:right w:w="108" w:type="dxa"/>
          </w:tblCellMar>
        </w:tblPrEx>
        <w:trPr>
          <w:trHeight w:val="2730"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4"/>
                <w:kern w:val="0"/>
                <w:sz w:val="20"/>
                <w:szCs w:val="20"/>
              </w:rPr>
            </w:pPr>
            <w:r>
              <w:rPr>
                <w:color w:val="000000"/>
                <w:spacing w:val="-4"/>
                <w:kern w:val="0"/>
                <w:sz w:val="20"/>
                <w:szCs w:val="20"/>
              </w:rPr>
              <w:t>一般处罚：经责令限期改正，改正期限内报送的能源利用状况报告不实内容部分仍然不实的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处2万元以上3万元以下罚款。</w:t>
            </w:r>
          </w:p>
        </w:tc>
      </w:tr>
      <w:tr>
        <w:tblPrEx>
          <w:tblCellMar>
            <w:top w:w="0" w:type="dxa"/>
            <w:left w:w="108" w:type="dxa"/>
            <w:bottom w:w="0" w:type="dxa"/>
            <w:right w:w="108" w:type="dxa"/>
          </w:tblCellMar>
        </w:tblPrEx>
        <w:trPr>
          <w:trHeight w:val="2744"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spacing w:val="-4"/>
                <w:kern w:val="0"/>
                <w:sz w:val="20"/>
                <w:szCs w:val="20"/>
              </w:rPr>
            </w:pPr>
            <w:r>
              <w:rPr>
                <w:color w:val="000000"/>
                <w:spacing w:val="-4"/>
                <w:kern w:val="0"/>
                <w:sz w:val="20"/>
                <w:szCs w:val="20"/>
              </w:rPr>
              <w:t>从重处罚：经责令限期改正，改正期限内仍拒不报送能源利用状况报告的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处3万元以上5万元以下罚款。</w:t>
            </w:r>
          </w:p>
        </w:tc>
      </w:tr>
      <w:tr>
        <w:tblPrEx>
          <w:tblCellMar>
            <w:top w:w="0" w:type="dxa"/>
            <w:left w:w="108" w:type="dxa"/>
            <w:bottom w:w="0" w:type="dxa"/>
            <w:right w:w="108" w:type="dxa"/>
          </w:tblCellMar>
        </w:tblPrEx>
        <w:trPr>
          <w:trHeight w:val="3349"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20-2</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重点用能单位无正当理由拒不落实整改要求或者整改没有达到要求的行为（重点用能单位未履行节能管理义务的）</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《节约能源法》</w:t>
            </w:r>
          </w:p>
          <w:p>
            <w:pPr>
              <w:widowControl/>
              <w:spacing w:line="240" w:lineRule="exact"/>
              <w:jc w:val="left"/>
              <w:rPr>
                <w:color w:val="000000"/>
                <w:kern w:val="0"/>
                <w:sz w:val="20"/>
                <w:szCs w:val="20"/>
              </w:rPr>
            </w:pPr>
            <w:r>
              <w:rPr>
                <w:color w:val="000000"/>
                <w:kern w:val="0"/>
                <w:sz w:val="20"/>
                <w:szCs w:val="20"/>
              </w:rPr>
              <w:t>第八十三条 重点用能单位无正当理由拒不落实本法第五十四条规定的整改要求或者整改没有达到要求的，由管理节能工作的部门处十万元以上三十万元以下罚款。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从轻处罚：经限期整改没有达到整改要求，但有切实可行的整改计划、措施的，已经明显取得成效的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处10万元以上15万元以下罚款。</w:t>
            </w:r>
          </w:p>
        </w:tc>
      </w:tr>
      <w:tr>
        <w:tblPrEx>
          <w:tblCellMar>
            <w:top w:w="0" w:type="dxa"/>
            <w:left w:w="108" w:type="dxa"/>
            <w:bottom w:w="0" w:type="dxa"/>
            <w:right w:w="108" w:type="dxa"/>
          </w:tblCellMar>
        </w:tblPrEx>
        <w:trPr>
          <w:trHeight w:val="2541"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一般处罚：经限期整改没有达到整改要求，已经取得部分成效的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处15万元以上25万元以下罚款。</w:t>
            </w:r>
          </w:p>
        </w:tc>
      </w:tr>
      <w:tr>
        <w:tblPrEx>
          <w:tblCellMar>
            <w:top w:w="0" w:type="dxa"/>
            <w:left w:w="108" w:type="dxa"/>
            <w:bottom w:w="0" w:type="dxa"/>
            <w:right w:w="108" w:type="dxa"/>
          </w:tblCellMar>
        </w:tblPrEx>
        <w:trPr>
          <w:trHeight w:val="2260"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从重处罚：无正当理由拒不落实整改要求的</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处25万元以上30万元以下罚款。</w:t>
            </w:r>
          </w:p>
        </w:tc>
      </w:tr>
      <w:tr>
        <w:tblPrEx>
          <w:tblCellMar>
            <w:top w:w="0" w:type="dxa"/>
            <w:left w:w="108" w:type="dxa"/>
            <w:bottom w:w="0" w:type="dxa"/>
            <w:right w:w="108" w:type="dxa"/>
          </w:tblCellMar>
        </w:tblPrEx>
        <w:trPr>
          <w:trHeight w:val="3105"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20-3</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重点用能单位未按照规定设立能源管理岗位，聘任能源管理负责人，并报备案的行为（重点用能单位未履行节能管理义务的）</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《节约能源法》</w:t>
            </w:r>
          </w:p>
          <w:p>
            <w:pPr>
              <w:widowControl/>
              <w:spacing w:line="240" w:lineRule="exact"/>
              <w:jc w:val="left"/>
              <w:rPr>
                <w:color w:val="000000"/>
                <w:kern w:val="0"/>
                <w:sz w:val="20"/>
                <w:szCs w:val="20"/>
              </w:rPr>
            </w:pPr>
            <w:r>
              <w:rPr>
                <w:color w:val="000000"/>
                <w:kern w:val="0"/>
                <w:sz w:val="20"/>
                <w:szCs w:val="20"/>
              </w:rPr>
              <w:t>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从轻处罚：已设立能源管理岗位并按照国家规定条件聘任了能源管理负责人，但未报所在地发展改革部门备案</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处1万元罚款。</w:t>
            </w:r>
          </w:p>
        </w:tc>
      </w:tr>
      <w:tr>
        <w:tblPrEx>
          <w:tblCellMar>
            <w:top w:w="0" w:type="dxa"/>
            <w:left w:w="108" w:type="dxa"/>
            <w:bottom w:w="0" w:type="dxa"/>
            <w:right w:w="108" w:type="dxa"/>
          </w:tblCellMar>
        </w:tblPrEx>
        <w:trPr>
          <w:trHeight w:val="3150"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一般处罚：重点用能单位设立能源管理岗位但未聘任能源管理负责人或所聘任负责人不符合条件</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处1万元以上2万元以下罚款。</w:t>
            </w:r>
          </w:p>
        </w:tc>
      </w:tr>
      <w:tr>
        <w:tblPrEx>
          <w:tblCellMar>
            <w:top w:w="0" w:type="dxa"/>
            <w:left w:w="108" w:type="dxa"/>
            <w:bottom w:w="0" w:type="dxa"/>
            <w:right w:w="108" w:type="dxa"/>
          </w:tblCellMar>
        </w:tblPrEx>
        <w:trPr>
          <w:trHeight w:val="2036" w:hRule="atLeast"/>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从重处罚：重点用能单位未设立能源管理岗位</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处2万元以上3万元以下罚款。</w:t>
            </w:r>
          </w:p>
        </w:tc>
      </w:tr>
      <w:tr>
        <w:tblPrEx>
          <w:tblCellMar>
            <w:top w:w="0" w:type="dxa"/>
            <w:left w:w="108" w:type="dxa"/>
            <w:bottom w:w="0" w:type="dxa"/>
            <w:right w:w="108" w:type="dxa"/>
          </w:tblCellMar>
        </w:tblPrEx>
        <w:trPr>
          <w:trHeight w:val="2610" w:hRule="atLeast"/>
          <w:jc w:val="center"/>
        </w:trPr>
        <w:tc>
          <w:tcPr>
            <w:tcW w:w="64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21</w:t>
            </w:r>
          </w:p>
        </w:tc>
        <w:tc>
          <w:tcPr>
            <w:tcW w:w="2067"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固定资产投资项目建设单位开工建设不符合强制性节能标准的项目或者将该项目投入生产、使用的处罚</w:t>
            </w:r>
          </w:p>
        </w:tc>
        <w:tc>
          <w:tcPr>
            <w:tcW w:w="7963"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《节约能源法》</w:t>
            </w:r>
          </w:p>
          <w:p>
            <w:pPr>
              <w:widowControl/>
              <w:spacing w:line="240" w:lineRule="exact"/>
              <w:jc w:val="left"/>
              <w:rPr>
                <w:color w:val="000000"/>
                <w:kern w:val="0"/>
                <w:sz w:val="20"/>
                <w:szCs w:val="20"/>
              </w:rPr>
            </w:pPr>
            <w:r>
              <w:rPr>
                <w:color w:val="000000"/>
                <w:kern w:val="0"/>
                <w:sz w:val="20"/>
                <w:szCs w:val="20"/>
              </w:rPr>
              <w:t>第六十八条 负责审批政府投资项目的机关违反本法规定，对不符合强制性节能标准的项目予以批准建设的，对直接负责的主管人员和其他直接责任人员依法给予处分。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widowControl/>
              <w:spacing w:line="240" w:lineRule="exact"/>
              <w:jc w:val="left"/>
              <w:rPr>
                <w:color w:val="000000"/>
                <w:kern w:val="0"/>
                <w:sz w:val="20"/>
                <w:szCs w:val="20"/>
              </w:rPr>
            </w:pPr>
            <w:r>
              <w:rPr>
                <w:color w:val="000000"/>
                <w:kern w:val="0"/>
                <w:sz w:val="20"/>
                <w:szCs w:val="20"/>
              </w:rPr>
              <w:t>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责令停业整顿或者关闭。</w:t>
            </w:r>
          </w:p>
        </w:tc>
      </w:tr>
      <w:tr>
        <w:tblPrEx>
          <w:tblCellMar>
            <w:top w:w="0" w:type="dxa"/>
            <w:left w:w="108" w:type="dxa"/>
            <w:bottom w:w="0" w:type="dxa"/>
            <w:right w:w="108" w:type="dxa"/>
          </w:tblCellMar>
        </w:tblPrEx>
        <w:trPr>
          <w:trHeight w:val="2265" w:hRule="atLeast"/>
          <w:jc w:val="center"/>
        </w:trPr>
        <w:tc>
          <w:tcPr>
            <w:tcW w:w="64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22</w:t>
            </w:r>
          </w:p>
        </w:tc>
        <w:tc>
          <w:tcPr>
            <w:tcW w:w="206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对未按照规定公布能源消耗或者重点污染物产生、排放情况的处罚</w:t>
            </w:r>
          </w:p>
        </w:tc>
        <w:tc>
          <w:tcPr>
            <w:tcW w:w="796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《清洁生产促进法》</w:t>
            </w:r>
          </w:p>
          <w:p>
            <w:pPr>
              <w:widowControl/>
              <w:spacing w:line="240" w:lineRule="exact"/>
              <w:jc w:val="left"/>
              <w:rPr>
                <w:color w:val="000000"/>
                <w:kern w:val="0"/>
                <w:sz w:val="20"/>
                <w:szCs w:val="20"/>
              </w:rPr>
            </w:pPr>
            <w:r>
              <w:rPr>
                <w:color w:val="000000"/>
                <w:kern w:val="0"/>
                <w:sz w:val="20"/>
                <w:szCs w:val="20"/>
              </w:rPr>
              <w:t>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从轻处罚：公布的能源消耗或者重点污染物产生、排放情况内容不全面</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处2万元以下罚款。</w:t>
            </w:r>
          </w:p>
        </w:tc>
      </w:tr>
      <w:tr>
        <w:tblPrEx>
          <w:tblCellMar>
            <w:top w:w="0" w:type="dxa"/>
            <w:left w:w="108" w:type="dxa"/>
            <w:bottom w:w="0" w:type="dxa"/>
            <w:right w:w="108" w:type="dxa"/>
          </w:tblCellMar>
        </w:tblPrEx>
        <w:trPr>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一般处罚：公布的能源消耗或者重点污染物产生、排放情况内容不真实</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处2万元以上6万元以下罚款。</w:t>
            </w:r>
          </w:p>
        </w:tc>
      </w:tr>
      <w:tr>
        <w:tblPrEx>
          <w:tblCellMar>
            <w:top w:w="0" w:type="dxa"/>
            <w:left w:w="108" w:type="dxa"/>
            <w:bottom w:w="0" w:type="dxa"/>
            <w:right w:w="108" w:type="dxa"/>
          </w:tblCellMar>
        </w:tblPrEx>
        <w:trPr>
          <w:jc w:val="center"/>
        </w:trPr>
        <w:tc>
          <w:tcPr>
            <w:tcW w:w="6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206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从重处罚：未公布能源消耗或者重点污染物产生、排放情况</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处6万元以上10万元以下罚款。</w:t>
            </w:r>
          </w:p>
        </w:tc>
      </w:tr>
      <w:tr>
        <w:tblPrEx>
          <w:tblCellMar>
            <w:top w:w="0" w:type="dxa"/>
            <w:left w:w="108" w:type="dxa"/>
            <w:bottom w:w="0" w:type="dxa"/>
            <w:right w:w="108" w:type="dxa"/>
          </w:tblCellMar>
        </w:tblPrEx>
        <w:trPr>
          <w:trHeight w:val="695" w:hRule="atLeast"/>
          <w:jc w:val="center"/>
        </w:trPr>
        <w:tc>
          <w:tcPr>
            <w:tcW w:w="1498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
                <w:bCs/>
                <w:color w:val="000000"/>
                <w:kern w:val="0"/>
                <w:sz w:val="20"/>
                <w:szCs w:val="20"/>
              </w:rPr>
            </w:pPr>
            <w:r>
              <w:rPr>
                <w:b/>
                <w:bCs/>
                <w:color w:val="000000"/>
                <w:kern w:val="0"/>
                <w:sz w:val="20"/>
                <w:szCs w:val="20"/>
              </w:rPr>
              <w:t>第三节  政府投资项目代建单位违法行为裁量</w:t>
            </w:r>
          </w:p>
        </w:tc>
      </w:tr>
      <w:tr>
        <w:tblPrEx>
          <w:tblCellMar>
            <w:top w:w="0" w:type="dxa"/>
            <w:left w:w="108" w:type="dxa"/>
            <w:bottom w:w="0" w:type="dxa"/>
            <w:right w:w="108" w:type="dxa"/>
          </w:tblCellMar>
        </w:tblPrEx>
        <w:trPr>
          <w:trHeight w:val="3525" w:hRule="atLeast"/>
          <w:jc w:val="center"/>
        </w:trPr>
        <w:tc>
          <w:tcPr>
            <w:tcW w:w="64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23</w:t>
            </w:r>
          </w:p>
        </w:tc>
        <w:tc>
          <w:tcPr>
            <w:tcW w:w="2067"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政府投资项目代建单位违规违约行为的处罚</w:t>
            </w:r>
          </w:p>
        </w:tc>
        <w:tc>
          <w:tcPr>
            <w:tcW w:w="7963"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《国务院关于投资体制改革的决定》（国发〔2004〕20号）</w:t>
            </w:r>
          </w:p>
          <w:p>
            <w:pPr>
              <w:widowControl/>
              <w:spacing w:line="240" w:lineRule="exact"/>
              <w:jc w:val="left"/>
              <w:rPr>
                <w:color w:val="000000"/>
                <w:kern w:val="0"/>
                <w:sz w:val="20"/>
                <w:szCs w:val="20"/>
              </w:rPr>
            </w:pPr>
            <w:r>
              <w:rPr>
                <w:color w:val="000000"/>
                <w:kern w:val="0"/>
                <w:sz w:val="20"/>
                <w:szCs w:val="20"/>
              </w:rPr>
              <w:t>三、完善政府投资体制，规范政府投资行为（五）加强政府投资项目管理，改进建设实施方式：对非经营性政府投资项目加快推行代建制。</w:t>
            </w:r>
          </w:p>
          <w:p>
            <w:pPr>
              <w:widowControl/>
              <w:spacing w:line="240" w:lineRule="exact"/>
              <w:jc w:val="left"/>
              <w:rPr>
                <w:color w:val="000000"/>
                <w:kern w:val="0"/>
                <w:sz w:val="20"/>
                <w:szCs w:val="20"/>
              </w:rPr>
            </w:pPr>
            <w:r>
              <w:rPr>
                <w:color w:val="000000"/>
                <w:kern w:val="0"/>
                <w:sz w:val="20"/>
                <w:szCs w:val="20"/>
              </w:rPr>
              <w:t>《湖南省政府投资项目代建制管理办法》（湖南省人民政府令第241号）</w:t>
            </w:r>
          </w:p>
          <w:p>
            <w:pPr>
              <w:widowControl/>
              <w:spacing w:line="240" w:lineRule="exact"/>
              <w:jc w:val="left"/>
              <w:rPr>
                <w:color w:val="000000"/>
                <w:kern w:val="0"/>
                <w:sz w:val="20"/>
                <w:szCs w:val="20"/>
              </w:rPr>
            </w:pPr>
            <w:r>
              <w:rPr>
                <w:color w:val="000000"/>
                <w:kern w:val="0"/>
                <w:sz w:val="20"/>
                <w:szCs w:val="20"/>
              </w:rPr>
              <w:t>第六条 县级以上人民政府发展改革部门负责政府投资项目代建制实施的指导、协调和监督管理。</w:t>
            </w:r>
          </w:p>
          <w:p>
            <w:pPr>
              <w:widowControl/>
              <w:spacing w:line="240" w:lineRule="exact"/>
              <w:jc w:val="left"/>
              <w:rPr>
                <w:color w:val="000000"/>
                <w:kern w:val="0"/>
                <w:sz w:val="20"/>
                <w:szCs w:val="20"/>
              </w:rPr>
            </w:pPr>
            <w:r>
              <w:rPr>
                <w:color w:val="000000"/>
                <w:kern w:val="0"/>
                <w:sz w:val="20"/>
                <w:szCs w:val="20"/>
              </w:rPr>
              <w:t>第二十二条 代建单位有下列情形之一的，除承担相应的违约责任外，3年内不得参与代建活动，并由有关部门依法处理：</w:t>
            </w:r>
          </w:p>
          <w:p>
            <w:pPr>
              <w:widowControl/>
              <w:spacing w:line="240" w:lineRule="exact"/>
              <w:jc w:val="left"/>
              <w:rPr>
                <w:color w:val="000000"/>
                <w:kern w:val="0"/>
                <w:sz w:val="20"/>
                <w:szCs w:val="20"/>
              </w:rPr>
            </w:pPr>
            <w:r>
              <w:rPr>
                <w:color w:val="000000"/>
                <w:kern w:val="0"/>
                <w:sz w:val="20"/>
                <w:szCs w:val="20"/>
              </w:rPr>
              <w:t>（一）违反项目代建合同约定，致使工期延长、投资增加、工程质量不合格或者发生重大安全责任事故的；（二）与使用单位串通，损害国家利益或者社会公共利益的；</w:t>
            </w:r>
          </w:p>
          <w:p>
            <w:pPr>
              <w:widowControl/>
              <w:spacing w:line="240" w:lineRule="exact"/>
              <w:jc w:val="left"/>
              <w:rPr>
                <w:color w:val="000000"/>
                <w:kern w:val="0"/>
                <w:sz w:val="20"/>
                <w:szCs w:val="20"/>
              </w:rPr>
            </w:pPr>
            <w:r>
              <w:rPr>
                <w:color w:val="000000"/>
                <w:kern w:val="0"/>
                <w:sz w:val="20"/>
                <w:szCs w:val="20"/>
              </w:rPr>
              <w:t>（三）与勘察设计、施工、监理、设备材料供应等单位串通，谋取不正当利益或者损害使用单位利益的；</w:t>
            </w:r>
          </w:p>
          <w:p>
            <w:pPr>
              <w:widowControl/>
              <w:spacing w:line="240" w:lineRule="exact"/>
              <w:jc w:val="left"/>
              <w:rPr>
                <w:color w:val="000000"/>
                <w:kern w:val="0"/>
                <w:sz w:val="20"/>
                <w:szCs w:val="20"/>
              </w:rPr>
            </w:pPr>
            <w:r>
              <w:rPr>
                <w:color w:val="000000"/>
                <w:kern w:val="0"/>
                <w:sz w:val="20"/>
                <w:szCs w:val="20"/>
              </w:rPr>
              <w:t>（四）违反项目建设资金使用和财务管理规定的；</w:t>
            </w:r>
          </w:p>
          <w:p>
            <w:pPr>
              <w:widowControl/>
              <w:spacing w:line="240" w:lineRule="exact"/>
              <w:jc w:val="left"/>
              <w:rPr>
                <w:color w:val="000000"/>
                <w:kern w:val="0"/>
                <w:sz w:val="20"/>
                <w:szCs w:val="20"/>
              </w:rPr>
            </w:pPr>
            <w:r>
              <w:rPr>
                <w:color w:val="000000"/>
                <w:kern w:val="0"/>
                <w:sz w:val="20"/>
                <w:szCs w:val="20"/>
              </w:rPr>
              <w:t>（五）转让代建业务的。</w:t>
            </w:r>
          </w:p>
        </w:tc>
        <w:tc>
          <w:tcPr>
            <w:tcW w:w="1119" w:type="dxa"/>
            <w:tcBorders>
              <w:top w:val="nil"/>
              <w:left w:val="nil"/>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nil"/>
              <w:left w:val="nil"/>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3年内不得参与代建活动。</w:t>
            </w:r>
          </w:p>
        </w:tc>
      </w:tr>
      <w:tr>
        <w:tblPrEx>
          <w:tblCellMar>
            <w:top w:w="0" w:type="dxa"/>
            <w:left w:w="108" w:type="dxa"/>
            <w:bottom w:w="0" w:type="dxa"/>
            <w:right w:w="108" w:type="dxa"/>
          </w:tblCellMar>
        </w:tblPrEx>
        <w:trPr>
          <w:trHeight w:val="648" w:hRule="atLeast"/>
          <w:jc w:val="center"/>
        </w:trPr>
        <w:tc>
          <w:tcPr>
            <w:tcW w:w="14981"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6433"/>
              </w:tabs>
              <w:spacing w:line="240" w:lineRule="exact"/>
              <w:jc w:val="center"/>
              <w:rPr>
                <w:color w:val="000000"/>
                <w:kern w:val="0"/>
                <w:sz w:val="20"/>
                <w:szCs w:val="20"/>
              </w:rPr>
            </w:pPr>
            <w:r>
              <w:rPr>
                <w:b/>
                <w:bCs/>
                <w:kern w:val="0"/>
                <w:sz w:val="20"/>
                <w:szCs w:val="20"/>
              </w:rPr>
              <w:t>第四节  石油天然气管道保护领域违法行为裁量</w:t>
            </w:r>
          </w:p>
        </w:tc>
      </w:tr>
      <w:tr>
        <w:tblPrEx>
          <w:tblCellMar>
            <w:top w:w="0" w:type="dxa"/>
            <w:left w:w="108" w:type="dxa"/>
            <w:bottom w:w="0" w:type="dxa"/>
            <w:right w:w="108" w:type="dxa"/>
          </w:tblCellMar>
        </w:tblPrEx>
        <w:trPr>
          <w:trHeight w:val="1015" w:hRule="atLeast"/>
          <w:jc w:val="center"/>
        </w:trPr>
        <w:tc>
          <w:tcPr>
            <w:tcW w:w="646"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24</w:t>
            </w:r>
          </w:p>
        </w:tc>
        <w:tc>
          <w:tcPr>
            <w:tcW w:w="2067"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管道企业逾期未履行管道巡护、检修、维修、更新、设置标志、备案、安全防护措施等义务的处罚</w:t>
            </w:r>
          </w:p>
        </w:tc>
        <w:tc>
          <w:tcPr>
            <w:tcW w:w="796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《石油天然气管道保护法》</w:t>
            </w:r>
          </w:p>
          <w:p>
            <w:pPr>
              <w:widowControl/>
              <w:spacing w:line="240" w:lineRule="exact"/>
              <w:jc w:val="left"/>
              <w:rPr>
                <w:color w:val="000000"/>
                <w:kern w:val="0"/>
                <w:sz w:val="20"/>
                <w:szCs w:val="20"/>
              </w:rPr>
            </w:pPr>
            <w:r>
              <w:rPr>
                <w:color w:val="000000"/>
                <w:kern w:val="0"/>
                <w:sz w:val="20"/>
                <w:szCs w:val="20"/>
              </w:rPr>
              <w:t>第</w:t>
            </w:r>
            <w:r>
              <w:rPr>
                <w:color w:val="000000"/>
                <w:kern w:val="0"/>
                <w:sz w:val="20"/>
                <w:szCs w:val="20"/>
                <w:lang w:val="zh-CN"/>
              </w:rPr>
              <w:t>五十条   管道企业有下列行为之一的，由县级以上地方人民政府主管管道保护工作的部门责令限期改正；逾期不改正的，处二万元以上十万元以下的罚款；对直接负责的主管人员和其他直接责任人员给予处分：（一）未依照本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处2万元以上4万元以下罚款</w:t>
            </w:r>
          </w:p>
        </w:tc>
      </w:tr>
      <w:tr>
        <w:tblPrEx>
          <w:tblCellMar>
            <w:top w:w="0" w:type="dxa"/>
            <w:left w:w="108" w:type="dxa"/>
            <w:bottom w:w="0" w:type="dxa"/>
            <w:right w:w="108" w:type="dxa"/>
          </w:tblCellMar>
        </w:tblPrEx>
        <w:trPr>
          <w:trHeight w:val="1114" w:hRule="atLeast"/>
          <w:jc w:val="center"/>
        </w:trPr>
        <w:tc>
          <w:tcPr>
            <w:tcW w:w="64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szCs w:val="20"/>
              </w:rPr>
            </w:pPr>
          </w:p>
        </w:tc>
        <w:tc>
          <w:tcPr>
            <w:tcW w:w="2067"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处4万元以上7万元以下罚款</w:t>
            </w:r>
          </w:p>
        </w:tc>
      </w:tr>
      <w:tr>
        <w:tblPrEx>
          <w:tblCellMar>
            <w:top w:w="0" w:type="dxa"/>
            <w:left w:w="108" w:type="dxa"/>
            <w:bottom w:w="0" w:type="dxa"/>
            <w:right w:w="108" w:type="dxa"/>
          </w:tblCellMar>
        </w:tblPrEx>
        <w:trPr>
          <w:trHeight w:val="1319"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p>
        </w:tc>
        <w:tc>
          <w:tcPr>
            <w:tcW w:w="206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处7万元以上10万元以下罚款</w:t>
            </w:r>
          </w:p>
        </w:tc>
      </w:tr>
      <w:tr>
        <w:tblPrEx>
          <w:tblCellMar>
            <w:top w:w="0" w:type="dxa"/>
            <w:left w:w="108" w:type="dxa"/>
            <w:bottom w:w="0" w:type="dxa"/>
            <w:right w:w="108" w:type="dxa"/>
          </w:tblCellMar>
        </w:tblPrEx>
        <w:trPr>
          <w:trHeight w:val="2893" w:hRule="atLeast"/>
          <w:jc w:val="center"/>
        </w:trPr>
        <w:tc>
          <w:tcPr>
            <w:tcW w:w="646"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25</w:t>
            </w:r>
          </w:p>
        </w:tc>
        <w:tc>
          <w:tcPr>
            <w:tcW w:w="2067"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违法行为人实施危害管道安全行为的处罚</w:t>
            </w:r>
          </w:p>
        </w:tc>
        <w:tc>
          <w:tcPr>
            <w:tcW w:w="796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《石油天然气管道保护法》</w:t>
            </w:r>
          </w:p>
          <w:p>
            <w:pPr>
              <w:widowControl/>
              <w:spacing w:line="240" w:lineRule="exact"/>
              <w:jc w:val="left"/>
              <w:rPr>
                <w:color w:val="000000"/>
                <w:kern w:val="0"/>
                <w:sz w:val="20"/>
                <w:szCs w:val="20"/>
              </w:rPr>
            </w:pPr>
            <w:r>
              <w:rPr>
                <w:color w:val="000000"/>
                <w:kern w:val="0"/>
                <w:sz w:val="20"/>
                <w:szCs w:val="20"/>
              </w:rPr>
              <w:t>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pPr>
              <w:widowControl/>
              <w:spacing w:line="240" w:lineRule="exact"/>
              <w:jc w:val="left"/>
              <w:rPr>
                <w:color w:val="000000"/>
                <w:kern w:val="0"/>
                <w:sz w:val="20"/>
                <w:szCs w:val="20"/>
              </w:rPr>
            </w:pPr>
            <w:r>
              <w:rPr>
                <w:color w:val="000000"/>
                <w:kern w:val="0"/>
                <w:sz w:val="20"/>
                <w:szCs w:val="20"/>
              </w:rPr>
              <w:t>第二十九条   禁止在本法第五十八条第一项所列管道附属设施的上方架设电力线路、通信线路或者在储气库构造区域范围内进行工程挖掘、工程钻探、采矿。</w:t>
            </w:r>
          </w:p>
          <w:p>
            <w:pPr>
              <w:widowControl/>
              <w:spacing w:line="240" w:lineRule="exact"/>
              <w:jc w:val="left"/>
              <w:rPr>
                <w:color w:val="000000"/>
                <w:kern w:val="0"/>
                <w:sz w:val="20"/>
                <w:szCs w:val="20"/>
              </w:rPr>
            </w:pPr>
            <w:r>
              <w:rPr>
                <w:color w:val="000000"/>
                <w:kern w:val="0"/>
                <w:sz w:val="20"/>
                <w:szCs w:val="20"/>
              </w:rPr>
              <w:t>第三十条   在管道线路中心线两侧各五米地域范围内，禁止下列危害管道安全的行为：</w:t>
            </w:r>
          </w:p>
          <w:p>
            <w:pPr>
              <w:widowControl/>
              <w:spacing w:line="240" w:lineRule="exact"/>
              <w:jc w:val="left"/>
              <w:rPr>
                <w:color w:val="000000"/>
                <w:kern w:val="0"/>
                <w:sz w:val="20"/>
                <w:szCs w:val="20"/>
              </w:rPr>
            </w:pPr>
            <w:r>
              <w:rPr>
                <w:color w:val="000000"/>
                <w:kern w:val="0"/>
                <w:sz w:val="20"/>
                <w:szCs w:val="20"/>
              </w:rPr>
              <w:t>（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p>
            <w:pPr>
              <w:widowControl/>
              <w:spacing w:line="240" w:lineRule="exact"/>
              <w:jc w:val="left"/>
              <w:rPr>
                <w:color w:val="000000"/>
                <w:kern w:val="0"/>
                <w:sz w:val="20"/>
                <w:szCs w:val="20"/>
              </w:rPr>
            </w:pPr>
            <w:r>
              <w:rPr>
                <w:color w:val="000000"/>
                <w:kern w:val="0"/>
                <w:sz w:val="20"/>
                <w:szCs w:val="20"/>
              </w:rPr>
              <w:t>第三十二条   在穿越河流的管道线路中心线两侧各五百米地域范围内，禁止抛锚、拖锚、挖砂、挖泥、采石、水下爆破。但是，在保障管道安全的条件下，为防洪和航道通畅而进行的养护疏浚作业除外。</w:t>
            </w:r>
          </w:p>
          <w:p>
            <w:pPr>
              <w:widowControl/>
              <w:spacing w:line="240" w:lineRule="exact"/>
              <w:jc w:val="left"/>
              <w:rPr>
                <w:color w:val="000000"/>
                <w:kern w:val="0"/>
                <w:sz w:val="20"/>
                <w:szCs w:val="20"/>
                <w:lang w:val="zh-CN"/>
              </w:rPr>
            </w:pPr>
            <w:r>
              <w:rPr>
                <w:color w:val="000000"/>
                <w:kern w:val="0"/>
                <w:sz w:val="20"/>
                <w:szCs w:val="20"/>
                <w:lang w:val="zh-CN"/>
              </w:rPr>
              <w:t>第三十三条   在管道专用隧道中心线两侧各一千米地域范围内，除本条第二款规定的情形外，禁止采石、采矿、爆破。</w:t>
            </w:r>
          </w:p>
          <w:p>
            <w:pPr>
              <w:widowControl/>
              <w:spacing w:line="240" w:lineRule="exact"/>
              <w:jc w:val="left"/>
              <w:rPr>
                <w:color w:val="000000"/>
                <w:kern w:val="0"/>
                <w:sz w:val="20"/>
                <w:szCs w:val="20"/>
              </w:rPr>
            </w:pPr>
            <w:r>
              <w:rPr>
                <w:color w:val="000000"/>
                <w:kern w:val="0"/>
                <w:sz w:val="20"/>
                <w:szCs w:val="20"/>
                <w:lang w:val="zh-CN"/>
              </w:rPr>
              <w:t>在前款规定的地域范围内，因修建铁路、公路、水利工程等公共工程，确需实施采石、爆破作业的，应当经管道所在地县级人民政府主管管道保护工作的部门批准，并采取必要的安全防护措施，方可实施。</w:t>
            </w:r>
            <w:r>
              <w:rPr>
                <w:color w:val="000000"/>
                <w:kern w:val="0"/>
                <w:sz w:val="20"/>
                <w:szCs w:val="20"/>
              </w:rPr>
              <w:t xml:space="preserve"> </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对单位处1万元以上3万元以下罚款，个人实施违法行为，对个人处200元以上800元以下罚款</w:t>
            </w:r>
          </w:p>
        </w:tc>
      </w:tr>
      <w:tr>
        <w:tblPrEx>
          <w:tblCellMar>
            <w:top w:w="0" w:type="dxa"/>
            <w:left w:w="108" w:type="dxa"/>
            <w:bottom w:w="0" w:type="dxa"/>
            <w:right w:w="108" w:type="dxa"/>
          </w:tblCellMar>
        </w:tblPrEx>
        <w:trPr>
          <w:trHeight w:val="2505" w:hRule="atLeast"/>
          <w:jc w:val="center"/>
        </w:trPr>
        <w:tc>
          <w:tcPr>
            <w:tcW w:w="64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szCs w:val="20"/>
              </w:rPr>
            </w:pPr>
          </w:p>
        </w:tc>
        <w:tc>
          <w:tcPr>
            <w:tcW w:w="2067"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对单位处3万元以上6万元以下罚款，对个人处800元以上1400元以下罚款</w:t>
            </w:r>
          </w:p>
        </w:tc>
      </w:tr>
      <w:tr>
        <w:tblPrEx>
          <w:tblCellMar>
            <w:top w:w="0" w:type="dxa"/>
            <w:left w:w="108" w:type="dxa"/>
            <w:bottom w:w="0" w:type="dxa"/>
            <w:right w:w="108" w:type="dxa"/>
          </w:tblCellMar>
        </w:tblPrEx>
        <w:trPr>
          <w:trHeight w:val="2812"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p>
        </w:tc>
        <w:tc>
          <w:tcPr>
            <w:tcW w:w="206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对单位处6万元以上10万元以下罚款，对个人处1400元以上2000元以下罚款</w:t>
            </w:r>
          </w:p>
        </w:tc>
      </w:tr>
      <w:tr>
        <w:tblPrEx>
          <w:tblCellMar>
            <w:top w:w="0" w:type="dxa"/>
            <w:left w:w="108" w:type="dxa"/>
            <w:bottom w:w="0" w:type="dxa"/>
            <w:right w:w="108" w:type="dxa"/>
          </w:tblCellMar>
        </w:tblPrEx>
        <w:trPr>
          <w:trHeight w:val="2104" w:hRule="atLeast"/>
          <w:jc w:val="center"/>
        </w:trPr>
        <w:tc>
          <w:tcPr>
            <w:tcW w:w="646"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26</w:t>
            </w:r>
          </w:p>
        </w:tc>
        <w:tc>
          <w:tcPr>
            <w:tcW w:w="2067"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未经批准，进行采石、采矿、爆破、勘探、钻探、穿跨越管道作业或新建、改建、扩建铁路、公路、河渠、架设电力线路等施工作业的处罚</w:t>
            </w:r>
          </w:p>
        </w:tc>
        <w:tc>
          <w:tcPr>
            <w:tcW w:w="796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《石油天然气管道保护法》</w:t>
            </w:r>
          </w:p>
          <w:p>
            <w:pPr>
              <w:widowControl/>
              <w:spacing w:line="240" w:lineRule="exact"/>
              <w:jc w:val="left"/>
              <w:rPr>
                <w:color w:val="000000"/>
                <w:kern w:val="0"/>
                <w:sz w:val="20"/>
                <w:szCs w:val="20"/>
                <w:lang w:val="zh-CN"/>
              </w:rPr>
            </w:pPr>
            <w:r>
              <w:rPr>
                <w:color w:val="000000"/>
                <w:kern w:val="0"/>
                <w:sz w:val="20"/>
                <w:szCs w:val="20"/>
                <w:lang w:val="zh-CN"/>
              </w:rPr>
              <w:t>第五十三条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pPr>
              <w:widowControl/>
              <w:spacing w:line="240" w:lineRule="exact"/>
              <w:jc w:val="left"/>
              <w:rPr>
                <w:color w:val="000000"/>
                <w:kern w:val="0"/>
                <w:sz w:val="20"/>
                <w:szCs w:val="20"/>
                <w:lang w:val="zh-CN"/>
              </w:rPr>
            </w:pPr>
            <w:r>
              <w:rPr>
                <w:color w:val="000000"/>
                <w:kern w:val="0"/>
                <w:sz w:val="20"/>
                <w:szCs w:val="20"/>
                <w:lang w:val="zh-CN"/>
              </w:rPr>
              <w:t>第三十三条   在管道专用隧道中心线两侧各一千米地域范围内，除本条第二款规定的情形外，禁止采石、采矿、爆破。</w:t>
            </w:r>
          </w:p>
          <w:p>
            <w:pPr>
              <w:widowControl/>
              <w:spacing w:line="240" w:lineRule="exact"/>
              <w:jc w:val="left"/>
              <w:rPr>
                <w:color w:val="000000"/>
                <w:kern w:val="0"/>
                <w:sz w:val="20"/>
                <w:szCs w:val="20"/>
                <w:lang w:val="zh-CN"/>
              </w:rPr>
            </w:pPr>
            <w:r>
              <w:rPr>
                <w:color w:val="000000"/>
                <w:kern w:val="0"/>
                <w:sz w:val="20"/>
                <w:szCs w:val="20"/>
                <w:lang w:val="zh-CN"/>
              </w:rPr>
              <w:t>在前款规定的地域范围内，因修建铁路、公路、水利工程等公共工程，确需实施采石、爆破作业的，应当经管道所在地县级人民政府主管管道保护工作的部门批准，并采取必要的安全防护措施，方可实施。</w:t>
            </w:r>
          </w:p>
          <w:p>
            <w:pPr>
              <w:widowControl/>
              <w:spacing w:line="240" w:lineRule="exact"/>
              <w:jc w:val="left"/>
              <w:rPr>
                <w:color w:val="000000"/>
                <w:kern w:val="0"/>
                <w:sz w:val="20"/>
                <w:szCs w:val="20"/>
              </w:rPr>
            </w:pPr>
            <w:r>
              <w:rPr>
                <w:color w:val="000000"/>
                <w:kern w:val="0"/>
                <w:sz w:val="20"/>
                <w:szCs w:val="20"/>
              </w:rPr>
              <w:t>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w:t>
            </w:r>
          </w:p>
          <w:p>
            <w:pPr>
              <w:widowControl/>
              <w:spacing w:line="240" w:lineRule="exact"/>
              <w:jc w:val="left"/>
              <w:rPr>
                <w:color w:val="000000"/>
                <w:kern w:val="0"/>
                <w:sz w:val="20"/>
                <w:szCs w:val="20"/>
              </w:rPr>
            </w:pPr>
            <w:r>
              <w:rPr>
                <w:color w:val="000000"/>
                <w:kern w:val="0"/>
                <w:sz w:val="20"/>
                <w:szCs w:val="20"/>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处1万元以上2万元以下罚款</w:t>
            </w:r>
          </w:p>
        </w:tc>
      </w:tr>
      <w:tr>
        <w:tblPrEx>
          <w:tblCellMar>
            <w:top w:w="0" w:type="dxa"/>
            <w:left w:w="108" w:type="dxa"/>
            <w:bottom w:w="0" w:type="dxa"/>
            <w:right w:w="108" w:type="dxa"/>
          </w:tblCellMar>
        </w:tblPrEx>
        <w:trPr>
          <w:trHeight w:val="2049" w:hRule="atLeast"/>
          <w:jc w:val="center"/>
        </w:trPr>
        <w:tc>
          <w:tcPr>
            <w:tcW w:w="64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szCs w:val="20"/>
              </w:rPr>
            </w:pPr>
          </w:p>
        </w:tc>
        <w:tc>
          <w:tcPr>
            <w:tcW w:w="2067"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处2万元以上3万元以下罚款</w:t>
            </w:r>
          </w:p>
        </w:tc>
      </w:tr>
      <w:tr>
        <w:tblPrEx>
          <w:tblCellMar>
            <w:top w:w="0" w:type="dxa"/>
            <w:left w:w="108" w:type="dxa"/>
            <w:bottom w:w="0" w:type="dxa"/>
            <w:right w:w="108" w:type="dxa"/>
          </w:tblCellMar>
        </w:tblPrEx>
        <w:trPr>
          <w:trHeight w:val="1302"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p>
        </w:tc>
        <w:tc>
          <w:tcPr>
            <w:tcW w:w="206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处3万元以上5万元以下罚款</w:t>
            </w:r>
          </w:p>
        </w:tc>
      </w:tr>
      <w:tr>
        <w:tblPrEx>
          <w:tblCellMar>
            <w:top w:w="0" w:type="dxa"/>
            <w:left w:w="108" w:type="dxa"/>
            <w:bottom w:w="0" w:type="dxa"/>
            <w:right w:w="108" w:type="dxa"/>
          </w:tblCellMar>
        </w:tblPrEx>
        <w:trPr>
          <w:trHeight w:val="649" w:hRule="atLeast"/>
          <w:jc w:val="center"/>
        </w:trPr>
        <w:tc>
          <w:tcPr>
            <w:tcW w:w="646"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27</w:t>
            </w:r>
          </w:p>
        </w:tc>
        <w:tc>
          <w:tcPr>
            <w:tcW w:w="2067"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擅自开启、关闭管道阀门或移动、毁损、涂改管道标志等违反管道保护规定的处罚</w:t>
            </w:r>
          </w:p>
        </w:tc>
        <w:tc>
          <w:tcPr>
            <w:tcW w:w="796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《石油天然气管道保护法》</w:t>
            </w:r>
          </w:p>
          <w:p>
            <w:pPr>
              <w:widowControl/>
              <w:spacing w:line="240" w:lineRule="exact"/>
              <w:jc w:val="left"/>
              <w:rPr>
                <w:color w:val="000000"/>
                <w:kern w:val="0"/>
                <w:sz w:val="20"/>
                <w:szCs w:val="20"/>
              </w:rPr>
            </w:pPr>
            <w:r>
              <w:rPr>
                <w:color w:val="000000"/>
                <w:kern w:val="0"/>
                <w:sz w:val="20"/>
                <w:szCs w:val="20"/>
              </w:rPr>
              <w:t>第五十四条   违反本法规定，有下列行为之一的，由县级以上地方人民政府主管管道保护工作的部门责令改正；情节严重的，处二百元以上一千元以下的罚款：</w:t>
            </w:r>
          </w:p>
          <w:p>
            <w:pPr>
              <w:widowControl/>
              <w:spacing w:line="240" w:lineRule="exact"/>
              <w:jc w:val="left"/>
              <w:rPr>
                <w:color w:val="000000"/>
                <w:kern w:val="0"/>
                <w:sz w:val="20"/>
                <w:szCs w:val="20"/>
              </w:rPr>
            </w:pPr>
            <w:r>
              <w:rPr>
                <w:color w:val="000000"/>
                <w:kern w:val="0"/>
                <w:sz w:val="20"/>
                <w:szCs w:val="20"/>
              </w:rPr>
              <w:t>（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从轻处罚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处200元以上400元以下罚款</w:t>
            </w:r>
          </w:p>
        </w:tc>
      </w:tr>
      <w:tr>
        <w:tblPrEx>
          <w:tblCellMar>
            <w:top w:w="0" w:type="dxa"/>
            <w:left w:w="108" w:type="dxa"/>
            <w:bottom w:w="0" w:type="dxa"/>
            <w:right w:w="108" w:type="dxa"/>
          </w:tblCellMar>
        </w:tblPrEx>
        <w:trPr>
          <w:trHeight w:val="589" w:hRule="atLeast"/>
          <w:jc w:val="center"/>
        </w:trPr>
        <w:tc>
          <w:tcPr>
            <w:tcW w:w="646" w:type="dxa"/>
            <w:vMerge w:val="continue"/>
            <w:tcBorders>
              <w:left w:val="single" w:color="auto" w:sz="4" w:space="0"/>
              <w:right w:val="single" w:color="auto" w:sz="4" w:space="0"/>
            </w:tcBorders>
            <w:noWrap w:val="0"/>
            <w:vAlign w:val="center"/>
          </w:tcPr>
          <w:p>
            <w:pPr>
              <w:widowControl/>
              <w:spacing w:line="240" w:lineRule="exact"/>
              <w:jc w:val="center"/>
              <w:rPr>
                <w:color w:val="000000"/>
                <w:kern w:val="0"/>
                <w:sz w:val="20"/>
                <w:szCs w:val="20"/>
              </w:rPr>
            </w:pPr>
          </w:p>
        </w:tc>
        <w:tc>
          <w:tcPr>
            <w:tcW w:w="2067"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left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一般处罚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处400元以上700元以下罚款</w:t>
            </w:r>
          </w:p>
        </w:tc>
      </w:tr>
      <w:tr>
        <w:tblPrEx>
          <w:tblCellMar>
            <w:top w:w="0" w:type="dxa"/>
            <w:left w:w="108" w:type="dxa"/>
            <w:bottom w:w="0" w:type="dxa"/>
            <w:right w:w="108" w:type="dxa"/>
          </w:tblCellMar>
        </w:tblPrEx>
        <w:trPr>
          <w:trHeight w:val="605"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p>
        </w:tc>
        <w:tc>
          <w:tcPr>
            <w:tcW w:w="206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7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kern w:val="0"/>
                <w:sz w:val="20"/>
                <w:szCs w:val="20"/>
              </w:rPr>
            </w:pPr>
            <w:r>
              <w:rPr>
                <w:color w:val="000000"/>
                <w:kern w:val="0"/>
                <w:sz w:val="20"/>
                <w:szCs w:val="20"/>
              </w:rPr>
              <w:t>从重处罚</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color w:val="000000"/>
                <w:kern w:val="0"/>
                <w:sz w:val="20"/>
                <w:szCs w:val="20"/>
              </w:rPr>
            </w:pPr>
            <w:r>
              <w:rPr>
                <w:color w:val="000000"/>
                <w:kern w:val="0"/>
                <w:sz w:val="20"/>
                <w:szCs w:val="20"/>
              </w:rPr>
              <w:t>处700元以上1000元以下罚款</w:t>
            </w:r>
          </w:p>
        </w:tc>
      </w:tr>
    </w:tbl>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3085B"/>
    <w:rsid w:val="39B3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2021-06-21T02:32:00Z</dcterms:created>
  <dc:creator>周碧荣</dc:creator>
  <cp:lastModifiedBy>周碧荣</cp:lastModifiedBy>
  <dcterms:modified xsi:type="dcterms:W3CDTF">2021-06-21T02:51:27Z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BA636F210630465389EF4FBEB4961BB8</vt:lpwstr>
  </property>
</Properties>
</file>